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2442E" w14:textId="77777777" w:rsidR="00B710AA" w:rsidRDefault="00000000">
      <w:pPr>
        <w:spacing w:after="80"/>
        <w:jc w:val="center"/>
      </w:pPr>
      <w:r>
        <w:rPr>
          <w:rFonts w:ascii="Traditional Arabic" w:eastAsia="Traditional Arabic" w:hAnsi="Traditional Arabic" w:cs="Traditional Arabic"/>
          <w:b/>
          <w:bCs/>
          <w:color w:val="1B2A4A"/>
          <w:sz w:val="44"/>
          <w:szCs w:val="44"/>
          <w:rtl/>
        </w:rPr>
        <w:t>بناء مقياس الدين النفسي</w:t>
      </w:r>
    </w:p>
    <w:p w14:paraId="310E545B" w14:textId="77777777" w:rsidR="00B710AA" w:rsidRDefault="00000000">
      <w:pPr>
        <w:spacing w:after="40"/>
        <w:jc w:val="center"/>
      </w:pPr>
      <w:r>
        <w:rPr>
          <w:rFonts w:ascii="Calibri" w:eastAsia="Calibri" w:hAnsi="Calibri" w:cs="Calibri"/>
          <w:b/>
          <w:bCs/>
          <w:color w:val="0F6674"/>
          <w:sz w:val="30"/>
          <w:szCs w:val="30"/>
        </w:rPr>
        <w:t>Psychic Debt Scale (PDS)</w:t>
      </w:r>
    </w:p>
    <w:p w14:paraId="0DC6F104" w14:textId="77777777" w:rsidR="00B710AA" w:rsidRDefault="00000000">
      <w:pPr>
        <w:spacing w:after="260"/>
        <w:jc w:val="center"/>
      </w:pPr>
      <w:r>
        <w:rPr>
          <w:rFonts w:ascii="Traditional Arabic" w:eastAsia="Traditional Arabic" w:hAnsi="Traditional Arabic" w:cs="Traditional Arabic"/>
          <w:i/>
          <w:iCs/>
          <w:color w:val="1A1A1A"/>
          <w:sz w:val="26"/>
          <w:szCs w:val="26"/>
          <w:rtl/>
        </w:rPr>
        <w:t xml:space="preserve">أداة </w:t>
      </w:r>
      <w:proofErr w:type="spellStart"/>
      <w:r>
        <w:rPr>
          <w:rFonts w:ascii="Traditional Arabic" w:eastAsia="Traditional Arabic" w:hAnsi="Traditional Arabic" w:cs="Traditional Arabic"/>
          <w:i/>
          <w:iCs/>
          <w:color w:val="1A1A1A"/>
          <w:sz w:val="26"/>
          <w:szCs w:val="26"/>
          <w:rtl/>
        </w:rPr>
        <w:t>سيكومترية</w:t>
      </w:r>
      <w:proofErr w:type="spellEnd"/>
      <w:r>
        <w:rPr>
          <w:rFonts w:ascii="Traditional Arabic" w:eastAsia="Traditional Arabic" w:hAnsi="Traditional Arabic" w:cs="Traditional Arabic"/>
          <w:i/>
          <w:iCs/>
          <w:color w:val="1A1A1A"/>
          <w:sz w:val="26"/>
          <w:szCs w:val="26"/>
          <w:rtl/>
        </w:rPr>
        <w:t xml:space="preserve"> مقترحة قيد البناء والتقنين، في ضوء الإطار النظري لبروتوكول العلاج بحرث المصالحة التحويلية (TLRT)</w:t>
      </w:r>
    </w:p>
    <w:p w14:paraId="2418E4A5" w14:textId="77777777" w:rsidR="00B710AA" w:rsidRDefault="00000000">
      <w:pPr>
        <w:pBdr>
          <w:bottom w:val="single" w:sz="14" w:space="8" w:color="B8962E"/>
        </w:pBdr>
        <w:spacing w:after="500"/>
        <w:jc w:val="center"/>
      </w:pPr>
      <w:r>
        <w:rPr>
          <w:rFonts w:ascii="Traditional Arabic" w:eastAsia="Traditional Arabic" w:hAnsi="Traditional Arabic" w:cs="Traditional Arabic"/>
          <w:color w:val="0F6674"/>
          <w:sz w:val="23"/>
          <w:szCs w:val="23"/>
          <w:rtl/>
        </w:rPr>
        <w:t>دراسة منهجية في بناء المقاييس النفسية ضمن مشروع علم النفس الاستخلافي — عبد السلام الزراع</w:t>
      </w:r>
    </w:p>
    <w:p w14:paraId="6A085EA3" w14:textId="77777777" w:rsidR="00B710AA" w:rsidRDefault="00000000" w:rsidP="00D5768D">
      <w:pPr>
        <w:pBdr>
          <w:bottom w:val="single" w:sz="10" w:space="6" w:color="B8962E"/>
        </w:pBdr>
        <w:spacing w:before="420" w:after="220"/>
      </w:pPr>
      <w:r>
        <w:rPr>
          <w:rFonts w:ascii="Traditional Arabic" w:eastAsia="Traditional Arabic" w:hAnsi="Traditional Arabic" w:cs="Traditional Arabic"/>
          <w:b/>
          <w:bCs/>
          <w:color w:val="1B2A4A"/>
          <w:sz w:val="34"/>
          <w:szCs w:val="34"/>
          <w:rtl/>
        </w:rPr>
        <w:t>ملخص</w:t>
      </w:r>
    </w:p>
    <w:p w14:paraId="5E23851B"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تعرض هذه الدراسة الأساس النظري والمنهجي لبناء مقياس الدين النفسي (</w:t>
      </w:r>
      <w:proofErr w:type="spellStart"/>
      <w:r>
        <w:rPr>
          <w:rFonts w:ascii="Traditional Arabic" w:eastAsia="Traditional Arabic" w:hAnsi="Traditional Arabic" w:cs="Traditional Arabic"/>
          <w:color w:val="1A1A1A"/>
          <w:sz w:val="26"/>
          <w:szCs w:val="26"/>
          <w:rtl/>
        </w:rPr>
        <w:t>Psychic</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Debt</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Scale</w:t>
      </w:r>
      <w:proofErr w:type="spellEnd"/>
      <w:r>
        <w:rPr>
          <w:rFonts w:ascii="Traditional Arabic" w:eastAsia="Traditional Arabic" w:hAnsi="Traditional Arabic" w:cs="Traditional Arabic"/>
          <w:color w:val="1A1A1A"/>
          <w:sz w:val="26"/>
          <w:szCs w:val="26"/>
          <w:rtl/>
        </w:rPr>
        <w:t xml:space="preserve"> – PDS)، بوصفه أداة </w:t>
      </w:r>
      <w:proofErr w:type="spellStart"/>
      <w:r>
        <w:rPr>
          <w:rFonts w:ascii="Traditional Arabic" w:eastAsia="Traditional Arabic" w:hAnsi="Traditional Arabic" w:cs="Traditional Arabic"/>
          <w:color w:val="1A1A1A"/>
          <w:sz w:val="26"/>
          <w:szCs w:val="26"/>
          <w:rtl/>
        </w:rPr>
        <w:t>سيكومترية</w:t>
      </w:r>
      <w:proofErr w:type="spellEnd"/>
      <w:r>
        <w:rPr>
          <w:rFonts w:ascii="Traditional Arabic" w:eastAsia="Traditional Arabic" w:hAnsi="Traditional Arabic" w:cs="Traditional Arabic"/>
          <w:color w:val="1A1A1A"/>
          <w:sz w:val="26"/>
          <w:szCs w:val="26"/>
          <w:rtl/>
        </w:rPr>
        <w:t xml:space="preserve"> تستهدف تعريف مفهوم الدين النفسي إجرائيًا ضمن الإطار النظري لبروتوكول العلاج بحرث المصالحة التحويلية (TLRT). ينبني التصور النظري للمقياس على التمييز بين الدين النفسي الحقيقي، وهو شعور بالتزام أخلاقي ونفسي يمكن ربطه بفعل واقعي محدد ومعالجته من خلال التوبة أو الإصلاح أو التعويض أو استعادة المسؤولية، وبين الدين النفسي الوهمي، وهو شعور مزمن ومعمم بالذنب لا يتناسب بالضرورة مع فعل واقعي محدد، وقد يرتبط بمعايير مثالية غير قابلة للتحقق، أو بصراعات قيمية، أو بأنماط معرفية وانفعالية مستمرة.</w:t>
      </w:r>
    </w:p>
    <w:p w14:paraId="13B63A3F"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يقترح النموذج الأولي بنية من ثلاثة مجالات مصدرية للدين النفسي هي: الدين تجاه الله، والدين تجاه الآخرين، والدين تجاه النفس، يتقاطع كل منها مع أربعة أبعاد وظيفية: درجة التحديد، وقابلية السداد أو الإصلاح، والتراكم الزمني، والمكاسب الثانوية المحتملة. وقد صيغت في المرحلة الأولية ستون فقرة، بواقع عشرين فقرة لكل مجال رئيسي، على أن يخضع هذا البنك الأولي للتحكيم العلمي، والتحليل الإحصائي، والتحليل العاملي الاستكشافي والتوكيدي، تمهيدًا للوصول إلى صورة نهائية يُحدَّد عدد فقراتها بمقتضى النتائج </w:t>
      </w:r>
      <w:proofErr w:type="spellStart"/>
      <w:r>
        <w:rPr>
          <w:rFonts w:ascii="Traditional Arabic" w:eastAsia="Traditional Arabic" w:hAnsi="Traditional Arabic" w:cs="Traditional Arabic"/>
          <w:color w:val="1A1A1A"/>
          <w:sz w:val="26"/>
          <w:szCs w:val="26"/>
          <w:rtl/>
        </w:rPr>
        <w:t>السيكومترية</w:t>
      </w:r>
      <w:proofErr w:type="spellEnd"/>
      <w:r>
        <w:rPr>
          <w:rFonts w:ascii="Traditional Arabic" w:eastAsia="Traditional Arabic" w:hAnsi="Traditional Arabic" w:cs="Traditional Arabic"/>
          <w:color w:val="1A1A1A"/>
          <w:sz w:val="26"/>
          <w:szCs w:val="26"/>
          <w:rtl/>
        </w:rPr>
        <w:t xml:space="preserve"> لا بصورة مسبقة.</w:t>
      </w:r>
    </w:p>
    <w:p w14:paraId="50E549C5"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وتؤكد الدراسة أن مقياس الدين النفسي، في طوره الراهن، أداة مقترحة قيد الإنشاء والتقنين، وليس مقياسًا سريريًا مثبت الصلاحية أو أداة تشخيصية مستقلة؛ ومن ثم فإن قيم الصدق والثبات ومعايير التفسير الواردة في هذه الورقة تمثل أهدافًا منهجية ينبغي اختبارها ميدانيًا وفق معايير القياس النفسي المعاصرة (</w:t>
      </w:r>
      <w:proofErr w:type="spellStart"/>
      <w:r>
        <w:rPr>
          <w:rFonts w:ascii="Traditional Arabic" w:eastAsia="Traditional Arabic" w:hAnsi="Traditional Arabic" w:cs="Traditional Arabic"/>
          <w:color w:val="1A1A1A"/>
          <w:sz w:val="26"/>
          <w:szCs w:val="26"/>
          <w:rtl/>
        </w:rPr>
        <w:t>Nunnally</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Bernstein</w:t>
      </w:r>
      <w:proofErr w:type="spellEnd"/>
      <w:r>
        <w:rPr>
          <w:rFonts w:ascii="Traditional Arabic" w:eastAsia="Traditional Arabic" w:hAnsi="Traditional Arabic" w:cs="Traditional Arabic"/>
          <w:color w:val="1A1A1A"/>
          <w:sz w:val="26"/>
          <w:szCs w:val="26"/>
          <w:rtl/>
        </w:rPr>
        <w:t xml:space="preserve">, 1994؛ AERA, APA, &amp; NCME, 2014)، ولا يجوز تقديمها بوصفها خصائص </w:t>
      </w:r>
      <w:proofErr w:type="spellStart"/>
      <w:r>
        <w:rPr>
          <w:rFonts w:ascii="Traditional Arabic" w:eastAsia="Traditional Arabic" w:hAnsi="Traditional Arabic" w:cs="Traditional Arabic"/>
          <w:color w:val="1A1A1A"/>
          <w:sz w:val="26"/>
          <w:szCs w:val="26"/>
          <w:rtl/>
        </w:rPr>
        <w:t>سيكومترية</w:t>
      </w:r>
      <w:proofErr w:type="spellEnd"/>
      <w:r>
        <w:rPr>
          <w:rFonts w:ascii="Traditional Arabic" w:eastAsia="Traditional Arabic" w:hAnsi="Traditional Arabic" w:cs="Traditional Arabic"/>
          <w:color w:val="1A1A1A"/>
          <w:sz w:val="26"/>
          <w:szCs w:val="26"/>
          <w:rtl/>
        </w:rPr>
        <w:t xml:space="preserve"> مثبتة قبل إجراء الدراسات التجريبية اللازمة.</w:t>
      </w:r>
    </w:p>
    <w:p w14:paraId="074BDDF7"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الكلمات المفتاحية</w:t>
      </w:r>
    </w:p>
    <w:p w14:paraId="048F0694"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الدين النفسي، الدين النفسي الحقيقي، الدين النفسي الوهمي، مقياس الدين النفسي (PDS)، العلاج بحرث المصالحة التحويلية (TLRT)، القياس النفسي، الصدق والثبات، الذنب، المصالحة، الإصلاح النفسي.</w:t>
      </w:r>
    </w:p>
    <w:p w14:paraId="7DFC17EE"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 المقدمة</w:t>
      </w:r>
    </w:p>
    <w:p w14:paraId="4B2F0031"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١.١ خلفية الدراسة</w:t>
      </w:r>
    </w:p>
    <w:p w14:paraId="652745DE"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يحتل الشعور بالذنب موقعًا مركزيًا في عدد من النماذج النفسية والأخلاقية والدينية، غير أن طبيعة هذا الشعور، وارتباطه بالفعل الواقعي، وإمكان معالجته، تتباين تباينًا كبيرًا بين الأفراد والحالات؛ إذ قد يرتبط الشعور بالذنب بسلوك محدد يمكن للفرد تحديده وتحمل مسؤوليته والعمل على إصلاح آثاره، وقد يتحول في حالات أخرى إلى شعور مزمن ومعمّم يتجاوز الفعل الأصلي، فيصبح جزءًا من صورة الفرد عن ذاته ويستمر حتى بعد زوال سببه المباشر.</w:t>
      </w:r>
    </w:p>
    <w:p w14:paraId="2EB04F55"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ويُقدَّم مفهوم الدين النفسي، ضمن بروتوكول العلاج بحرث المصالحة التحويلية (TLRT)، بوصفه أحد المفاهيم المركزية لفهم العلاقة بين الذنب والمسؤولية والإصلاح والمصالحة والنمو النفسي؛ إذ يشير إلى حالة نفسية يشعر فيها الفرد بأن عليه التزامًا أو حقًا غير مسدد تجاه مرجعية أخلاقية أو دينية، أو تجاه شخص آخر، أو تجاه ذاته. وتفترض المنظومة النظرية لهذا البروتوكول أن المشكلة الإكلينيكية لا تكمن بالضرورة في وجود الشعور بالذنب في ذاته، بل قد تكمن في غياب التمييز بين دين مرتبط بمسؤولية واقعية قابلة للتعامل معها، ودين نفسي يتضخم أو يتعمم أو يستمر بعد انقطاع علاقته بالفعل الأصلي.</w:t>
      </w:r>
    </w:p>
    <w:p w14:paraId="3CE0491E"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ومن هنا تنشأ الحاجة إلى أداة قياس تتيح تحويل هذا المفهوم النظري إلى مؤشرات قابلة للملاحظة والقياس والتحليل الإحصائي، بما يتسق مع المتطلبات المعيارية لبناء المقاييس النفسية (</w:t>
      </w:r>
      <w:proofErr w:type="spellStart"/>
      <w:r>
        <w:rPr>
          <w:rFonts w:ascii="Traditional Arabic" w:eastAsia="Traditional Arabic" w:hAnsi="Traditional Arabic" w:cs="Traditional Arabic"/>
          <w:color w:val="1A1A1A"/>
          <w:sz w:val="26"/>
          <w:szCs w:val="26"/>
          <w:rtl/>
        </w:rPr>
        <w:t>DeVellis</w:t>
      </w:r>
      <w:proofErr w:type="spellEnd"/>
      <w:r>
        <w:rPr>
          <w:rFonts w:ascii="Traditional Arabic" w:eastAsia="Traditional Arabic" w:hAnsi="Traditional Arabic" w:cs="Traditional Arabic"/>
          <w:color w:val="1A1A1A"/>
          <w:sz w:val="26"/>
          <w:szCs w:val="26"/>
          <w:rtl/>
        </w:rPr>
        <w:t xml:space="preserve">, 2017؛ </w:t>
      </w:r>
      <w:proofErr w:type="spellStart"/>
      <w:r>
        <w:rPr>
          <w:rFonts w:ascii="Traditional Arabic" w:eastAsia="Traditional Arabic" w:hAnsi="Traditional Arabic" w:cs="Traditional Arabic"/>
          <w:color w:val="1A1A1A"/>
          <w:sz w:val="26"/>
          <w:szCs w:val="26"/>
          <w:rtl/>
        </w:rPr>
        <w:t>Nunnally</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Bernstein</w:t>
      </w:r>
      <w:proofErr w:type="spellEnd"/>
      <w:r>
        <w:rPr>
          <w:rFonts w:ascii="Traditional Arabic" w:eastAsia="Traditional Arabic" w:hAnsi="Traditional Arabic" w:cs="Traditional Arabic"/>
          <w:color w:val="1A1A1A"/>
          <w:sz w:val="26"/>
          <w:szCs w:val="26"/>
          <w:rtl/>
        </w:rPr>
        <w:t>, 1994).</w:t>
      </w:r>
    </w:p>
    <w:p w14:paraId="0361EA8E"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١.٢ مشكلة الدراسة</w:t>
      </w:r>
    </w:p>
    <w:p w14:paraId="5E6FF737"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تعتمد خريطة الدين النفسي، في صياغتها الإكلينيكية الأولية، اعتمادًا أساسيًا على المقابلة الإكلينيكية والحوار العلاجي والاستكشاف النوعي. وعلى الرغم من أهمية هذه الوسائل، فإن الاقتصار عليها قد يجعل تقدير شدة الدين النفسي وطبيعته عرضة لتأثير عوامل عدة، منها اختلاف المعالجين، وطريقة صياغة الأسئلة، ودرجة وعي المفحوص بذاته، ونزعته إلى التقليل من المشكلة أو تضخيمها. كما أن غياب أداة كمية مقننة يحد من إمكانية:</w:t>
      </w:r>
    </w:p>
    <w:p w14:paraId="086BEA93"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تقدير شدة الدين النفسي بصورة معيارية.</w:t>
      </w:r>
    </w:p>
    <w:p w14:paraId="2F12CAF7"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التمييز الكمي بين أنماطه المختلفة.</w:t>
      </w:r>
    </w:p>
    <w:p w14:paraId="7F013D18"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مقارنة الحالات قبل التدخل العلاجي وبعده.</w:t>
      </w:r>
    </w:p>
    <w:p w14:paraId="6D91B9FA"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اختبار العلاقة بين الدين النفسي والمتغيرات النفسية الأخرى.</w:t>
      </w:r>
    </w:p>
    <w:p w14:paraId="0A989A31"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اختبار الفرضيات الأساسية التي يقوم عليها بروتوكول TLRT.</w:t>
      </w:r>
    </w:p>
    <w:p w14:paraId="1B6012B5"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 xml:space="preserve">تقييم مدى إسهام مفهوم الدين النفسي في تفسير الأعراض النفسية فوق ما تفسره المتغيرات المعروفة (الصدق </w:t>
      </w:r>
      <w:proofErr w:type="spellStart"/>
      <w:r>
        <w:rPr>
          <w:rFonts w:ascii="Traditional Arabic" w:eastAsia="Traditional Arabic" w:hAnsi="Traditional Arabic" w:cs="Traditional Arabic"/>
          <w:color w:val="1A1A1A"/>
          <w:sz w:val="25"/>
          <w:szCs w:val="25"/>
          <w:rtl/>
        </w:rPr>
        <w:t>التزايدي</w:t>
      </w:r>
      <w:proofErr w:type="spellEnd"/>
      <w:r>
        <w:rPr>
          <w:rFonts w:ascii="Traditional Arabic" w:eastAsia="Traditional Arabic" w:hAnsi="Traditional Arabic" w:cs="Traditional Arabic"/>
          <w:color w:val="1A1A1A"/>
          <w:sz w:val="25"/>
          <w:szCs w:val="25"/>
          <w:rtl/>
        </w:rPr>
        <w:t>).</w:t>
      </w:r>
    </w:p>
    <w:p w14:paraId="4FBA797A"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وعليه، تتبلور مشكلة الدراسة في التساؤل الآتي: هل يمكن بناء أداة </w:t>
      </w:r>
      <w:proofErr w:type="spellStart"/>
      <w:r>
        <w:rPr>
          <w:rFonts w:ascii="Traditional Arabic" w:eastAsia="Traditional Arabic" w:hAnsi="Traditional Arabic" w:cs="Traditional Arabic"/>
          <w:color w:val="1A1A1A"/>
          <w:sz w:val="26"/>
          <w:szCs w:val="26"/>
          <w:rtl/>
        </w:rPr>
        <w:t>سيكومترية</w:t>
      </w:r>
      <w:proofErr w:type="spellEnd"/>
      <w:r>
        <w:rPr>
          <w:rFonts w:ascii="Traditional Arabic" w:eastAsia="Traditional Arabic" w:hAnsi="Traditional Arabic" w:cs="Traditional Arabic"/>
          <w:color w:val="1A1A1A"/>
          <w:sz w:val="26"/>
          <w:szCs w:val="26"/>
          <w:rtl/>
        </w:rPr>
        <w:t xml:space="preserve"> تتمتع بخصائص صدق وثبات مقبولة لقياس أبعاد الدين النفسي كما تُعرَّف نظريًا في إطار TLRT؟</w:t>
      </w:r>
    </w:p>
    <w:p w14:paraId="3FD3215A"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٢. الهدف من بناء المقياس</w:t>
      </w:r>
    </w:p>
    <w:p w14:paraId="21B33FFB"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يهدف مقياس الدين النفسي (PDS) إلى تطوير أداة كمية يمكن استخدامها في البحث النفسي والإكلينيكي لاستكشاف: وجود الشعور بالدين النفسي، ومصدره، ودرجة ارتباطه بفعل أو حدث محدد، وإدراك الفرد لإمكان الإصلاح أو السداد، ودرجة استمراره وتراكمه عبر الزمن، والوظائف الثانوية المحتملة التي قد يؤديها استمرار الشعور بالذنب، والنمط الغالب للدين النفسي لدى الفرد. ولا يهدف المقياس، في المقابل، إلى إصدار تشخيص نفسي مستقل، ولا إلى الحلول محل التقييم الإكلينيكي الشامل.</w:t>
      </w:r>
    </w:p>
    <w:p w14:paraId="74AA4231"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٣. الأساس النظري للمقياس</w:t>
      </w:r>
    </w:p>
    <w:p w14:paraId="42BA52FA"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٣.١ مفهوم الدين النفسي</w:t>
      </w:r>
    </w:p>
    <w:p w14:paraId="010E205C"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يُعرَّف الدين النفسي، في النموذج المقترح، بأنه حالة نفسية إدراكية وانفعالية يشعر فيها الفرد بوجود التزام أخلاقي أو نفسي غير مسدد تجاه مرجعية يرى أن لها حقًا عليه، بحيث يستمر هذا الشعور بدرجات متفاوتة، ويؤثر في إدراكه لذاته وسلوكه وعلاقاته ونموه النفسي. ويقوم هذا التعريف على أربعة مكونات أساسية:</w:t>
      </w:r>
    </w:p>
    <w:p w14:paraId="15FC0D3E"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وجود إحساس بالالتزام أو المديونية.</w:t>
      </w:r>
    </w:p>
    <w:p w14:paraId="0194B043"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وجود مرجعية يُدرك الفرد أن له تجاهها التزامًا.</w:t>
      </w:r>
    </w:p>
    <w:p w14:paraId="403AA3D0"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وجود فجوة مدركة بين ما حدث وما ينبغي أن يحدث.</w:t>
      </w:r>
    </w:p>
    <w:p w14:paraId="24AB3DDE"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وجود أثر نفسي أو سلوكي ناتج عن استمرار هذه الفجوة.</w:t>
      </w:r>
    </w:p>
    <w:p w14:paraId="58712611"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٤. الدين النفسي الحقيقي والدين النفسي الوهمي</w:t>
      </w:r>
    </w:p>
    <w:p w14:paraId="07CE51C4"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٤.١ الدين النفسي الحقيقي</w:t>
      </w:r>
    </w:p>
    <w:p w14:paraId="11237BC9"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يشير الدين النفسي الحقيقي إلى شعور بالمسؤولية والذنب يمكن ربطه بفعل أو سلوك أو تقصير واقعي محدد، ويكون من الممكن، من حيث المبدأ، تحديد موضوع المسؤولية والبحث عن صورة مناسبة للإصلاح أو التعويض أو التوبة أو استعادة المسؤولية. ومن أبرز خصائصه:</w:t>
      </w:r>
    </w:p>
    <w:p w14:paraId="19508E9C"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الارتباط بفعل أو واقعة محددة.</w:t>
      </w:r>
    </w:p>
    <w:p w14:paraId="427BC02D"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القدرة على تحديد موضوع المسؤولية.</w:t>
      </w:r>
    </w:p>
    <w:p w14:paraId="20885F75"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وجود إمكانية واقعية للإصلاح أو التعويض بدرجات متفاوتة.</w:t>
      </w:r>
    </w:p>
    <w:p w14:paraId="2AC2CE91"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ارتباط الشعور بالمسؤولية بدلًا من الإدانة الشاملة للذات.</w:t>
      </w:r>
    </w:p>
    <w:p w14:paraId="0E7B59F6"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إمكانية تحول الشعور إلى فعل إصلاحي.</w:t>
      </w:r>
    </w:p>
    <w:p w14:paraId="2D36D835"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٤.٢ الدين النفسي الوهمي</w:t>
      </w:r>
    </w:p>
    <w:p w14:paraId="2C1138AE"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يشير الدين النفسي الوهمي إلى شعور مزمن أو متضخم بالذنب أو المديونية النفسية لا يتناسب بالضرورة مع فعل واقعي محدد، أو يستمر بصورة لا تتناسب مع حجم الفعل، أو بعد زوال إمكانية الإصلاح المباشر. وقد يرتبط هذا النمط بمعايير مثالية غير قابلة للتحقيق، أو بصراعات قيمية، أو بإدانة كلية للذات، أو باجترار مزمن، أو بأنماط معرفية وانفعالية تجعل الفرد يشعر بأنه مدين على نحو مستمر حتى حين يتعذر عليه تحديد ما يمكن إصلاحه تحديدًا. ومن خصائصه المحتملة:</w:t>
      </w:r>
    </w:p>
    <w:p w14:paraId="2BB8335E"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ضعف التحديد.</w:t>
      </w:r>
    </w:p>
    <w:p w14:paraId="549773EA"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التعميم على الهوية الشخصية.</w:t>
      </w:r>
    </w:p>
    <w:p w14:paraId="5146BEE2"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انخفاض الإحساس بإمكان السداد أو الإصلاح.</w:t>
      </w:r>
    </w:p>
    <w:p w14:paraId="2215CD01"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الاستمرار الزمني المفرط.</w:t>
      </w:r>
    </w:p>
    <w:p w14:paraId="39665E3B"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ارتباط الشعور بالاجترار.</w:t>
      </w:r>
    </w:p>
    <w:p w14:paraId="2739C01F"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إمكانية تحوله إلى وظيفة نفسية ثانوية.</w:t>
      </w:r>
    </w:p>
    <w:p w14:paraId="6D8C3210"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وينبغي التأكيد منهجيًا على أن وصف الدين بأنه حقيقي أو وهمي يمثل تصنيفًا نظريًا داخل نموذج TLRT، لا حكمًا دينيًا أو أخلاقيًا مستقلًا على الفرد.</w:t>
      </w:r>
    </w:p>
    <w:p w14:paraId="3669709F"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 xml:space="preserve">٥. البنية </w:t>
      </w:r>
      <w:proofErr w:type="spellStart"/>
      <w:r>
        <w:rPr>
          <w:rFonts w:ascii="Traditional Arabic" w:eastAsia="Traditional Arabic" w:hAnsi="Traditional Arabic" w:cs="Traditional Arabic"/>
          <w:b/>
          <w:bCs/>
          <w:color w:val="1B2A4A"/>
          <w:sz w:val="34"/>
          <w:szCs w:val="34"/>
          <w:rtl/>
        </w:rPr>
        <w:t>العاملية</w:t>
      </w:r>
      <w:proofErr w:type="spellEnd"/>
      <w:r>
        <w:rPr>
          <w:rFonts w:ascii="Traditional Arabic" w:eastAsia="Traditional Arabic" w:hAnsi="Traditional Arabic" w:cs="Traditional Arabic"/>
          <w:b/>
          <w:bCs/>
          <w:color w:val="1B2A4A"/>
          <w:sz w:val="34"/>
          <w:szCs w:val="34"/>
          <w:rtl/>
        </w:rPr>
        <w:t xml:space="preserve"> المفترضة</w:t>
      </w:r>
    </w:p>
    <w:p w14:paraId="06125151"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يقترح النموذج الأولي للمقياس بنية متعددة المستويات، تتكون من ثلاثة مجالات رئيسية يمثل كل منها مصدرًا محتملًا للدين النفسي:</w:t>
      </w:r>
    </w:p>
    <w:p w14:paraId="07C643D5"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المجال الأول: الدين تجاه الله</w:t>
      </w:r>
    </w:p>
    <w:p w14:paraId="5C24E6B8"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ويشمل مشاعر التقصير الديني والأخلاقي، وما يرتبط بها من إدراك المسؤولية والالتزام والتوبة والإصلاح.</w:t>
      </w:r>
    </w:p>
    <w:p w14:paraId="0EB3FE5C"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المجال الثاني: الدين تجاه الآخرين</w:t>
      </w:r>
    </w:p>
    <w:p w14:paraId="2A31B6E9"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ويشمل الشعور بالمسؤولية تجاه من تعرضوا للظلم أو الإساءة أو الضرر المادي أو المعنوي.</w:t>
      </w:r>
    </w:p>
    <w:p w14:paraId="5042D7EB"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المجال الثالث: الدين تجاه النفس</w:t>
      </w:r>
    </w:p>
    <w:p w14:paraId="2F6232F4"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ويشمل الشعور بأن الفرد أخلّ بمسؤوليته تجاه ذاته، أو أهدر إمكاناته، أو ابتعد عن أهدافه وقيمه، أو عاش على نحو لا يتفق مع تصوره لرسالته الشخصية.</w:t>
      </w:r>
    </w:p>
    <w:p w14:paraId="654999A6"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ويُفترض أن يتقاطع كل مجال من هذه المجالات مع أربعة أبعاد وظيفية:</w:t>
      </w:r>
    </w:p>
    <w:p w14:paraId="53985B6E"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التحديد: مدى ارتباط الشعور بفعل أو حدث محدد.</w:t>
      </w:r>
    </w:p>
    <w:p w14:paraId="16F87AE8"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قابلية السداد والإصلاح: إدراك الفرد لإمكان معالجة الدين أو إصلاح آثاره.</w:t>
      </w:r>
    </w:p>
    <w:p w14:paraId="558FD7FE"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التراكم الزمني: درجة استمرار الشعور وتضخمه عبر الزمن.</w:t>
      </w:r>
    </w:p>
    <w:p w14:paraId="0A5E1095"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المكاسب الثانوية: الوظائف النفسية أو الاجتماعية المحتملة التي قد يحققها استمرار الشعور بالذنب.</w:t>
      </w:r>
    </w:p>
    <w:p w14:paraId="55AEC76B"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ويُعد هذا النموذج بنية نظرية أولية (3×4) قابلة للاختبار التجريبي، وليس بنية </w:t>
      </w:r>
      <w:proofErr w:type="spellStart"/>
      <w:r>
        <w:rPr>
          <w:rFonts w:ascii="Traditional Arabic" w:eastAsia="Traditional Arabic" w:hAnsi="Traditional Arabic" w:cs="Traditional Arabic"/>
          <w:color w:val="1A1A1A"/>
          <w:sz w:val="26"/>
          <w:szCs w:val="26"/>
          <w:rtl/>
        </w:rPr>
        <w:t>عاملية</w:t>
      </w:r>
      <w:proofErr w:type="spellEnd"/>
      <w:r>
        <w:rPr>
          <w:rFonts w:ascii="Traditional Arabic" w:eastAsia="Traditional Arabic" w:hAnsi="Traditional Arabic" w:cs="Traditional Arabic"/>
          <w:color w:val="1A1A1A"/>
          <w:sz w:val="26"/>
          <w:szCs w:val="26"/>
          <w:rtl/>
        </w:rPr>
        <w:t xml:space="preserve"> مثبتة مسبقًا؛ وتحديد عدد العوامل الفعلي المستخرج من البيانات يبقى مرهونًا بنتائج التحليل العاملي الاستكشافي والتوكيدي المبيّنين في القسم الحادي عشر.</w:t>
      </w:r>
    </w:p>
    <w:p w14:paraId="2D2542EB"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٦. بناء فقرات المقياس</w:t>
      </w:r>
    </w:p>
    <w:p w14:paraId="0984EC32"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٦.١ المرحلة الأولية</w:t>
      </w:r>
    </w:p>
    <w:p w14:paraId="4B65DDD4"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صيغت في المرحلة الأولى ستون فقرة، بواقع عشرين فقرة لكل مجال رئيسي، موزعة بالتساوي على الأبعاد الوظيفية الأربعة (خمس فقرات لكل بُعد). ويُقصد بهذه الفقرات أن تشكل بنكًا أوليًا للفقرات، لا الصورة النهائية للمقياس؛ ومن ثم فإن العدد النهائي للفقرات يجب أن يُحدَّد بعد:</w:t>
      </w:r>
    </w:p>
    <w:p w14:paraId="1DFBF98A"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تحكيم الخبراء ودراسة صدق المحتوى.</w:t>
      </w:r>
    </w:p>
    <w:p w14:paraId="66A0EFB5"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دراسة وضوح الفقرات لغويًا وثقافيًا.</w:t>
      </w:r>
    </w:p>
    <w:p w14:paraId="4718E505"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تحليل صعوبة الفقرات وقوتها التمييزية.</w:t>
      </w:r>
    </w:p>
    <w:p w14:paraId="2116CABC"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تحليل الارتباطات بين الفقرات (مصفوفة الارتباط بين البنود).</w:t>
      </w:r>
    </w:p>
    <w:p w14:paraId="026C4094"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التحليل العاملي الاستكشافي (EFA).</w:t>
      </w:r>
    </w:p>
    <w:p w14:paraId="0DF61CAD"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التحليل العاملي التوكيدي (CFA).</w:t>
      </w:r>
    </w:p>
    <w:p w14:paraId="35B6C116"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دراسة الثبات بأشكاله المختلفة.</w:t>
      </w:r>
    </w:p>
    <w:p w14:paraId="3F1A483A"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 xml:space="preserve">دراسة الصدق </w:t>
      </w:r>
      <w:proofErr w:type="spellStart"/>
      <w:r>
        <w:rPr>
          <w:rFonts w:ascii="Traditional Arabic" w:eastAsia="Traditional Arabic" w:hAnsi="Traditional Arabic" w:cs="Traditional Arabic"/>
          <w:color w:val="1A1A1A"/>
          <w:sz w:val="25"/>
          <w:szCs w:val="25"/>
          <w:rtl/>
        </w:rPr>
        <w:t>التقاربي</w:t>
      </w:r>
      <w:proofErr w:type="spellEnd"/>
      <w:r>
        <w:rPr>
          <w:rFonts w:ascii="Traditional Arabic" w:eastAsia="Traditional Arabic" w:hAnsi="Traditional Arabic" w:cs="Traditional Arabic"/>
          <w:color w:val="1A1A1A"/>
          <w:sz w:val="25"/>
          <w:szCs w:val="25"/>
          <w:rtl/>
        </w:rPr>
        <w:t xml:space="preserve"> </w:t>
      </w:r>
      <w:proofErr w:type="spellStart"/>
      <w:r>
        <w:rPr>
          <w:rFonts w:ascii="Traditional Arabic" w:eastAsia="Traditional Arabic" w:hAnsi="Traditional Arabic" w:cs="Traditional Arabic"/>
          <w:color w:val="1A1A1A"/>
          <w:sz w:val="25"/>
          <w:szCs w:val="25"/>
          <w:rtl/>
        </w:rPr>
        <w:t>والتمايزي</w:t>
      </w:r>
      <w:proofErr w:type="spellEnd"/>
      <w:r>
        <w:rPr>
          <w:rFonts w:ascii="Traditional Arabic" w:eastAsia="Traditional Arabic" w:hAnsi="Traditional Arabic" w:cs="Traditional Arabic"/>
          <w:color w:val="1A1A1A"/>
          <w:sz w:val="25"/>
          <w:szCs w:val="25"/>
          <w:rtl/>
        </w:rPr>
        <w:t xml:space="preserve"> </w:t>
      </w:r>
      <w:proofErr w:type="spellStart"/>
      <w:r>
        <w:rPr>
          <w:rFonts w:ascii="Traditional Arabic" w:eastAsia="Traditional Arabic" w:hAnsi="Traditional Arabic" w:cs="Traditional Arabic"/>
          <w:color w:val="1A1A1A"/>
          <w:sz w:val="25"/>
          <w:szCs w:val="25"/>
          <w:rtl/>
        </w:rPr>
        <w:t>والتزايدي</w:t>
      </w:r>
      <w:proofErr w:type="spellEnd"/>
      <w:r>
        <w:rPr>
          <w:rFonts w:ascii="Traditional Arabic" w:eastAsia="Traditional Arabic" w:hAnsi="Traditional Arabic" w:cs="Traditional Arabic"/>
          <w:color w:val="1A1A1A"/>
          <w:sz w:val="25"/>
          <w:szCs w:val="25"/>
          <w:rtl/>
        </w:rPr>
        <w:t>.</w:t>
      </w:r>
    </w:p>
    <w:p w14:paraId="6E51ADBD"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وعليه، لا ينبغي في هذه المرحلة القول بأن المقياس يتكون نهائيًا من خمس وأربعين فقرة؛ والأدق منهجيًا القول إن ستين فقرة صيغت في النسخة الأولية، ومن المتوقع اختزالها إلى صورة نهائية قد تبلغ خمسًا وأربعين فقرة أو عددًا آخر تحدده النتائج </w:t>
      </w:r>
      <w:proofErr w:type="spellStart"/>
      <w:r>
        <w:rPr>
          <w:rFonts w:ascii="Traditional Arabic" w:eastAsia="Traditional Arabic" w:hAnsi="Traditional Arabic" w:cs="Traditional Arabic"/>
          <w:color w:val="1A1A1A"/>
          <w:sz w:val="26"/>
          <w:szCs w:val="26"/>
          <w:rtl/>
        </w:rPr>
        <w:t>السيكومترية</w:t>
      </w:r>
      <w:proofErr w:type="spellEnd"/>
      <w:r>
        <w:rPr>
          <w:rFonts w:ascii="Traditional Arabic" w:eastAsia="Traditional Arabic" w:hAnsi="Traditional Arabic" w:cs="Traditional Arabic"/>
          <w:color w:val="1A1A1A"/>
          <w:sz w:val="26"/>
          <w:szCs w:val="26"/>
          <w:rtl/>
        </w:rPr>
        <w:t xml:space="preserve"> حصرًا، تفاديًا للخلط الشائع في بعض الدراسات الأولية بين عدد فقرات البنك الأصلي وعدد فقرات الصورة النهائية المقننة.</w:t>
      </w:r>
    </w:p>
    <w:p w14:paraId="4E830F3D"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٧. نظام الاستجابة</w:t>
      </w:r>
    </w:p>
    <w:p w14:paraId="14EC8070"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يُقترح استخدام مقياس </w:t>
      </w:r>
      <w:proofErr w:type="spellStart"/>
      <w:r>
        <w:rPr>
          <w:rFonts w:ascii="Traditional Arabic" w:eastAsia="Traditional Arabic" w:hAnsi="Traditional Arabic" w:cs="Traditional Arabic"/>
          <w:color w:val="1A1A1A"/>
          <w:sz w:val="26"/>
          <w:szCs w:val="26"/>
          <w:rtl/>
        </w:rPr>
        <w:t>ليكرت</w:t>
      </w:r>
      <w:proofErr w:type="spellEnd"/>
      <w:r>
        <w:rPr>
          <w:rFonts w:ascii="Traditional Arabic" w:eastAsia="Traditional Arabic" w:hAnsi="Traditional Arabic" w:cs="Traditional Arabic"/>
          <w:color w:val="1A1A1A"/>
          <w:sz w:val="26"/>
          <w:szCs w:val="26"/>
          <w:rtl/>
        </w:rPr>
        <w:t xml:space="preserve"> الخماسي للاستجابة على النحو الآتي:</w:t>
      </w:r>
    </w:p>
    <w:p w14:paraId="50080408"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 = لا ينطبق عليّ إطلاقًا</w:t>
      </w:r>
    </w:p>
    <w:p w14:paraId="5E8F7B59"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 = ينطبق عليّ بدرجة قليلة</w:t>
      </w:r>
    </w:p>
    <w:p w14:paraId="417BFA5F"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 = ينطبق عليّ بدرجة متوسطة</w:t>
      </w:r>
    </w:p>
    <w:p w14:paraId="4C40DDB6"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 = ينطبق عليّ بدرجة كبيرة</w:t>
      </w:r>
    </w:p>
    <w:p w14:paraId="6F8668BB"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 = ينطبق عليّ بدرجة كبيرة جدًا</w:t>
      </w:r>
    </w:p>
    <w:p w14:paraId="126CB111"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ويُفضَّل استخدام صياغة موحدة للاستجابة في جميع فقرات المقياس تقليلًا للعبء المعرفي على المفحوص، مع مراعاة أن بعض فقرات بُعد قابلية السداد والإصلاح قد تكون عكسية الاتجاه بالنسبة إلى شدة الدين النفسي الكلية، وهو ما يُناقَش تفصيلًا في القسم التاسع.</w:t>
      </w:r>
    </w:p>
    <w:p w14:paraId="6ED198A3"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٨. بنك الفقرات الأولي</w:t>
      </w:r>
    </w:p>
    <w:p w14:paraId="79D99FA5"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أولًا: الدين تجاه الله</w:t>
      </w:r>
    </w:p>
    <w:p w14:paraId="2CCE7581"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أ. التحديد</w:t>
      </w:r>
    </w:p>
    <w:p w14:paraId="077E9362"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 أشعر بالذنب تجاه الله بسبب أفعال محددة أعرفها بوضوح.</w:t>
      </w:r>
    </w:p>
    <w:p w14:paraId="1DE8CEF3"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 أستطيع تحديد الخطأ الذي أشعر بأنني ارتكبته في حق الله.</w:t>
      </w:r>
    </w:p>
    <w:p w14:paraId="07580A89"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 يرتبط شعوري بالذنب تجاه الله بحدث أو فعل معين، لا بشعور عام.</w:t>
      </w:r>
    </w:p>
    <w:p w14:paraId="5798DD78"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 أعرف ما الذي أعتقد أنه ينبغي عليّ فعله لمعالجة هذا الذنب.</w:t>
      </w:r>
    </w:p>
    <w:p w14:paraId="1E752B2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 عندما أفكر في ذنبي تجاه الله، أراه مرتبطًا بفعل محدد لا بصفة دائمة في شخصيتي.</w:t>
      </w:r>
    </w:p>
    <w:p w14:paraId="10060404"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ب. قابلية السداد والإصلاح</w:t>
      </w:r>
    </w:p>
    <w:p w14:paraId="51D4B670"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6. أرى أن بإمكاني معالجة ما أشعر بأنه تقصير تجاه الله من خلال خطوات عملية.</w:t>
      </w:r>
    </w:p>
    <w:p w14:paraId="6867CE3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7. أشعر أن ما أعتبره ذنبًا تجاه الله يمكن التعامل معه من خلال التوبة والإصلاح.</w:t>
      </w:r>
    </w:p>
    <w:p w14:paraId="715FD50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8. أستطيع تصور بداية جديدة بعد معالجة ما أراه تقصيرًا.</w:t>
      </w:r>
    </w:p>
    <w:p w14:paraId="047D13DE"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9. أستطيع استحضار معنى الرحمة والمغفرة عندما أفكر في ذنبي.</w:t>
      </w:r>
    </w:p>
    <w:p w14:paraId="4D6FCB58"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10. أعرف بصورة عامة ما أستطيع القيام به لمعالجة ما أشعر بأنه تقصير.</w:t>
      </w:r>
    </w:p>
    <w:p w14:paraId="54D8C270"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ج. التراكم الزمني</w:t>
      </w:r>
    </w:p>
    <w:p w14:paraId="1AA829DE"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11. مضى وقت طويل على بعض ذنوبي، ومع ذلك ما زلت أشعر بثقلها.</w:t>
      </w:r>
    </w:p>
    <w:p w14:paraId="405AE1B2"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12. أشعر أن ذنبًا قديمًا ما زال يؤثر في حياتي الحالية.</w:t>
      </w:r>
    </w:p>
    <w:p w14:paraId="79913E68"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13. يرتبط التفكير المستمر في ذنب قديم لديّ بالتوتر أو اضطراب النوم أو أعراض جسدية أخرى.</w:t>
      </w:r>
    </w:p>
    <w:p w14:paraId="54140654"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14. أشعر أن بعض الذنوب تتراكم في داخلي بدلًا من أن تنتهي آثارها.</w:t>
      </w:r>
    </w:p>
    <w:p w14:paraId="1F43A999"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15. يعود الشعور بالذنب لديّ حتى بعد محاولتي التوبة أو تجاوز الحدث.</w:t>
      </w:r>
    </w:p>
    <w:p w14:paraId="01CE0756"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د. المكاسب الثانوية</w:t>
      </w:r>
    </w:p>
    <w:p w14:paraId="57FC1CE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16. يمنحني استمرار شعوري بالذنب أحيانًا إحساسًا بأنني شخص أخلاقي.</w:t>
      </w:r>
    </w:p>
    <w:p w14:paraId="7DEE69CB"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17. أستخدم شعوري بالذنب أحيانًا لتفسير تعثري في جوانب أخرى من حياتي.</w:t>
      </w:r>
    </w:p>
    <w:p w14:paraId="3E5D7C58"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18. أشعر أحيانًا بالراحة عندما أحصل على اهتمام الآخرين بسبب معاناتي من الذنب.</w:t>
      </w:r>
    </w:p>
    <w:p w14:paraId="23780F84"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19. أخشى أحيانًا أن يؤدي التخلي عن شعوري بالذنب إلى أن أصبح أقل التزامًا أو مسؤولية.</w:t>
      </w:r>
    </w:p>
    <w:p w14:paraId="4FF802B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20. أشعر أحيانًا أن الذنب أصبح جزءًا من هويتي الشخصية.</w:t>
      </w:r>
    </w:p>
    <w:p w14:paraId="788DC095"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ثانيًا: الدين تجاه الآخرين</w:t>
      </w:r>
    </w:p>
    <w:p w14:paraId="71220F9C"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أ. التحديد</w:t>
      </w:r>
    </w:p>
    <w:p w14:paraId="42BDBAB3"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21. أشعر بالذنب تجاه شخص معين بسبب فعل محدد صدر مني.</w:t>
      </w:r>
    </w:p>
    <w:p w14:paraId="03B03594"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22. أستطيع تحديد الشخص الذي أعتقد أنني أخطأت في حقه.</w:t>
      </w:r>
    </w:p>
    <w:p w14:paraId="1A042C5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23. أعرف بصورة واضحة ما الذي فعلته وأدى إلى إيذاء شخص آخر.</w:t>
      </w:r>
    </w:p>
    <w:p w14:paraId="2D2684BD"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24. يرتبط شعوري بالذنب تجاه الآخر بحدث محدد لا بشعور عام.</w:t>
      </w:r>
    </w:p>
    <w:p w14:paraId="39BF0CCB"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25. عندما أتذكر ما حدث، أستطيع تحديد السلوك الذي أتحمل مسؤوليته.</w:t>
      </w:r>
    </w:p>
    <w:p w14:paraId="715AA22F"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ب. قابلية السداد والإصلاح</w:t>
      </w:r>
    </w:p>
    <w:p w14:paraId="3D0CC821"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26. أستطيع الاعتذار للشخص الذي أعتقد أنني أخطأت في حقه عندما يكون ذلك ممكنًا ومناسبًا.</w:t>
      </w:r>
    </w:p>
    <w:p w14:paraId="2E6678C6"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27. أستطيع التفكير في طريقة لرد الحق أو تعويض الضرر عندما يكون ذلك ممكنًا.</w:t>
      </w:r>
    </w:p>
    <w:p w14:paraId="2C341527"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28. أرى أن إصلاح العلاقة أو معالجة آثار الضرر قد يكون ممكنًا في بعض الحالات.</w:t>
      </w:r>
    </w:p>
    <w:p w14:paraId="651C4F1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29. أستطيع تحديد خطوات عملية لمعالجة ما أفسدته.</w:t>
      </w:r>
    </w:p>
    <w:p w14:paraId="0A13CC21"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30. عندما يتعذر الإصلاح المباشر، أستطيع التفكير في بدائل مناسبة للتعويض أو الإصلاح.</w:t>
      </w:r>
    </w:p>
    <w:p w14:paraId="348AB121"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ج. التراكم الزمني</w:t>
      </w:r>
    </w:p>
    <w:p w14:paraId="47BA2018"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31. ما زال ذنب قديم تجاه شخص آخر يؤثر في مشاعري الحالية.</w:t>
      </w:r>
    </w:p>
    <w:p w14:paraId="4A6E2224"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32. أشعر أحيانًا أن ثقل الذنب تجاه الآخر يزداد بمرور الوقت.</w:t>
      </w:r>
    </w:p>
    <w:p w14:paraId="7E20AEB8"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33. يرتبط التفكير المستمر في الذنب تجاه الآخر لديّ بالتوتر أو أعراض جسدية.</w:t>
      </w:r>
    </w:p>
    <w:p w14:paraId="46DBBB69"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34. كلما حاولت تجنب التفكير في ذنب تجاه شخص آخر، عاد التفكير فيه بصورة أقوى.</w:t>
      </w:r>
    </w:p>
    <w:p w14:paraId="76B17AA4"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35. أشعر أحيانًا أن مرور الوقت جعل إصلاح ما حدث أكثر صعوبة.</w:t>
      </w:r>
    </w:p>
    <w:p w14:paraId="11BADB12"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د. المكاسب الثانوية</w:t>
      </w:r>
    </w:p>
    <w:p w14:paraId="4872EDD2"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36. أستخدم الحديث عن ذنبي تجاه الآخرين أحيانًا للحصول على تعاطف المحيطين بي.</w:t>
      </w:r>
    </w:p>
    <w:p w14:paraId="7C1A7889"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37. أشعر أحيانًا أن البقاء في حالة الذنب أسهل من مواجهة الشخص الذي أعتقد أنني أخطأت في حقه.</w:t>
      </w:r>
    </w:p>
    <w:p w14:paraId="1E8F2B83"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38. أخشى أحيانًا مواجهة الآخر بسبب ما قد يترتب على ذلك من نتائج.</w:t>
      </w:r>
    </w:p>
    <w:p w14:paraId="75851149"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39. يساعدني الشعور بالذنب أحيانًا على تجنب مواجهة جوانب مؤلمة من الحقيقة.</w:t>
      </w:r>
    </w:p>
    <w:p w14:paraId="0CF50F6A"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40. أستخدم شعوري بالذنب أحيانًا لتبرير العزلة أو الانسحاب من الآخرين.</w:t>
      </w:r>
    </w:p>
    <w:p w14:paraId="305D0C95"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ثالثًا: الدين تجاه النفس</w:t>
      </w:r>
    </w:p>
    <w:p w14:paraId="7CB87702"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أ. التحديد</w:t>
      </w:r>
    </w:p>
    <w:p w14:paraId="4BBA817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41. أشعر بالذنب لأنني أهملت جوانب محددة من حياتي الشخصية.</w:t>
      </w:r>
    </w:p>
    <w:p w14:paraId="4D065254"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42. أستطيع تحديد المجالات التي أعتقد أنني أهدرت فيها قدراتي أو طاقاتي.</w:t>
      </w:r>
    </w:p>
    <w:p w14:paraId="06914A05"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43. أشعر بأن بعض اختياراتي السابقة لا تنسجم مع القيم التي أريد أن أعيش وفقها.</w:t>
      </w:r>
    </w:p>
    <w:p w14:paraId="0ED14BB4"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44. يرتبط شعوري بالذنب تجاه نفسي باختيارات محددة، لا بإحساس عام بعدم القيمة.</w:t>
      </w:r>
    </w:p>
    <w:p w14:paraId="0E52007A"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45. أستطيع تحديد ما أعتقد أنني أهدرته من قدرات أو فرص.</w:t>
      </w:r>
    </w:p>
    <w:p w14:paraId="7AE8F1C1"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ب. قابلية السداد والإصلاح</w:t>
      </w:r>
    </w:p>
    <w:p w14:paraId="558F641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46. أعتقد أن بإمكاني البدء من جديد في الجوانب التي أهملتها.</w:t>
      </w:r>
    </w:p>
    <w:p w14:paraId="79006EB2"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47. أرى أن معالجة إهمالي لنفسي ما تزال ممكنة.</w:t>
      </w:r>
    </w:p>
    <w:p w14:paraId="20A38B6B"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48. أستطيع وضع خطة عملية لاستعادة بعض ما أهملته.</w:t>
      </w:r>
    </w:p>
    <w:p w14:paraId="3D2838CD"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49. أؤمن بأن الوقت الذي مضى لا يمنع بالضرورة إمكانية التغيير.</w:t>
      </w:r>
    </w:p>
    <w:p w14:paraId="4B17DB67"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50. أعرف خطوات عملية يمكنني القيام بها لتطوير نفسي.</w:t>
      </w:r>
    </w:p>
    <w:p w14:paraId="6D48CA78"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ج. التراكم الزمني</w:t>
      </w:r>
    </w:p>
    <w:p w14:paraId="1C8C4572"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51. مضت سنوات وأنا أشعر بأنني لم أحقق ما كنت أستطيع تحقيقه.</w:t>
      </w:r>
    </w:p>
    <w:p w14:paraId="4C50F6D0"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52. أشعر بأن إهمالي لنفسي تراكم مع مرور الوقت.</w:t>
      </w:r>
    </w:p>
    <w:p w14:paraId="59195F94"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53. يرتبط التفكير المستمر في إهمالي لذاتي بمشاعر نفسية سلبية.</w:t>
      </w:r>
    </w:p>
    <w:p w14:paraId="3D749EB0"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54. أشعر أحيانًا بأن الوقت يمضي بينما أبقى في المكان نفسه.</w:t>
      </w:r>
    </w:p>
    <w:p w14:paraId="3DF88B52"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55. كلما حاولت التغيير، أشعر أحيانًا بأنني أعود إلى نقطة البداية.</w:t>
      </w:r>
    </w:p>
    <w:p w14:paraId="0305AA46"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د. المكاسب الثانوية</w:t>
      </w:r>
    </w:p>
    <w:p w14:paraId="0B61FEF9"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56. أستخدم شعوري بالذنب تجاه نفسي أحيانًا ذريعة لعدم المحاولة.</w:t>
      </w:r>
    </w:p>
    <w:p w14:paraId="497F4B22"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57. أشعر أحيانًا بأن البقاء في دور الضحية أسهل من تحمل مسؤولية التغيير.</w:t>
      </w:r>
    </w:p>
    <w:p w14:paraId="33723C6C"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58. أخشى أحيانًا أن أكتشف أنني غير قادر على تحقيق ما أطمح إليه.</w:t>
      </w:r>
    </w:p>
    <w:p w14:paraId="4084C710"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59. يساعدني الشعور بالذنب أحيانًا على تجنب تحمل مسؤولية بعض إخفاقاتي.</w:t>
      </w:r>
    </w:p>
    <w:p w14:paraId="40D583C2" w14:textId="77777777" w:rsidR="00B710AA" w:rsidRDefault="00000000" w:rsidP="006F26FF">
      <w:pPr>
        <w:spacing w:after="90" w:line="290" w:lineRule="auto"/>
        <w:ind w:left="260"/>
      </w:pPr>
      <w:r>
        <w:rPr>
          <w:rFonts w:ascii="Traditional Arabic" w:eastAsia="Traditional Arabic" w:hAnsi="Traditional Arabic" w:cs="Traditional Arabic"/>
          <w:color w:val="1A1A1A"/>
          <w:sz w:val="25"/>
          <w:szCs w:val="25"/>
          <w:rtl/>
        </w:rPr>
        <w:t>60. أستخدم معاناتي المرتبطة بالذنب أحيانًا للحصول على تعاطف الآخرين.</w:t>
      </w:r>
    </w:p>
    <w:p w14:paraId="5A2C863D"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٩. ملاحظات منهجية على صياغة الفقرات</w:t>
      </w:r>
    </w:p>
    <w:p w14:paraId="7926A70D"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ينبغي أن تخضع الفقرات السابقة لمراجعة لغوية </w:t>
      </w:r>
      <w:proofErr w:type="spellStart"/>
      <w:r>
        <w:rPr>
          <w:rFonts w:ascii="Traditional Arabic" w:eastAsia="Traditional Arabic" w:hAnsi="Traditional Arabic" w:cs="Traditional Arabic"/>
          <w:color w:val="1A1A1A"/>
          <w:sz w:val="26"/>
          <w:szCs w:val="26"/>
          <w:rtl/>
        </w:rPr>
        <w:t>وسيكومترية</w:t>
      </w:r>
      <w:proofErr w:type="spellEnd"/>
      <w:r>
        <w:rPr>
          <w:rFonts w:ascii="Traditional Arabic" w:eastAsia="Traditional Arabic" w:hAnsi="Traditional Arabic" w:cs="Traditional Arabic"/>
          <w:color w:val="1A1A1A"/>
          <w:sz w:val="26"/>
          <w:szCs w:val="26"/>
          <w:rtl/>
        </w:rPr>
        <w:t xml:space="preserve"> قبل اعتمادها، وفق الشروط الآتية:</w:t>
      </w:r>
    </w:p>
    <w:p w14:paraId="5AE39635"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أن تقيس كل فقرة فكرة واحدة قدر الإمكان (تجنب الفقرات المركبة).</w:t>
      </w:r>
    </w:p>
    <w:p w14:paraId="68064C17"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تجنب الصياغات التي تفترض مسبقًا وجود اضطراب.</w:t>
      </w:r>
    </w:p>
    <w:p w14:paraId="54A1EA37"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تجنب العبارات التي تحمل حكمًا أخلاقيًا على المفحوص.</w:t>
      </w:r>
    </w:p>
    <w:p w14:paraId="62A33458"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الفصل بين قياس الدين النفسي وقياس نتائجه المحتملة، كالاكتئاب والقلق.</w:t>
      </w:r>
    </w:p>
    <w:p w14:paraId="2A1BF12E"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التمييز بين المؤشر النفسي والمعتقد الديني نفسه.</w:t>
      </w:r>
    </w:p>
    <w:p w14:paraId="0D004A0E"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التأكد من أن ارتفاع الدرجة يمثل الخاصية المقاسة بطريقة متسقة (اتجاه التصحيح).</w:t>
      </w:r>
    </w:p>
    <w:p w14:paraId="5F25B47B"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وتكتسب النقطة الأخيرة أهمية خاصة؛ ذلك أن بعض فقرات بُعد قابلية السداد في الصيغة الأولية قد تكون عكسية الاتجاه بالنسبة إلى شدة الدين النفسي الكلية (فارتفاع الإحساس بإمكان الإصلاح قد يدل نظريًا على الدين الحقيقي لا على شدة الدين الوهمي). ولذلك يجب تحديد اتجاه التصحيح واتجاه العلاقة بين كل بُعد وبين الدرجة الكلية بعد بناء النموذج العاملي مباشرة، لا افتراضه سلفًا، وعدم افتراض أن ارتفاع كل الفقرات يؤدي تلقائيًا إلى ارتفاع الدرجة الكلية للدين النفسي.</w:t>
      </w:r>
    </w:p>
    <w:p w14:paraId="4489B1C5"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١٠. الصدق المحتوى</w:t>
      </w:r>
    </w:p>
    <w:p w14:paraId="7175994C"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تُعرض النسخة الأولية من المقياس على لجنة متعددة التخصصات تضم، قدر الإمكان: متخصصين في علم النفس الإكلينيكي، ومتخصصين في القياس النفسي، ومتخصصين في علم النفس الديني أو الثقافي، ومتخصصين في الدراسات الإسلامية عند الحاجة إلى تقييم الجانب الديني للمفهوم، ومتخصصين في اللغة العربية والصياغة العلمية. ويُطلب من المحكمين تقييم: ملاءمة الفقرة للمفهوم، وانتمائها إلى البُعد المفترض، ووضوحها اللغوي، وخلوها من الغموض، وملاءمتها الثقافية، وعدم تداخلها غير المبرر مع متغيرات نفسية أخرى.</w:t>
      </w:r>
    </w:p>
    <w:p w14:paraId="4786E46E"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ويُستخدم لهذا الغرض نسبة الصدق المحتوى (</w:t>
      </w:r>
      <w:proofErr w:type="spellStart"/>
      <w:r>
        <w:rPr>
          <w:rFonts w:ascii="Traditional Arabic" w:eastAsia="Traditional Arabic" w:hAnsi="Traditional Arabic" w:cs="Traditional Arabic"/>
          <w:color w:val="1A1A1A"/>
          <w:sz w:val="26"/>
          <w:szCs w:val="26"/>
          <w:rtl/>
        </w:rPr>
        <w:t>Content</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Validity</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Ratio</w:t>
      </w:r>
      <w:proofErr w:type="spellEnd"/>
      <w:r>
        <w:rPr>
          <w:rFonts w:ascii="Traditional Arabic" w:eastAsia="Traditional Arabic" w:hAnsi="Traditional Arabic" w:cs="Traditional Arabic"/>
          <w:color w:val="1A1A1A"/>
          <w:sz w:val="26"/>
          <w:szCs w:val="26"/>
          <w:rtl/>
        </w:rPr>
        <w:t xml:space="preserve"> – CVR) بصيغتها التي وضعها </w:t>
      </w:r>
      <w:proofErr w:type="spellStart"/>
      <w:r>
        <w:rPr>
          <w:rFonts w:ascii="Traditional Arabic" w:eastAsia="Traditional Arabic" w:hAnsi="Traditional Arabic" w:cs="Traditional Arabic"/>
          <w:color w:val="1A1A1A"/>
          <w:sz w:val="26"/>
          <w:szCs w:val="26"/>
          <w:rtl/>
        </w:rPr>
        <w:t>Lawshe</w:t>
      </w:r>
      <w:proofErr w:type="spellEnd"/>
      <w:r>
        <w:rPr>
          <w:rFonts w:ascii="Traditional Arabic" w:eastAsia="Traditional Arabic" w:hAnsi="Traditional Arabic" w:cs="Traditional Arabic"/>
          <w:color w:val="1A1A1A"/>
          <w:sz w:val="26"/>
          <w:szCs w:val="26"/>
          <w:rtl/>
        </w:rPr>
        <w:t xml:space="preserve"> (1975)، إلى جانب مؤشر الصدق المحتوى (</w:t>
      </w:r>
      <w:proofErr w:type="spellStart"/>
      <w:r>
        <w:rPr>
          <w:rFonts w:ascii="Traditional Arabic" w:eastAsia="Traditional Arabic" w:hAnsi="Traditional Arabic" w:cs="Traditional Arabic"/>
          <w:color w:val="1A1A1A"/>
          <w:sz w:val="26"/>
          <w:szCs w:val="26"/>
          <w:rtl/>
        </w:rPr>
        <w:t>Content</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Validity</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Index</w:t>
      </w:r>
      <w:proofErr w:type="spellEnd"/>
      <w:r>
        <w:rPr>
          <w:rFonts w:ascii="Traditional Arabic" w:eastAsia="Traditional Arabic" w:hAnsi="Traditional Arabic" w:cs="Traditional Arabic"/>
          <w:color w:val="1A1A1A"/>
          <w:sz w:val="26"/>
          <w:szCs w:val="26"/>
          <w:rtl/>
        </w:rPr>
        <w:t xml:space="preserve"> – CVI)، ومعامل كابا </w:t>
      </w:r>
      <w:proofErr w:type="spellStart"/>
      <w:r>
        <w:rPr>
          <w:rFonts w:ascii="Traditional Arabic" w:eastAsia="Traditional Arabic" w:hAnsi="Traditional Arabic" w:cs="Traditional Arabic"/>
          <w:color w:val="1A1A1A"/>
          <w:sz w:val="26"/>
          <w:szCs w:val="26"/>
          <w:rtl/>
        </w:rPr>
        <w:t>Kappa</w:t>
      </w:r>
      <w:proofErr w:type="spellEnd"/>
      <w:r>
        <w:rPr>
          <w:rFonts w:ascii="Traditional Arabic" w:eastAsia="Traditional Arabic" w:hAnsi="Traditional Arabic" w:cs="Traditional Arabic"/>
          <w:color w:val="1A1A1A"/>
          <w:sz w:val="26"/>
          <w:szCs w:val="26"/>
          <w:rtl/>
        </w:rPr>
        <w:t xml:space="preserve"> عند ملاءمته لطبيعة البيانات. وتشير القيم الحرجة المعدَّلة لنسبة الصدق المحتوى، بحسب حجم لجنة التحكيم، إلى أن قيمة تقارب 0.78 تُعد حدًا إرشاديًا مقبولًا مع لجنة من نحو تسعة إلى عشرة محكمين (</w:t>
      </w:r>
      <w:proofErr w:type="spellStart"/>
      <w:r>
        <w:rPr>
          <w:rFonts w:ascii="Traditional Arabic" w:eastAsia="Traditional Arabic" w:hAnsi="Traditional Arabic" w:cs="Traditional Arabic"/>
          <w:color w:val="1A1A1A"/>
          <w:sz w:val="26"/>
          <w:szCs w:val="26"/>
          <w:rtl/>
        </w:rPr>
        <w:t>Lawshe</w:t>
      </w:r>
      <w:proofErr w:type="spellEnd"/>
      <w:r>
        <w:rPr>
          <w:rFonts w:ascii="Traditional Arabic" w:eastAsia="Traditional Arabic" w:hAnsi="Traditional Arabic" w:cs="Traditional Arabic"/>
          <w:color w:val="1A1A1A"/>
          <w:sz w:val="26"/>
          <w:szCs w:val="26"/>
          <w:rtl/>
        </w:rPr>
        <w:t xml:space="preserve">, 1975؛ </w:t>
      </w:r>
      <w:proofErr w:type="spellStart"/>
      <w:r>
        <w:rPr>
          <w:rFonts w:ascii="Traditional Arabic" w:eastAsia="Traditional Arabic" w:hAnsi="Traditional Arabic" w:cs="Traditional Arabic"/>
          <w:color w:val="1A1A1A"/>
          <w:sz w:val="26"/>
          <w:szCs w:val="26"/>
          <w:rtl/>
        </w:rPr>
        <w:t>Ayre</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Scally</w:t>
      </w:r>
      <w:proofErr w:type="spellEnd"/>
      <w:r>
        <w:rPr>
          <w:rFonts w:ascii="Traditional Arabic" w:eastAsia="Traditional Arabic" w:hAnsi="Traditional Arabic" w:cs="Traditional Arabic"/>
          <w:color w:val="1A1A1A"/>
          <w:sz w:val="26"/>
          <w:szCs w:val="26"/>
          <w:rtl/>
        </w:rPr>
        <w:t>, 2014)، على أن تُفسَّر هذه القيمة في ضوء عدد المحكمين وطبيعة الإجراء المستخدم، لا باعتماد رقم واحد قاعدةً مطلقة.</w:t>
      </w:r>
    </w:p>
    <w:p w14:paraId="1CF6387D"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١١. التحليل العاملي</w:t>
      </w:r>
    </w:p>
    <w:p w14:paraId="2CE1D5CC"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١١.١ التحليل العاملي الاستكشافي (EFA)</w:t>
      </w:r>
    </w:p>
    <w:p w14:paraId="6ED3CA66"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يهدف التحليل العاملي الاستكشافي إلى اختبار ما إذا كانت البيانات الفعلية تدعم البنية النظرية الثلاثية المفترضة (3×4). ويُقترح إجراء هذا التحليل على عينة لا يقل حجمها عن مئتي مفحوص، مع تفضيل عينات أكبر كلما أمكن، خصوصًا مع ارتفاع عدد الفقرات وتعقّد النموذج؛ إذ توصي المصادر المنهجية بعتبات دنيا تتراوح بين 200 مفحوص (</w:t>
      </w:r>
      <w:proofErr w:type="spellStart"/>
      <w:r>
        <w:rPr>
          <w:rFonts w:ascii="Traditional Arabic" w:eastAsia="Traditional Arabic" w:hAnsi="Traditional Arabic" w:cs="Traditional Arabic"/>
          <w:color w:val="1A1A1A"/>
          <w:sz w:val="26"/>
          <w:szCs w:val="26"/>
          <w:rtl/>
        </w:rPr>
        <w:t>Comrey</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Lee</w:t>
      </w:r>
      <w:proofErr w:type="spellEnd"/>
      <w:r>
        <w:rPr>
          <w:rFonts w:ascii="Traditional Arabic" w:eastAsia="Traditional Arabic" w:hAnsi="Traditional Arabic" w:cs="Traditional Arabic"/>
          <w:color w:val="1A1A1A"/>
          <w:sz w:val="26"/>
          <w:szCs w:val="26"/>
          <w:rtl/>
        </w:rPr>
        <w:t xml:space="preserve">, 1992) وما لا يقل عن خمسة أضعاف عدد الفقرات، مع مراعاة أن كفاية العينة تتحدد أيضًا بمستوى </w:t>
      </w:r>
      <w:proofErr w:type="spellStart"/>
      <w:r>
        <w:rPr>
          <w:rFonts w:ascii="Traditional Arabic" w:eastAsia="Traditional Arabic" w:hAnsi="Traditional Arabic" w:cs="Traditional Arabic"/>
          <w:color w:val="1A1A1A"/>
          <w:sz w:val="26"/>
          <w:szCs w:val="26"/>
          <w:rtl/>
        </w:rPr>
        <w:t>التشبعات</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العاملية</w:t>
      </w:r>
      <w:proofErr w:type="spellEnd"/>
      <w:r>
        <w:rPr>
          <w:rFonts w:ascii="Traditional Arabic" w:eastAsia="Traditional Arabic" w:hAnsi="Traditional Arabic" w:cs="Traditional Arabic"/>
          <w:color w:val="1A1A1A"/>
          <w:sz w:val="26"/>
          <w:szCs w:val="26"/>
          <w:rtl/>
        </w:rPr>
        <w:t xml:space="preserve"> المتوقعة وبعدد المتغيرات لكل عامل، لا بعدد مطلق ثابت (</w:t>
      </w:r>
      <w:proofErr w:type="spellStart"/>
      <w:r>
        <w:rPr>
          <w:rFonts w:ascii="Traditional Arabic" w:eastAsia="Traditional Arabic" w:hAnsi="Traditional Arabic" w:cs="Traditional Arabic"/>
          <w:color w:val="1A1A1A"/>
          <w:sz w:val="26"/>
          <w:szCs w:val="26"/>
          <w:rtl/>
        </w:rPr>
        <w:t>MacCallum</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Widaman</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Zhang</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Hong</w:t>
      </w:r>
      <w:proofErr w:type="spellEnd"/>
      <w:r>
        <w:rPr>
          <w:rFonts w:ascii="Traditional Arabic" w:eastAsia="Traditional Arabic" w:hAnsi="Traditional Arabic" w:cs="Traditional Arabic"/>
          <w:color w:val="1A1A1A"/>
          <w:sz w:val="26"/>
          <w:szCs w:val="26"/>
          <w:rtl/>
        </w:rPr>
        <w:t>, 1999).</w:t>
      </w:r>
    </w:p>
    <w:p w14:paraId="4E089C59"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ويُراعى في التحليل: التحقق من ملاءمة حجم العينة عبر مؤشر </w:t>
      </w:r>
      <w:proofErr w:type="spellStart"/>
      <w:r>
        <w:rPr>
          <w:rFonts w:ascii="Traditional Arabic" w:eastAsia="Traditional Arabic" w:hAnsi="Traditional Arabic" w:cs="Traditional Arabic"/>
          <w:color w:val="1A1A1A"/>
          <w:sz w:val="26"/>
          <w:szCs w:val="26"/>
          <w:rtl/>
        </w:rPr>
        <w:t>كايزر</w:t>
      </w:r>
      <w:proofErr w:type="spellEnd"/>
      <w:r>
        <w:rPr>
          <w:rFonts w:ascii="Traditional Arabic" w:eastAsia="Traditional Arabic" w:hAnsi="Traditional Arabic" w:cs="Traditional Arabic"/>
          <w:color w:val="1A1A1A"/>
          <w:sz w:val="26"/>
          <w:szCs w:val="26"/>
          <w:rtl/>
        </w:rPr>
        <w:t>-</w:t>
      </w:r>
      <w:proofErr w:type="spellStart"/>
      <w:r>
        <w:rPr>
          <w:rFonts w:ascii="Traditional Arabic" w:eastAsia="Traditional Arabic" w:hAnsi="Traditional Arabic" w:cs="Traditional Arabic"/>
          <w:color w:val="1A1A1A"/>
          <w:sz w:val="26"/>
          <w:szCs w:val="26"/>
          <w:rtl/>
        </w:rPr>
        <w:t>ماير</w:t>
      </w:r>
      <w:proofErr w:type="spellEnd"/>
      <w:r>
        <w:rPr>
          <w:rFonts w:ascii="Traditional Arabic" w:eastAsia="Traditional Arabic" w:hAnsi="Traditional Arabic" w:cs="Traditional Arabic"/>
          <w:color w:val="1A1A1A"/>
          <w:sz w:val="26"/>
          <w:szCs w:val="26"/>
          <w:rtl/>
        </w:rPr>
        <w:t xml:space="preserve">-أولكن (KMO) الذي وضعه </w:t>
      </w:r>
      <w:proofErr w:type="spellStart"/>
      <w:r>
        <w:rPr>
          <w:rFonts w:ascii="Traditional Arabic" w:eastAsia="Traditional Arabic" w:hAnsi="Traditional Arabic" w:cs="Traditional Arabic"/>
          <w:color w:val="1A1A1A"/>
          <w:sz w:val="26"/>
          <w:szCs w:val="26"/>
          <w:rtl/>
        </w:rPr>
        <w:t>Kaiser</w:t>
      </w:r>
      <w:proofErr w:type="spellEnd"/>
      <w:r>
        <w:rPr>
          <w:rFonts w:ascii="Traditional Arabic" w:eastAsia="Traditional Arabic" w:hAnsi="Traditional Arabic" w:cs="Traditional Arabic"/>
          <w:color w:val="1A1A1A"/>
          <w:sz w:val="26"/>
          <w:szCs w:val="26"/>
          <w:rtl/>
        </w:rPr>
        <w:t xml:space="preserve"> (1974)، واختبار </w:t>
      </w:r>
      <w:proofErr w:type="spellStart"/>
      <w:r>
        <w:rPr>
          <w:rFonts w:ascii="Traditional Arabic" w:eastAsia="Traditional Arabic" w:hAnsi="Traditional Arabic" w:cs="Traditional Arabic"/>
          <w:color w:val="1A1A1A"/>
          <w:sz w:val="26"/>
          <w:szCs w:val="26"/>
          <w:rtl/>
        </w:rPr>
        <w:t>بارتليت</w:t>
      </w:r>
      <w:proofErr w:type="spellEnd"/>
      <w:r>
        <w:rPr>
          <w:rFonts w:ascii="Traditional Arabic" w:eastAsia="Traditional Arabic" w:hAnsi="Traditional Arabic" w:cs="Traditional Arabic"/>
          <w:color w:val="1A1A1A"/>
          <w:sz w:val="26"/>
          <w:szCs w:val="26"/>
          <w:rtl/>
        </w:rPr>
        <w:t xml:space="preserve"> للكروية (</w:t>
      </w:r>
      <w:proofErr w:type="spellStart"/>
      <w:r>
        <w:rPr>
          <w:rFonts w:ascii="Traditional Arabic" w:eastAsia="Traditional Arabic" w:hAnsi="Traditional Arabic" w:cs="Traditional Arabic"/>
          <w:color w:val="1A1A1A"/>
          <w:sz w:val="26"/>
          <w:szCs w:val="26"/>
          <w:rtl/>
        </w:rPr>
        <w:t>Bartlett</w:t>
      </w:r>
      <w:proofErr w:type="spellEnd"/>
      <w:r>
        <w:rPr>
          <w:rFonts w:ascii="Traditional Arabic" w:eastAsia="Traditional Arabic" w:hAnsi="Traditional Arabic" w:cs="Traditional Arabic"/>
          <w:color w:val="1A1A1A"/>
          <w:sz w:val="26"/>
          <w:szCs w:val="26"/>
          <w:rtl/>
        </w:rPr>
        <w:t>, 1950)، واختيار طريقة استخراج مناسبة لطبيعة البيانات (المحاور الأساسية أو الإمكان الأعظم)، واستخدام تدوير مائل (</w:t>
      </w:r>
      <w:proofErr w:type="spellStart"/>
      <w:r>
        <w:rPr>
          <w:rFonts w:ascii="Traditional Arabic" w:eastAsia="Traditional Arabic" w:hAnsi="Traditional Arabic" w:cs="Traditional Arabic"/>
          <w:color w:val="1A1A1A"/>
          <w:sz w:val="26"/>
          <w:szCs w:val="26"/>
          <w:rtl/>
        </w:rPr>
        <w:t>Oblique</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Rotation</w:t>
      </w:r>
      <w:proofErr w:type="spellEnd"/>
      <w:r>
        <w:rPr>
          <w:rFonts w:ascii="Traditional Arabic" w:eastAsia="Traditional Arabic" w:hAnsi="Traditional Arabic" w:cs="Traditional Arabic"/>
          <w:color w:val="1A1A1A"/>
          <w:sz w:val="26"/>
          <w:szCs w:val="26"/>
          <w:rtl/>
        </w:rPr>
        <w:t xml:space="preserve">) عند توقع ارتباط بين العوامل، ودراسة </w:t>
      </w:r>
      <w:proofErr w:type="spellStart"/>
      <w:r>
        <w:rPr>
          <w:rFonts w:ascii="Traditional Arabic" w:eastAsia="Traditional Arabic" w:hAnsi="Traditional Arabic" w:cs="Traditional Arabic"/>
          <w:color w:val="1A1A1A"/>
          <w:sz w:val="26"/>
          <w:szCs w:val="26"/>
          <w:rtl/>
        </w:rPr>
        <w:t>التشبعات</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العاملية</w:t>
      </w:r>
      <w:proofErr w:type="spellEnd"/>
      <w:r>
        <w:rPr>
          <w:rFonts w:ascii="Traditional Arabic" w:eastAsia="Traditional Arabic" w:hAnsi="Traditional Arabic" w:cs="Traditional Arabic"/>
          <w:color w:val="1A1A1A"/>
          <w:sz w:val="26"/>
          <w:szCs w:val="26"/>
          <w:rtl/>
        </w:rPr>
        <w:t>، وحذف الفقرات ضعيفة التشبع أو شديدة التداخل وفق معايير مسبقة لا وفق معيار إحصائي واحد فقط (</w:t>
      </w:r>
      <w:proofErr w:type="spellStart"/>
      <w:r>
        <w:rPr>
          <w:rFonts w:ascii="Traditional Arabic" w:eastAsia="Traditional Arabic" w:hAnsi="Traditional Arabic" w:cs="Traditional Arabic"/>
          <w:color w:val="1A1A1A"/>
          <w:sz w:val="26"/>
          <w:szCs w:val="26"/>
          <w:rtl/>
        </w:rPr>
        <w:t>Fabrigar</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Wegener</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MacCallum</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Strahan</w:t>
      </w:r>
      <w:proofErr w:type="spellEnd"/>
      <w:r>
        <w:rPr>
          <w:rFonts w:ascii="Traditional Arabic" w:eastAsia="Traditional Arabic" w:hAnsi="Traditional Arabic" w:cs="Traditional Arabic"/>
          <w:color w:val="1A1A1A"/>
          <w:sz w:val="26"/>
          <w:szCs w:val="26"/>
          <w:rtl/>
        </w:rPr>
        <w:t>, 1999). ويُعد التشبع العاملي الذي يقترب من 0.40 أو يتجاوزه مؤشرًا إرشاديًا أوليًا شائع الاستخدام (</w:t>
      </w:r>
      <w:proofErr w:type="spellStart"/>
      <w:r>
        <w:rPr>
          <w:rFonts w:ascii="Traditional Arabic" w:eastAsia="Traditional Arabic" w:hAnsi="Traditional Arabic" w:cs="Traditional Arabic"/>
          <w:color w:val="1A1A1A"/>
          <w:sz w:val="26"/>
          <w:szCs w:val="26"/>
          <w:rtl/>
        </w:rPr>
        <w:t>Comrey</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Lee</w:t>
      </w:r>
      <w:proofErr w:type="spellEnd"/>
      <w:r>
        <w:rPr>
          <w:rFonts w:ascii="Traditional Arabic" w:eastAsia="Traditional Arabic" w:hAnsi="Traditional Arabic" w:cs="Traditional Arabic"/>
          <w:color w:val="1A1A1A"/>
          <w:sz w:val="26"/>
          <w:szCs w:val="26"/>
          <w:rtl/>
        </w:rPr>
        <w:t>, 1992)، لا قاعدة مطلقة مستقلة عن بقية الأدلة.</w:t>
      </w:r>
    </w:p>
    <w:p w14:paraId="3B62CE63"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١١.٢ التحليل العاملي التوكيدي (CFA)</w:t>
      </w:r>
    </w:p>
    <w:p w14:paraId="58946D73"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بعد الوصول إلى نموذج أولي عبر التحليل الاستكشافي، ينبغي اختبار هذا النموذج على عينة مستقلة باستخدام التحليل العاملي التوكيدي، بالاستعانة بمؤشرات المطابقة المعتادة: مؤشر المطابقة المقارن (CFI)، ومؤشر توكر-لويس (TLI)، وجذر متوسط مربع خطأ التقريب (RMSEA)، والجذر التربيعي المعياري لمتوسط البواقي (SRMR). وتُعد القيم التي تقترب من 0.95 أو تزيد عليها لمؤشري CFI </w:t>
      </w:r>
      <w:proofErr w:type="spellStart"/>
      <w:r>
        <w:rPr>
          <w:rFonts w:ascii="Traditional Arabic" w:eastAsia="Traditional Arabic" w:hAnsi="Traditional Arabic" w:cs="Traditional Arabic"/>
          <w:color w:val="1A1A1A"/>
          <w:sz w:val="26"/>
          <w:szCs w:val="26"/>
          <w:rtl/>
        </w:rPr>
        <w:t>وTLI</w:t>
      </w:r>
      <w:proofErr w:type="spellEnd"/>
      <w:r>
        <w:rPr>
          <w:rFonts w:ascii="Traditional Arabic" w:eastAsia="Traditional Arabic" w:hAnsi="Traditional Arabic" w:cs="Traditional Arabic"/>
          <w:color w:val="1A1A1A"/>
          <w:sz w:val="26"/>
          <w:szCs w:val="26"/>
          <w:rtl/>
        </w:rPr>
        <w:t xml:space="preserve">، وقيمة 0.06 أو أقل لمؤشر RMSEA، وقيمة 0.08 أو أقل لمؤشر SRMR، معايير إرشادية شائعة الاستخدام استنادًا إلى محاكاة </w:t>
      </w:r>
      <w:proofErr w:type="spellStart"/>
      <w:r>
        <w:rPr>
          <w:rFonts w:ascii="Traditional Arabic" w:eastAsia="Traditional Arabic" w:hAnsi="Traditional Arabic" w:cs="Traditional Arabic"/>
          <w:color w:val="1A1A1A"/>
          <w:sz w:val="26"/>
          <w:szCs w:val="26"/>
          <w:rtl/>
        </w:rPr>
        <w:t>Hu</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Bentler</w:t>
      </w:r>
      <w:proofErr w:type="spellEnd"/>
      <w:r>
        <w:rPr>
          <w:rFonts w:ascii="Traditional Arabic" w:eastAsia="Traditional Arabic" w:hAnsi="Traditional Arabic" w:cs="Traditional Arabic"/>
          <w:color w:val="1A1A1A"/>
          <w:sz w:val="26"/>
          <w:szCs w:val="26"/>
          <w:rtl/>
        </w:rPr>
        <w:t xml:space="preserve"> (1999)، على أن يُعتمد في تقييم النموذج على مجموع هذه المؤشرات مجتمعة، مقترنة بالأساس النظري، لا على مطابقة آلية لحدود رقمية منفردة، إذ تظل هذه العتبات موضع نقاش منهجي مستمر في أدبيات القياس (</w:t>
      </w:r>
      <w:proofErr w:type="spellStart"/>
      <w:r>
        <w:rPr>
          <w:rFonts w:ascii="Traditional Arabic" w:eastAsia="Traditional Arabic" w:hAnsi="Traditional Arabic" w:cs="Traditional Arabic"/>
          <w:color w:val="1A1A1A"/>
          <w:sz w:val="26"/>
          <w:szCs w:val="26"/>
          <w:rtl/>
        </w:rPr>
        <w:t>Marsh</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Hau</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Wen</w:t>
      </w:r>
      <w:proofErr w:type="spellEnd"/>
      <w:r>
        <w:rPr>
          <w:rFonts w:ascii="Traditional Arabic" w:eastAsia="Traditional Arabic" w:hAnsi="Traditional Arabic" w:cs="Traditional Arabic"/>
          <w:color w:val="1A1A1A"/>
          <w:sz w:val="26"/>
          <w:szCs w:val="26"/>
          <w:rtl/>
        </w:rPr>
        <w:t>, 2004).</w:t>
      </w:r>
    </w:p>
    <w:p w14:paraId="5137CB8A"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١٢. الثبات</w:t>
      </w:r>
    </w:p>
    <w:p w14:paraId="64884326"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١٢.١ الاتساق الداخلي</w:t>
      </w:r>
    </w:p>
    <w:p w14:paraId="5A84F6B9"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يمكن استخدام معامل ألفا </w:t>
      </w:r>
      <w:proofErr w:type="spellStart"/>
      <w:r>
        <w:rPr>
          <w:rFonts w:ascii="Traditional Arabic" w:eastAsia="Traditional Arabic" w:hAnsi="Traditional Arabic" w:cs="Traditional Arabic"/>
          <w:color w:val="1A1A1A"/>
          <w:sz w:val="26"/>
          <w:szCs w:val="26"/>
          <w:rtl/>
        </w:rPr>
        <w:t>كرونباخ</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Cronbach's</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Alpha</w:t>
      </w:r>
      <w:proofErr w:type="spellEnd"/>
      <w:r>
        <w:rPr>
          <w:rFonts w:ascii="Traditional Arabic" w:eastAsia="Traditional Arabic" w:hAnsi="Traditional Arabic" w:cs="Traditional Arabic"/>
          <w:color w:val="1A1A1A"/>
          <w:sz w:val="26"/>
          <w:szCs w:val="26"/>
          <w:rtl/>
        </w:rPr>
        <w:t>) بصيغته الأصلية (</w:t>
      </w:r>
      <w:proofErr w:type="spellStart"/>
      <w:r>
        <w:rPr>
          <w:rFonts w:ascii="Traditional Arabic" w:eastAsia="Traditional Arabic" w:hAnsi="Traditional Arabic" w:cs="Traditional Arabic"/>
          <w:color w:val="1A1A1A"/>
          <w:sz w:val="26"/>
          <w:szCs w:val="26"/>
          <w:rtl/>
        </w:rPr>
        <w:t>Cronbach</w:t>
      </w:r>
      <w:proofErr w:type="spellEnd"/>
      <w:r>
        <w:rPr>
          <w:rFonts w:ascii="Traditional Arabic" w:eastAsia="Traditional Arabic" w:hAnsi="Traditional Arabic" w:cs="Traditional Arabic"/>
          <w:color w:val="1A1A1A"/>
          <w:sz w:val="26"/>
          <w:szCs w:val="26"/>
          <w:rtl/>
        </w:rPr>
        <w:t xml:space="preserve">, 1951)، ومعامل </w:t>
      </w:r>
      <w:proofErr w:type="spellStart"/>
      <w:r>
        <w:rPr>
          <w:rFonts w:ascii="Traditional Arabic" w:eastAsia="Traditional Arabic" w:hAnsi="Traditional Arabic" w:cs="Traditional Arabic"/>
          <w:color w:val="1A1A1A"/>
          <w:sz w:val="26"/>
          <w:szCs w:val="26"/>
          <w:rtl/>
        </w:rPr>
        <w:t>أوميغا</w:t>
      </w:r>
      <w:proofErr w:type="spellEnd"/>
      <w:r>
        <w:rPr>
          <w:rFonts w:ascii="Traditional Arabic" w:eastAsia="Traditional Arabic" w:hAnsi="Traditional Arabic" w:cs="Traditional Arabic"/>
          <w:color w:val="1A1A1A"/>
          <w:sz w:val="26"/>
          <w:szCs w:val="26"/>
          <w:rtl/>
        </w:rPr>
        <w:t xml:space="preserve"> لماكدونالد (</w:t>
      </w:r>
      <w:proofErr w:type="spellStart"/>
      <w:r>
        <w:rPr>
          <w:rFonts w:ascii="Traditional Arabic" w:eastAsia="Traditional Arabic" w:hAnsi="Traditional Arabic" w:cs="Traditional Arabic"/>
          <w:color w:val="1A1A1A"/>
          <w:sz w:val="26"/>
          <w:szCs w:val="26"/>
          <w:rtl/>
        </w:rPr>
        <w:t>McDonald's</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Omega</w:t>
      </w:r>
      <w:proofErr w:type="spellEnd"/>
      <w:r>
        <w:rPr>
          <w:rFonts w:ascii="Traditional Arabic" w:eastAsia="Traditional Arabic" w:hAnsi="Traditional Arabic" w:cs="Traditional Arabic"/>
          <w:color w:val="1A1A1A"/>
          <w:sz w:val="26"/>
          <w:szCs w:val="26"/>
          <w:rtl/>
        </w:rPr>
        <w:t>) القائم على التحليل العاملي التوكيدي (</w:t>
      </w:r>
      <w:proofErr w:type="spellStart"/>
      <w:r>
        <w:rPr>
          <w:rFonts w:ascii="Traditional Arabic" w:eastAsia="Traditional Arabic" w:hAnsi="Traditional Arabic" w:cs="Traditional Arabic"/>
          <w:color w:val="1A1A1A"/>
          <w:sz w:val="26"/>
          <w:szCs w:val="26"/>
          <w:rtl/>
        </w:rPr>
        <w:t>McDonald</w:t>
      </w:r>
      <w:proofErr w:type="spellEnd"/>
      <w:r>
        <w:rPr>
          <w:rFonts w:ascii="Traditional Arabic" w:eastAsia="Traditional Arabic" w:hAnsi="Traditional Arabic" w:cs="Traditional Arabic"/>
          <w:color w:val="1A1A1A"/>
          <w:sz w:val="26"/>
          <w:szCs w:val="26"/>
          <w:rtl/>
        </w:rPr>
        <w:t xml:space="preserve">, 1999)؛ ويُفضَّل عدم الاقتصار على ألفا </w:t>
      </w:r>
      <w:proofErr w:type="spellStart"/>
      <w:r>
        <w:rPr>
          <w:rFonts w:ascii="Traditional Arabic" w:eastAsia="Traditional Arabic" w:hAnsi="Traditional Arabic" w:cs="Traditional Arabic"/>
          <w:color w:val="1A1A1A"/>
          <w:sz w:val="26"/>
          <w:szCs w:val="26"/>
          <w:rtl/>
        </w:rPr>
        <w:t>كرونباخ</w:t>
      </w:r>
      <w:proofErr w:type="spellEnd"/>
      <w:r>
        <w:rPr>
          <w:rFonts w:ascii="Traditional Arabic" w:eastAsia="Traditional Arabic" w:hAnsi="Traditional Arabic" w:cs="Traditional Arabic"/>
          <w:color w:val="1A1A1A"/>
          <w:sz w:val="26"/>
          <w:szCs w:val="26"/>
          <w:rtl/>
        </w:rPr>
        <w:t xml:space="preserve"> وحده، نظرًا إلى أن افتراضاته الإحصائية (كافتراض التكافؤ الجوهري بين الفقرات) قد لا تتحقق في جميع البنى </w:t>
      </w:r>
      <w:proofErr w:type="spellStart"/>
      <w:r>
        <w:rPr>
          <w:rFonts w:ascii="Traditional Arabic" w:eastAsia="Traditional Arabic" w:hAnsi="Traditional Arabic" w:cs="Traditional Arabic"/>
          <w:color w:val="1A1A1A"/>
          <w:sz w:val="26"/>
          <w:szCs w:val="26"/>
          <w:rtl/>
        </w:rPr>
        <w:t>العاملية</w:t>
      </w:r>
      <w:proofErr w:type="spellEnd"/>
      <w:r>
        <w:rPr>
          <w:rFonts w:ascii="Traditional Arabic" w:eastAsia="Traditional Arabic" w:hAnsi="Traditional Arabic" w:cs="Traditional Arabic"/>
          <w:color w:val="1A1A1A"/>
          <w:sz w:val="26"/>
          <w:szCs w:val="26"/>
          <w:rtl/>
        </w:rPr>
        <w:t xml:space="preserve">، وأن </w:t>
      </w:r>
      <w:proofErr w:type="spellStart"/>
      <w:r>
        <w:rPr>
          <w:rFonts w:ascii="Traditional Arabic" w:eastAsia="Traditional Arabic" w:hAnsi="Traditional Arabic" w:cs="Traditional Arabic"/>
          <w:color w:val="1A1A1A"/>
          <w:sz w:val="26"/>
          <w:szCs w:val="26"/>
          <w:rtl/>
        </w:rPr>
        <w:t>أوميغا</w:t>
      </w:r>
      <w:proofErr w:type="spellEnd"/>
      <w:r>
        <w:rPr>
          <w:rFonts w:ascii="Traditional Arabic" w:eastAsia="Traditional Arabic" w:hAnsi="Traditional Arabic" w:cs="Traditional Arabic"/>
          <w:color w:val="1A1A1A"/>
          <w:sz w:val="26"/>
          <w:szCs w:val="26"/>
          <w:rtl/>
        </w:rPr>
        <w:t xml:space="preserve"> يقدم تقديرًا أكثر دقة حين تختلف </w:t>
      </w:r>
      <w:proofErr w:type="spellStart"/>
      <w:r>
        <w:rPr>
          <w:rFonts w:ascii="Traditional Arabic" w:eastAsia="Traditional Arabic" w:hAnsi="Traditional Arabic" w:cs="Traditional Arabic"/>
          <w:color w:val="1A1A1A"/>
          <w:sz w:val="26"/>
          <w:szCs w:val="26"/>
          <w:rtl/>
        </w:rPr>
        <w:t>تشبعات</w:t>
      </w:r>
      <w:proofErr w:type="spellEnd"/>
      <w:r>
        <w:rPr>
          <w:rFonts w:ascii="Traditional Arabic" w:eastAsia="Traditional Arabic" w:hAnsi="Traditional Arabic" w:cs="Traditional Arabic"/>
          <w:color w:val="1A1A1A"/>
          <w:sz w:val="26"/>
          <w:szCs w:val="26"/>
          <w:rtl/>
        </w:rPr>
        <w:t xml:space="preserve"> الفقرات (</w:t>
      </w:r>
      <w:proofErr w:type="spellStart"/>
      <w:r>
        <w:rPr>
          <w:rFonts w:ascii="Traditional Arabic" w:eastAsia="Traditional Arabic" w:hAnsi="Traditional Arabic" w:cs="Traditional Arabic"/>
          <w:color w:val="1A1A1A"/>
          <w:sz w:val="26"/>
          <w:szCs w:val="26"/>
          <w:rtl/>
        </w:rPr>
        <w:t>Dunn</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Baguley</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Brunsden</w:t>
      </w:r>
      <w:proofErr w:type="spellEnd"/>
      <w:r>
        <w:rPr>
          <w:rFonts w:ascii="Traditional Arabic" w:eastAsia="Traditional Arabic" w:hAnsi="Traditional Arabic" w:cs="Traditional Arabic"/>
          <w:color w:val="1A1A1A"/>
          <w:sz w:val="26"/>
          <w:szCs w:val="26"/>
          <w:rtl/>
        </w:rPr>
        <w:t>, 2014). وتُعد قيم الثبات التي تبلغ نحو 0.70 فأكثر مقبولة مبدئيًا في كثير من الاستخدامات البحثية (</w:t>
      </w:r>
      <w:proofErr w:type="spellStart"/>
      <w:r>
        <w:rPr>
          <w:rFonts w:ascii="Traditional Arabic" w:eastAsia="Traditional Arabic" w:hAnsi="Traditional Arabic" w:cs="Traditional Arabic"/>
          <w:color w:val="1A1A1A"/>
          <w:sz w:val="26"/>
          <w:szCs w:val="26"/>
          <w:rtl/>
        </w:rPr>
        <w:t>Nunnally</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Bernstein</w:t>
      </w:r>
      <w:proofErr w:type="spellEnd"/>
      <w:r>
        <w:rPr>
          <w:rFonts w:ascii="Traditional Arabic" w:eastAsia="Traditional Arabic" w:hAnsi="Traditional Arabic" w:cs="Traditional Arabic"/>
          <w:color w:val="1A1A1A"/>
          <w:sz w:val="26"/>
          <w:szCs w:val="26"/>
          <w:rtl/>
        </w:rPr>
        <w:t>, 1994)، بينما قد تُطلب مستويات أعلى (0.90 فأكثر) عند استخدام الأداة في أغراض فردية حساسة كالقرارات الإكلينيكية.</w:t>
      </w:r>
    </w:p>
    <w:p w14:paraId="39FA02F4"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١٢.٢ ثبات إعادة الاختبار</w:t>
      </w:r>
    </w:p>
    <w:p w14:paraId="47502C1F"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يمكن تطبيق المقياس على عينة فرعية، ثم إعادة تطبيقه بعد فترة تتراوح، على سبيل المثال، بين أسبوعين وأربعة أسابيع. وينبغي تفسير انخفاض الثبات الزمني أو ارتفاعه في ضوء طبيعة البنية المقاسة؛ فإذا كان المقياس يستهدف حالة نفسية قابلة للتغير نتيجة التدخل العلاجي أو الظروف الحياتية، فقد لا يكون الثبات الزمني المرتفع جدًا دليلًا إيجابيًا دومًا، بل قد يشير إلى جمود الأداة عن رصد التغير العلاجي المستهدف أصلًا من بروتوكول TLRT.</w:t>
      </w:r>
    </w:p>
    <w:p w14:paraId="69B98729"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١٢.٣ التجزئة النصفية</w:t>
      </w:r>
    </w:p>
    <w:p w14:paraId="0D83314D"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يمكن استخدام معامل </w:t>
      </w:r>
      <w:proofErr w:type="spellStart"/>
      <w:r>
        <w:rPr>
          <w:rFonts w:ascii="Traditional Arabic" w:eastAsia="Traditional Arabic" w:hAnsi="Traditional Arabic" w:cs="Traditional Arabic"/>
          <w:color w:val="1A1A1A"/>
          <w:sz w:val="26"/>
          <w:szCs w:val="26"/>
          <w:rtl/>
        </w:rPr>
        <w:t>سبيرمان</w:t>
      </w:r>
      <w:proofErr w:type="spellEnd"/>
      <w:r>
        <w:rPr>
          <w:rFonts w:ascii="Traditional Arabic" w:eastAsia="Traditional Arabic" w:hAnsi="Traditional Arabic" w:cs="Traditional Arabic"/>
          <w:color w:val="1A1A1A"/>
          <w:sz w:val="26"/>
          <w:szCs w:val="26"/>
          <w:rtl/>
        </w:rPr>
        <w:t>-براون (</w:t>
      </w:r>
      <w:proofErr w:type="spellStart"/>
      <w:r>
        <w:rPr>
          <w:rFonts w:ascii="Traditional Arabic" w:eastAsia="Traditional Arabic" w:hAnsi="Traditional Arabic" w:cs="Traditional Arabic"/>
          <w:color w:val="1A1A1A"/>
          <w:sz w:val="26"/>
          <w:szCs w:val="26"/>
          <w:rtl/>
        </w:rPr>
        <w:t>Spearman-Brown</w:t>
      </w:r>
      <w:proofErr w:type="spellEnd"/>
      <w:r>
        <w:rPr>
          <w:rFonts w:ascii="Traditional Arabic" w:eastAsia="Traditional Arabic" w:hAnsi="Traditional Arabic" w:cs="Traditional Arabic"/>
          <w:color w:val="1A1A1A"/>
          <w:sz w:val="26"/>
          <w:szCs w:val="26"/>
          <w:rtl/>
        </w:rPr>
        <w:t xml:space="preserve">) لتصحيح ثبات التجزئة النصفية، استنادًا إلى الصيغة التي طورها كل من </w:t>
      </w:r>
      <w:proofErr w:type="spellStart"/>
      <w:r>
        <w:rPr>
          <w:rFonts w:ascii="Traditional Arabic" w:eastAsia="Traditional Arabic" w:hAnsi="Traditional Arabic" w:cs="Traditional Arabic"/>
          <w:color w:val="1A1A1A"/>
          <w:sz w:val="26"/>
          <w:szCs w:val="26"/>
          <w:rtl/>
        </w:rPr>
        <w:t>Spearman</w:t>
      </w:r>
      <w:proofErr w:type="spellEnd"/>
      <w:r>
        <w:rPr>
          <w:rFonts w:ascii="Traditional Arabic" w:eastAsia="Traditional Arabic" w:hAnsi="Traditional Arabic" w:cs="Traditional Arabic"/>
          <w:color w:val="1A1A1A"/>
          <w:sz w:val="26"/>
          <w:szCs w:val="26"/>
          <w:rtl/>
        </w:rPr>
        <w:t xml:space="preserve"> (1910) </w:t>
      </w:r>
      <w:proofErr w:type="spellStart"/>
      <w:r>
        <w:rPr>
          <w:rFonts w:ascii="Traditional Arabic" w:eastAsia="Traditional Arabic" w:hAnsi="Traditional Arabic" w:cs="Traditional Arabic"/>
          <w:color w:val="1A1A1A"/>
          <w:sz w:val="26"/>
          <w:szCs w:val="26"/>
          <w:rtl/>
        </w:rPr>
        <w:t>وBrown</w:t>
      </w:r>
      <w:proofErr w:type="spellEnd"/>
      <w:r>
        <w:rPr>
          <w:rFonts w:ascii="Traditional Arabic" w:eastAsia="Traditional Arabic" w:hAnsi="Traditional Arabic" w:cs="Traditional Arabic"/>
          <w:color w:val="1A1A1A"/>
          <w:sz w:val="26"/>
          <w:szCs w:val="26"/>
          <w:rtl/>
        </w:rPr>
        <w:t xml:space="preserve"> (1910) بصورة مستقلة، بوصفه مؤشرًا إضافيًا مكملًا، لا بديلًا عن التحليل الشامل للثبات القائم على الاتساق الداخلي والاستقرار الزمني معًا.</w:t>
      </w:r>
    </w:p>
    <w:p w14:paraId="7D06FEAE"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١٣. الصدق البنائي</w:t>
      </w:r>
    </w:p>
    <w:p w14:paraId="106563C2"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 xml:space="preserve">١٣.١ الصدق </w:t>
      </w:r>
      <w:proofErr w:type="spellStart"/>
      <w:r>
        <w:rPr>
          <w:rFonts w:ascii="Traditional Arabic" w:eastAsia="Traditional Arabic" w:hAnsi="Traditional Arabic" w:cs="Traditional Arabic"/>
          <w:b/>
          <w:bCs/>
          <w:color w:val="0F6674"/>
          <w:sz w:val="30"/>
          <w:szCs w:val="30"/>
          <w:rtl/>
        </w:rPr>
        <w:t>التقاربي</w:t>
      </w:r>
      <w:proofErr w:type="spellEnd"/>
    </w:p>
    <w:p w14:paraId="1CB0B769"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يفترض النموذج أن الدين النفسي قد يرتبط، بدرجات متفاوتة، ببعض المتغيرات النفسية القريبة، مثل الشعور بالذنب العام، والقلق، والاكتئاب، والاجترار، والضيق النفسي. ومن المتوقع نظريًا وجود ارتباطات موجبة معتدلة، غير أن مقدار هذا الارتباط لا ينبغي تحديده سلفًا باعتباره نتيجة مضمونة؛ إذ يمثل إثبات نمط الارتباط وقوته جزءًا من الاختبار التجريبي للنظرية ذاتها، لا افتراضًا مسبقًا عليها.</w:t>
      </w:r>
    </w:p>
    <w:p w14:paraId="4278F7E2"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 xml:space="preserve">١٣.٢ الصدق </w:t>
      </w:r>
      <w:proofErr w:type="spellStart"/>
      <w:r>
        <w:rPr>
          <w:rFonts w:ascii="Traditional Arabic" w:eastAsia="Traditional Arabic" w:hAnsi="Traditional Arabic" w:cs="Traditional Arabic"/>
          <w:b/>
          <w:bCs/>
          <w:color w:val="0F6674"/>
          <w:sz w:val="30"/>
          <w:szCs w:val="30"/>
          <w:rtl/>
        </w:rPr>
        <w:t>التمايزي</w:t>
      </w:r>
      <w:proofErr w:type="spellEnd"/>
    </w:p>
    <w:p w14:paraId="35CA708B"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ينبغي اختبار مدى تميّز مقياس PDS عن البنى النفسية الأخرى التي قد تتقاطع معه، كتقدير الذات، والرضا عن الحياة، والقلق العام، والاكتئاب، والذنب العام، وذلك باستخدام تصميم يقترب من مصفوفة السمات المتعددة والطرائق المتعددة التي وضعها </w:t>
      </w:r>
      <w:proofErr w:type="spellStart"/>
      <w:r>
        <w:rPr>
          <w:rFonts w:ascii="Traditional Arabic" w:eastAsia="Traditional Arabic" w:hAnsi="Traditional Arabic" w:cs="Traditional Arabic"/>
          <w:color w:val="1A1A1A"/>
          <w:sz w:val="26"/>
          <w:szCs w:val="26"/>
          <w:rtl/>
        </w:rPr>
        <w:t>Campbell</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Fiske</w:t>
      </w:r>
      <w:proofErr w:type="spellEnd"/>
      <w:r>
        <w:rPr>
          <w:rFonts w:ascii="Traditional Arabic" w:eastAsia="Traditional Arabic" w:hAnsi="Traditional Arabic" w:cs="Traditional Arabic"/>
          <w:color w:val="1A1A1A"/>
          <w:sz w:val="26"/>
          <w:szCs w:val="26"/>
          <w:rtl/>
        </w:rPr>
        <w:t xml:space="preserve"> (1959) لفحص الصدقين </w:t>
      </w:r>
      <w:proofErr w:type="spellStart"/>
      <w:r>
        <w:rPr>
          <w:rFonts w:ascii="Traditional Arabic" w:eastAsia="Traditional Arabic" w:hAnsi="Traditional Arabic" w:cs="Traditional Arabic"/>
          <w:color w:val="1A1A1A"/>
          <w:sz w:val="26"/>
          <w:szCs w:val="26"/>
          <w:rtl/>
        </w:rPr>
        <w:t>التقاربي</w:t>
      </w:r>
      <w:proofErr w:type="spellEnd"/>
      <w:r>
        <w:rPr>
          <w:rFonts w:ascii="Traditional Arabic" w:eastAsia="Traditional Arabic" w:hAnsi="Traditional Arabic" w:cs="Traditional Arabic"/>
          <w:color w:val="1A1A1A"/>
          <w:sz w:val="26"/>
          <w:szCs w:val="26"/>
          <w:rtl/>
        </w:rPr>
        <w:t xml:space="preserve"> </w:t>
      </w:r>
      <w:proofErr w:type="spellStart"/>
      <w:r>
        <w:rPr>
          <w:rFonts w:ascii="Traditional Arabic" w:eastAsia="Traditional Arabic" w:hAnsi="Traditional Arabic" w:cs="Traditional Arabic"/>
          <w:color w:val="1A1A1A"/>
          <w:sz w:val="26"/>
          <w:szCs w:val="26"/>
          <w:rtl/>
        </w:rPr>
        <w:t>والتمايزي</w:t>
      </w:r>
      <w:proofErr w:type="spellEnd"/>
      <w:r>
        <w:rPr>
          <w:rFonts w:ascii="Traditional Arabic" w:eastAsia="Traditional Arabic" w:hAnsi="Traditional Arabic" w:cs="Traditional Arabic"/>
          <w:color w:val="1A1A1A"/>
          <w:sz w:val="26"/>
          <w:szCs w:val="26"/>
          <w:rtl/>
        </w:rPr>
        <w:t xml:space="preserve"> معًا. والهدف من هذا الفحص ليس إثبات غياب الارتباط، بل إثبات أن المقياس لا يمثل مجرد إعادة صياغة لمفهوم نفسي موجود مسبقًا.</w:t>
      </w:r>
    </w:p>
    <w:p w14:paraId="324C5D5D"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 xml:space="preserve">١٤. الصدق </w:t>
      </w:r>
      <w:proofErr w:type="spellStart"/>
      <w:r>
        <w:rPr>
          <w:rFonts w:ascii="Traditional Arabic" w:eastAsia="Traditional Arabic" w:hAnsi="Traditional Arabic" w:cs="Traditional Arabic"/>
          <w:b/>
          <w:bCs/>
          <w:color w:val="1B2A4A"/>
          <w:sz w:val="34"/>
          <w:szCs w:val="34"/>
          <w:rtl/>
        </w:rPr>
        <w:t>التزايدي</w:t>
      </w:r>
      <w:proofErr w:type="spellEnd"/>
      <w:r>
        <w:rPr>
          <w:rFonts w:ascii="Traditional Arabic" w:eastAsia="Traditional Arabic" w:hAnsi="Traditional Arabic" w:cs="Traditional Arabic"/>
          <w:b/>
          <w:bCs/>
          <w:color w:val="1B2A4A"/>
          <w:sz w:val="34"/>
          <w:szCs w:val="34"/>
          <w:rtl/>
        </w:rPr>
        <w:t xml:space="preserve"> (</w:t>
      </w:r>
      <w:proofErr w:type="spellStart"/>
      <w:r>
        <w:rPr>
          <w:rFonts w:ascii="Traditional Arabic" w:eastAsia="Traditional Arabic" w:hAnsi="Traditional Arabic" w:cs="Traditional Arabic"/>
          <w:b/>
          <w:bCs/>
          <w:color w:val="1B2A4A"/>
          <w:sz w:val="34"/>
          <w:szCs w:val="34"/>
          <w:rtl/>
        </w:rPr>
        <w:t>Incremental</w:t>
      </w:r>
      <w:proofErr w:type="spellEnd"/>
      <w:r>
        <w:rPr>
          <w:rFonts w:ascii="Traditional Arabic" w:eastAsia="Traditional Arabic" w:hAnsi="Traditional Arabic" w:cs="Traditional Arabic"/>
          <w:b/>
          <w:bCs/>
          <w:color w:val="1B2A4A"/>
          <w:sz w:val="34"/>
          <w:szCs w:val="34"/>
          <w:rtl/>
        </w:rPr>
        <w:t xml:space="preserve"> </w:t>
      </w:r>
      <w:proofErr w:type="spellStart"/>
      <w:r>
        <w:rPr>
          <w:rFonts w:ascii="Traditional Arabic" w:eastAsia="Traditional Arabic" w:hAnsi="Traditional Arabic" w:cs="Traditional Arabic"/>
          <w:b/>
          <w:bCs/>
          <w:color w:val="1B2A4A"/>
          <w:sz w:val="34"/>
          <w:szCs w:val="34"/>
          <w:rtl/>
        </w:rPr>
        <w:t>Validity</w:t>
      </w:r>
      <w:proofErr w:type="spellEnd"/>
      <w:r>
        <w:rPr>
          <w:rFonts w:ascii="Traditional Arabic" w:eastAsia="Traditional Arabic" w:hAnsi="Traditional Arabic" w:cs="Traditional Arabic"/>
          <w:b/>
          <w:bCs/>
          <w:color w:val="1B2A4A"/>
          <w:sz w:val="34"/>
          <w:szCs w:val="34"/>
          <w:rtl/>
        </w:rPr>
        <w:t>)</w:t>
      </w:r>
    </w:p>
    <w:p w14:paraId="36A67C99"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يمثل الصدق </w:t>
      </w:r>
      <w:proofErr w:type="spellStart"/>
      <w:r>
        <w:rPr>
          <w:rFonts w:ascii="Traditional Arabic" w:eastAsia="Traditional Arabic" w:hAnsi="Traditional Arabic" w:cs="Traditional Arabic"/>
          <w:color w:val="1A1A1A"/>
          <w:sz w:val="26"/>
          <w:szCs w:val="26"/>
          <w:rtl/>
        </w:rPr>
        <w:t>التزايدي</w:t>
      </w:r>
      <w:proofErr w:type="spellEnd"/>
      <w:r>
        <w:rPr>
          <w:rFonts w:ascii="Traditional Arabic" w:eastAsia="Traditional Arabic" w:hAnsi="Traditional Arabic" w:cs="Traditional Arabic"/>
          <w:color w:val="1A1A1A"/>
          <w:sz w:val="26"/>
          <w:szCs w:val="26"/>
          <w:rtl/>
        </w:rPr>
        <w:t xml:space="preserve"> أحد الاختبارات الحاسمة لتحديد ما إذا كان مفهوم الدين النفسي يقدم قيمة تفسيرية إضافية تتجاوز ما توفره المقاييس النفسية التقليدية، بما يتسق مع الأطر المنهجية العامة لتقويم الصدق </w:t>
      </w:r>
      <w:proofErr w:type="spellStart"/>
      <w:r>
        <w:rPr>
          <w:rFonts w:ascii="Traditional Arabic" w:eastAsia="Traditional Arabic" w:hAnsi="Traditional Arabic" w:cs="Traditional Arabic"/>
          <w:color w:val="1A1A1A"/>
          <w:sz w:val="26"/>
          <w:szCs w:val="26"/>
          <w:rtl/>
        </w:rPr>
        <w:t>التزايدي</w:t>
      </w:r>
      <w:proofErr w:type="spellEnd"/>
      <w:r>
        <w:rPr>
          <w:rFonts w:ascii="Traditional Arabic" w:eastAsia="Traditional Arabic" w:hAnsi="Traditional Arabic" w:cs="Traditional Arabic"/>
          <w:color w:val="1A1A1A"/>
          <w:sz w:val="26"/>
          <w:szCs w:val="26"/>
          <w:rtl/>
        </w:rPr>
        <w:t xml:space="preserve"> في التقييم النفسي (</w:t>
      </w:r>
      <w:proofErr w:type="spellStart"/>
      <w:r>
        <w:rPr>
          <w:rFonts w:ascii="Traditional Arabic" w:eastAsia="Traditional Arabic" w:hAnsi="Traditional Arabic" w:cs="Traditional Arabic"/>
          <w:color w:val="1A1A1A"/>
          <w:sz w:val="26"/>
          <w:szCs w:val="26"/>
          <w:rtl/>
        </w:rPr>
        <w:t>Hunsley</w:t>
      </w:r>
      <w:proofErr w:type="spellEnd"/>
      <w:r>
        <w:rPr>
          <w:rFonts w:ascii="Traditional Arabic" w:eastAsia="Traditional Arabic" w:hAnsi="Traditional Arabic" w:cs="Traditional Arabic"/>
          <w:color w:val="1A1A1A"/>
          <w:sz w:val="26"/>
          <w:szCs w:val="26"/>
          <w:rtl/>
        </w:rPr>
        <w:t xml:space="preserve"> &amp; </w:t>
      </w:r>
      <w:proofErr w:type="spellStart"/>
      <w:r>
        <w:rPr>
          <w:rFonts w:ascii="Traditional Arabic" w:eastAsia="Traditional Arabic" w:hAnsi="Traditional Arabic" w:cs="Traditional Arabic"/>
          <w:color w:val="1A1A1A"/>
          <w:sz w:val="26"/>
          <w:szCs w:val="26"/>
          <w:rtl/>
        </w:rPr>
        <w:t>Meyer</w:t>
      </w:r>
      <w:proofErr w:type="spellEnd"/>
      <w:r>
        <w:rPr>
          <w:rFonts w:ascii="Traditional Arabic" w:eastAsia="Traditional Arabic" w:hAnsi="Traditional Arabic" w:cs="Traditional Arabic"/>
          <w:color w:val="1A1A1A"/>
          <w:sz w:val="26"/>
          <w:szCs w:val="26"/>
          <w:rtl/>
        </w:rPr>
        <w:t>, 2003). ويمكن، على سبيل المثال، بناء نموذج انحدار هرمي يدخل فيه: (1) المتغيرات الديموغرافية ذات الصلة، ثم (2) مؤشرات الاكتئاب والقلق والذنب التقليدي، ثم (3) درجة الدين النفسي (PDS)، على أن تُقارَن الزيادة في التباين المفسَّر (ΔR²) بعد إدخال المقياس الأخير. فإذا أضاف المقياس تفسيرًا ذا دلالة إحصائية وحجم أثر ذي قيمة عملية، فإن ذلك يشير إلى أن الدين النفسي يمثل بنية ذات إسهام تفسيري متجاوز لمجرد إعادة قياس الذنب العام أو الضيق النفسي.</w:t>
      </w:r>
    </w:p>
    <w:p w14:paraId="2C06BBD2"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١٥. الصدق التمييزي بين المجموعات</w:t>
      </w:r>
    </w:p>
    <w:p w14:paraId="196030A6"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يمكن اختبار قدرة المقياس على التمييز بين مجموعات يُفترض نظريًا أنها تختلف في مستوى الدين النفسي. غير أنه ينبغي تجنّب استخدام تعبير مرضى باضطرابات الذنب المزمن ما لم يكن هذا التصنيف معتمدًا تشخيصيًا رسميًا؛ والأدق منهجيًا استخدام أوصاف إجرائية مثل: أفراد لديهم مستويات مرتفعة من الذنب المزمن وفق أداة معيارية، وأفراد لديهم مستويات منخفضة من الذنب، وعينات إكلينيكية محددة، وعينات غير إكلينيكية. وبذلك يمكن اختبار ما إذا كان مقياس PDS قادرًا على التمييز بين مجموعات يفترض النموذج أنها تختلف في البنية المقاسة.</w:t>
      </w:r>
    </w:p>
    <w:p w14:paraId="1A36FD1D"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١٦. التصحيح والتفسير</w:t>
      </w:r>
    </w:p>
    <w:p w14:paraId="4A990CD6"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تُعد هذه المرحلة من أكثر مراحل بناء المقياس حساسية منهجية. فالحدود الوصفية التالية: منخفض، متوسط، مرتفع، مرتفع جدًا، لا يجوز اعتمادها بصورة نهائية قبل إجراء دراسة تقنين على عينة ممثلة، واستخراج معايير مناسبة، مثل: المتوسطات والانحرافات المعيارية، والدرجات المعيارية، والرتب </w:t>
      </w:r>
      <w:proofErr w:type="spellStart"/>
      <w:r>
        <w:rPr>
          <w:rFonts w:ascii="Traditional Arabic" w:eastAsia="Traditional Arabic" w:hAnsi="Traditional Arabic" w:cs="Traditional Arabic"/>
          <w:color w:val="1A1A1A"/>
          <w:sz w:val="26"/>
          <w:szCs w:val="26"/>
          <w:rtl/>
        </w:rPr>
        <w:t>المئينية</w:t>
      </w:r>
      <w:proofErr w:type="spellEnd"/>
      <w:r>
        <w:rPr>
          <w:rFonts w:ascii="Traditional Arabic" w:eastAsia="Traditional Arabic" w:hAnsi="Traditional Arabic" w:cs="Traditional Arabic"/>
          <w:color w:val="1A1A1A"/>
          <w:sz w:val="26"/>
          <w:szCs w:val="26"/>
          <w:rtl/>
        </w:rPr>
        <w:t>، ونقاط القطع إن أثبتت الدراسات وجودها وملاءمتها الإكلينيكية. وعليه، فإن الحدود العددية الواردة في النسخة الأولية من هذا البحث ينبغي اعتبارها مقترحات بحثية غير معتمدة، لا معايير تشخيصية، كما أن الدرجة الكلية لا ينبغي أن تُفسَّر منفصلةً عن ملف الأبعاد الفرعية الأربعة.</w:t>
      </w:r>
    </w:p>
    <w:p w14:paraId="6C8E5CA2"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١٧. نموذج التفسير الإكلينيكي المقترح</w:t>
      </w:r>
    </w:p>
    <w:p w14:paraId="2C84AC76"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١٧.١ نمط الدين المرتبط بمسؤولية واقعية</w:t>
      </w:r>
    </w:p>
    <w:p w14:paraId="78D8FD36"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يمكن افتراض هذا النمط حين يظهر ارتفاع نسبي في التحديد، ووضوح في موضوع المسؤولية، وإدراك لإمكان الإصلاح، وانخفاض نسبي في التعميم والاجترار، مع إمكانية الانتقال من الشعور إلى السلوك الإصلاحي. وفي نموذج TLRT، يمكن أن يتوافق ذلك مع الانتقال نحو ما يُعرف بالجسر السلوكي، أي تحويل المسؤولية المدركة إلى خطوات عملية مناسبة.</w:t>
      </w:r>
    </w:p>
    <w:p w14:paraId="3776F25C"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١٧.٢ نمط الدين النفسي الوهمي أو المتضخم</w:t>
      </w:r>
    </w:p>
    <w:p w14:paraId="693C82EB"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يمكن افتراض هذا النمط حين يظهر انخفاض في التحديد، وارتفاع في التعميم، وانخفاض في إدراك قابلية الإصلاح، وارتفاع في التراكم والاجترار، وارتفاع في مؤشرات الوظائف الثانوية المحتملة. وفي هذه الحالة، قد يكون التركيز العلاجي النظري على إعادة فحص الاعتقاد بالدين وتحديد مصدره، وفصل المسؤولية الواقعية عن الإدانة الكلية للذات.</w:t>
      </w:r>
    </w:p>
    <w:p w14:paraId="517766DC" w14:textId="77777777" w:rsidR="00B710AA" w:rsidRDefault="00000000" w:rsidP="006F26FF">
      <w:pPr>
        <w:spacing w:before="300" w:after="160"/>
      </w:pPr>
      <w:r>
        <w:rPr>
          <w:rFonts w:ascii="Traditional Arabic" w:eastAsia="Traditional Arabic" w:hAnsi="Traditional Arabic" w:cs="Traditional Arabic"/>
          <w:b/>
          <w:bCs/>
          <w:color w:val="0F6674"/>
          <w:sz w:val="30"/>
          <w:szCs w:val="30"/>
          <w:rtl/>
        </w:rPr>
        <w:t>١٧.٣ النمط المختلط</w:t>
      </w:r>
    </w:p>
    <w:p w14:paraId="6CB1D891"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قد يجمع الفرد بين عناصر من الدين الواقعي والدين النفسي المتضخم في الوقت نفسه، وهذا احتمال مهم إكلينيكيًا؛ إذ لا يفترض نموذج TLRT أن كل شعور بالذنب حقيقي بالكامل أو وهمي بالكامل. وقد تتطلب بعض الحالات ذات البنية المختلطة: تحديد الجزء الواقعي من المسؤولية، وفصل المسؤولية الواقعية عن التعميم النفسي، ومعالجة ما يمكن إصلاحه، وتفكيك ما لا يستند إلى مسؤولية واقعية، وتحويل النتيجة إلى سلوك إصلاحي ونمو نفسي.</w:t>
      </w:r>
    </w:p>
    <w:p w14:paraId="7DCE19EC"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١٨. المؤشرات المركبة</w:t>
      </w:r>
    </w:p>
    <w:p w14:paraId="66C57E79"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إلى جانب الدرجة الكلية للمقياس، ودرجات المجالات الثلاثة، ودرجات الأبعاد الوظيفية الأربعة، يمكن اشتقاق عدد من المؤشرات المركبة ذات الدلالة الإكلينيكية بعد استقرار البنية </w:t>
      </w:r>
      <w:proofErr w:type="spellStart"/>
      <w:r>
        <w:rPr>
          <w:rFonts w:ascii="Traditional Arabic" w:eastAsia="Traditional Arabic" w:hAnsi="Traditional Arabic" w:cs="Traditional Arabic"/>
          <w:color w:val="1A1A1A"/>
          <w:sz w:val="26"/>
          <w:szCs w:val="26"/>
          <w:rtl/>
        </w:rPr>
        <w:t>العاملية</w:t>
      </w:r>
      <w:proofErr w:type="spellEnd"/>
      <w:r>
        <w:rPr>
          <w:rFonts w:ascii="Traditional Arabic" w:eastAsia="Traditional Arabic" w:hAnsi="Traditional Arabic" w:cs="Traditional Arabic"/>
          <w:color w:val="1A1A1A"/>
          <w:sz w:val="26"/>
          <w:szCs w:val="26"/>
          <w:rtl/>
        </w:rPr>
        <w:t xml:space="preserve"> إحصائيًا، ومنها:</w:t>
      </w:r>
    </w:p>
    <w:p w14:paraId="4191DF05"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مؤشر شدة التضخم النفسي، ويُحسب من محصلة درجتي التعميم وضعف إدراك قابلية الإصلاح مقارنةً بدرجة التحديد.</w:t>
      </w:r>
    </w:p>
    <w:p w14:paraId="14258E59"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مؤشر الاستمرارية الوظيفية، ويعكس العلاقة بين درجتي التراكم الزمني والمكاسب الثانوية.</w:t>
      </w:r>
    </w:p>
    <w:p w14:paraId="7FD2A367"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نسبة الدين الواقعي إلى الدين الوهمي، بوصفها مؤشرًا نسبيًا لا مطلقًا، يُفسَّر في ضوء ملف الفرد لا بمعزل عنه.</w:t>
      </w:r>
    </w:p>
    <w:p w14:paraId="4ED393AA"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مؤشر التوازن بين المجالات الثلاثة، لرصد ما إذا كان الدين النفسي لدى الفرد متمركزًا في مجال واحد أو موزعًا عبر المجالات.</w:t>
      </w:r>
    </w:p>
    <w:p w14:paraId="25D4B428"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وتبقى هذه المؤشرات المركبة، شأنها شأن سائر عناصر النموذج، اقتراحات نظرية أولية ينبغي اختبار جدواها الإحصائية والإكلينيكية بعد استكمال مراحل التحليل العاملي والثبات والصدق المبيَّنة في الأقسام السابقة، وقبل أي استخدام تطبيقي لها في التقرير الإكلينيكي.</w:t>
      </w:r>
    </w:p>
    <w:p w14:paraId="6C101C60"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١٩. القيود المنهجية والأخلاقية</w:t>
      </w:r>
    </w:p>
    <w:p w14:paraId="411D7168"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الأداة في طورها الراهن لم تُطبَّق ميدانيًا بعد، وجميع القيم العددية الواردة في هذه الورقة (عتبات التشبع، معايير المطابقة، حدود الثبات) قيم إرشادية مستمدة من الأدبيات المنهجية العامة، لا نتائج تجريبية خاصة بالمقياس.</w:t>
      </w:r>
    </w:p>
    <w:p w14:paraId="2194773A"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يتطلب تطبيق المقياس في سياقات دينية وثقافية متعددة دراسة توازي (</w:t>
      </w:r>
      <w:proofErr w:type="spellStart"/>
      <w:r>
        <w:rPr>
          <w:rFonts w:ascii="Traditional Arabic" w:eastAsia="Traditional Arabic" w:hAnsi="Traditional Arabic" w:cs="Traditional Arabic"/>
          <w:color w:val="1A1A1A"/>
          <w:sz w:val="25"/>
          <w:szCs w:val="25"/>
          <w:rtl/>
        </w:rPr>
        <w:t>Measurement</w:t>
      </w:r>
      <w:proofErr w:type="spellEnd"/>
      <w:r>
        <w:rPr>
          <w:rFonts w:ascii="Traditional Arabic" w:eastAsia="Traditional Arabic" w:hAnsi="Traditional Arabic" w:cs="Traditional Arabic"/>
          <w:color w:val="1A1A1A"/>
          <w:sz w:val="25"/>
          <w:szCs w:val="25"/>
          <w:rtl/>
        </w:rPr>
        <w:t xml:space="preserve"> </w:t>
      </w:r>
      <w:proofErr w:type="spellStart"/>
      <w:r>
        <w:rPr>
          <w:rFonts w:ascii="Traditional Arabic" w:eastAsia="Traditional Arabic" w:hAnsi="Traditional Arabic" w:cs="Traditional Arabic"/>
          <w:color w:val="1A1A1A"/>
          <w:sz w:val="25"/>
          <w:szCs w:val="25"/>
          <w:rtl/>
        </w:rPr>
        <w:t>Invariance</w:t>
      </w:r>
      <w:proofErr w:type="spellEnd"/>
      <w:r>
        <w:rPr>
          <w:rFonts w:ascii="Traditional Arabic" w:eastAsia="Traditional Arabic" w:hAnsi="Traditional Arabic" w:cs="Traditional Arabic"/>
          <w:color w:val="1A1A1A"/>
          <w:sz w:val="25"/>
          <w:szCs w:val="25"/>
          <w:rtl/>
        </w:rPr>
        <w:t>) قبل تعميم المعايير بين المجتمعات أو المذاهب الفقهية المختلفة.</w:t>
      </w:r>
    </w:p>
    <w:p w14:paraId="57AEBABE"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ينبغي التمييز الصريح، في أي استخدام إكلينيكي لاحق، بين الدرجة على المقياس والحكم الديني أو الأخلاقي على الفرد؛ فالأداة تقيس بنية نفسية معرَّفة إجرائيًا، لا صحة الاعتقاد الديني نفسه.</w:t>
      </w:r>
    </w:p>
    <w:p w14:paraId="653F0095"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يستلزم جمع البيانات موافقة مستنيرة من المشاركين، وحماية خصوصية المحتوى الديني والشخصي شديد الحساسية الذي قد تستدعيه بعض الفقرات.</w:t>
      </w:r>
    </w:p>
    <w:p w14:paraId="3D06541B" w14:textId="77777777" w:rsidR="00B710AA" w:rsidRDefault="00000000" w:rsidP="006F26FF">
      <w:pPr>
        <w:pStyle w:val="a4"/>
        <w:numPr>
          <w:ilvl w:val="0"/>
          <w:numId w:val="2"/>
        </w:numPr>
        <w:bidi/>
        <w:spacing w:after="80" w:line="290" w:lineRule="auto"/>
      </w:pPr>
      <w:r>
        <w:rPr>
          <w:rFonts w:ascii="Traditional Arabic" w:eastAsia="Traditional Arabic" w:hAnsi="Traditional Arabic" w:cs="Traditional Arabic"/>
          <w:color w:val="1A1A1A"/>
          <w:sz w:val="25"/>
          <w:szCs w:val="25"/>
          <w:rtl/>
        </w:rPr>
        <w:t>لا يجوز استخدام النسخة الحالية من المقياس في اتخاذ قرارات تشخيصية أو علاجية فردية قبل استكمال دراسات التقنين والتحقق من ثباته وصدقه على عينات ممثلة.</w:t>
      </w:r>
    </w:p>
    <w:p w14:paraId="36D572F1"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٢٠. خاتمة</w:t>
      </w:r>
    </w:p>
    <w:p w14:paraId="35A746F1" w14:textId="77777777" w:rsidR="00B710AA" w:rsidRDefault="00000000" w:rsidP="006F26FF">
      <w:pPr>
        <w:spacing w:after="160" w:line="300" w:lineRule="auto"/>
      </w:pPr>
      <w:r>
        <w:rPr>
          <w:rFonts w:ascii="Traditional Arabic" w:eastAsia="Traditional Arabic" w:hAnsi="Traditional Arabic" w:cs="Traditional Arabic"/>
          <w:color w:val="1A1A1A"/>
          <w:sz w:val="26"/>
          <w:szCs w:val="26"/>
          <w:rtl/>
        </w:rPr>
        <w:t xml:space="preserve">تقدم هذه الورقة تصورًا نظريًا ومنهجيًا أوليًا لبناء مقياس الدين النفسي (PDS) بوصفه محاولة لتحويل مفهوم مركزي في بروتوكول العلاج بحرث المصالحة التحويلية (TLRT) إلى أداة كمية قابلة للاختبار العلمي. وتظل الخطوة الحاسمة اللاحقة هي التطبيق الميداني على عينات ممثلة كافية العدد، وإخضاع البنك الأولي من الفقرات لسلسلة التحليلات الإحصائية المبيَّنة أعلاه، بما يسمح بالانتقال من صورة نظرية مقترحة إلى أداة </w:t>
      </w:r>
      <w:proofErr w:type="spellStart"/>
      <w:r>
        <w:rPr>
          <w:rFonts w:ascii="Traditional Arabic" w:eastAsia="Traditional Arabic" w:hAnsi="Traditional Arabic" w:cs="Traditional Arabic"/>
          <w:color w:val="1A1A1A"/>
          <w:sz w:val="26"/>
          <w:szCs w:val="26"/>
          <w:rtl/>
        </w:rPr>
        <w:t>سيكومترية</w:t>
      </w:r>
      <w:proofErr w:type="spellEnd"/>
      <w:r>
        <w:rPr>
          <w:rFonts w:ascii="Traditional Arabic" w:eastAsia="Traditional Arabic" w:hAnsi="Traditional Arabic" w:cs="Traditional Arabic"/>
          <w:color w:val="1A1A1A"/>
          <w:sz w:val="26"/>
          <w:szCs w:val="26"/>
          <w:rtl/>
        </w:rPr>
        <w:t xml:space="preserve"> موثَّقة الخصائص، مع الالتزام الصارم بالتمييز بين ما هو افتراض نظري قابل للتفنيد وما هو نتيجة تجريبية مؤكدة، تفاديًا لأي استخدام سابق لأوانه لهذه الأداة في سياقات تشخيصية أو إكلينيكية.</w:t>
      </w:r>
    </w:p>
    <w:p w14:paraId="6D5958A6" w14:textId="77777777" w:rsidR="00B710AA" w:rsidRDefault="00000000" w:rsidP="006F26FF">
      <w:pPr>
        <w:pBdr>
          <w:bottom w:val="single" w:sz="10" w:space="6" w:color="B8962E"/>
        </w:pBdr>
        <w:spacing w:before="420" w:after="220"/>
      </w:pPr>
      <w:r>
        <w:rPr>
          <w:rFonts w:ascii="Traditional Arabic" w:eastAsia="Traditional Arabic" w:hAnsi="Traditional Arabic" w:cs="Traditional Arabic"/>
          <w:b/>
          <w:bCs/>
          <w:color w:val="1B2A4A"/>
          <w:sz w:val="34"/>
          <w:szCs w:val="34"/>
          <w:rtl/>
        </w:rPr>
        <w:t>المراجع</w:t>
      </w:r>
    </w:p>
    <w:p w14:paraId="17AAD4FD" w14:textId="77777777" w:rsidR="00B710AA" w:rsidRDefault="00000000" w:rsidP="006F26FF">
      <w:pPr>
        <w:spacing w:before="220" w:after="120"/>
      </w:pPr>
      <w:r>
        <w:rPr>
          <w:rFonts w:ascii="Traditional Arabic" w:eastAsia="Traditional Arabic" w:hAnsi="Traditional Arabic" w:cs="Traditional Arabic"/>
          <w:b/>
          <w:bCs/>
          <w:color w:val="1B2A4A"/>
          <w:sz w:val="27"/>
          <w:szCs w:val="27"/>
          <w:rtl/>
        </w:rPr>
        <w:t>أولًا: مراجع عربية</w:t>
      </w:r>
    </w:p>
    <w:p w14:paraId="0FB9AAFB" w14:textId="77777777" w:rsidR="00B710AA" w:rsidRDefault="00000000" w:rsidP="006F26FF">
      <w:pPr>
        <w:spacing w:after="120" w:line="290" w:lineRule="auto"/>
      </w:pPr>
      <w:r>
        <w:rPr>
          <w:rFonts w:ascii="Traditional Arabic" w:eastAsia="Traditional Arabic" w:hAnsi="Traditional Arabic" w:cs="Traditional Arabic"/>
          <w:color w:val="1A1A1A"/>
          <w:sz w:val="24"/>
          <w:szCs w:val="24"/>
          <w:rtl/>
        </w:rPr>
        <w:t>الزراع، عبد السلام. علم النفس الاستخلافي وبروتوكول العلاج بحرث المصالحة التحويلية (TLRT): الأسس النظرية والتطبيقية. منشور إلكتروني، موقع علم النفس الاستخلافي: zaraapsychology.com.</w:t>
      </w:r>
    </w:p>
    <w:p w14:paraId="60E11415" w14:textId="77777777" w:rsidR="00B710AA" w:rsidRDefault="00000000">
      <w:pPr>
        <w:spacing w:before="220" w:after="120"/>
        <w:jc w:val="right"/>
      </w:pPr>
      <w:r>
        <w:rPr>
          <w:rFonts w:ascii="Traditional Arabic" w:eastAsia="Traditional Arabic" w:hAnsi="Traditional Arabic" w:cs="Traditional Arabic"/>
          <w:b/>
          <w:bCs/>
          <w:color w:val="1B2A4A"/>
          <w:sz w:val="27"/>
          <w:szCs w:val="27"/>
          <w:rtl/>
        </w:rPr>
        <w:t>ثانيًا: مراجع أجنبية</w:t>
      </w:r>
    </w:p>
    <w:p w14:paraId="35CC4C9C" w14:textId="77777777" w:rsidR="00B710AA" w:rsidRDefault="00000000">
      <w:pPr>
        <w:bidi w:val="0"/>
        <w:spacing w:after="120" w:line="276" w:lineRule="auto"/>
        <w:ind w:left="360" w:hanging="360"/>
      </w:pPr>
      <w:r>
        <w:rPr>
          <w:rFonts w:ascii="Calibri" w:eastAsia="Calibri" w:hAnsi="Calibri" w:cs="Calibri"/>
          <w:color w:val="1A1A1A"/>
          <w:sz w:val="22"/>
          <w:szCs w:val="22"/>
        </w:rPr>
        <w:t>American Educational Research Association, American Psychological Association, &amp; National Council on Measurement in Education. (2014). Standards for Educational and Psychological Testing. Washington, DC: AERA.</w:t>
      </w:r>
    </w:p>
    <w:p w14:paraId="79A3D47C" w14:textId="77777777" w:rsidR="00B710AA" w:rsidRDefault="00000000">
      <w:pPr>
        <w:bidi w:val="0"/>
        <w:spacing w:after="120" w:line="276" w:lineRule="auto"/>
        <w:ind w:left="360" w:hanging="360"/>
      </w:pPr>
      <w:r>
        <w:rPr>
          <w:rFonts w:ascii="Calibri" w:eastAsia="Calibri" w:hAnsi="Calibri" w:cs="Calibri"/>
          <w:color w:val="1A1A1A"/>
          <w:sz w:val="22"/>
          <w:szCs w:val="22"/>
        </w:rPr>
        <w:t>Ayre, C., &amp; Scally, A. J. (2014). Critical values for Lawshe's content validity ratio: Revisiting the original methods of calculation. Measurement and Evaluation in Counseling and Development, 47(1), 79–86.</w:t>
      </w:r>
    </w:p>
    <w:p w14:paraId="1D1B94C2" w14:textId="77777777" w:rsidR="00B710AA" w:rsidRDefault="00000000">
      <w:pPr>
        <w:bidi w:val="0"/>
        <w:spacing w:after="120" w:line="276" w:lineRule="auto"/>
        <w:ind w:left="360" w:hanging="360"/>
      </w:pPr>
      <w:r>
        <w:rPr>
          <w:rFonts w:ascii="Calibri" w:eastAsia="Calibri" w:hAnsi="Calibri" w:cs="Calibri"/>
          <w:color w:val="1A1A1A"/>
          <w:sz w:val="22"/>
          <w:szCs w:val="22"/>
        </w:rPr>
        <w:t>Bartlett, M. S. (1950). Tests of significance in factor analysis. British Journal of Psychology (Statistical Section), 3(2), 77–85.</w:t>
      </w:r>
    </w:p>
    <w:p w14:paraId="462685C2" w14:textId="77777777" w:rsidR="00B710AA" w:rsidRDefault="00000000">
      <w:pPr>
        <w:bidi w:val="0"/>
        <w:spacing w:after="120" w:line="276" w:lineRule="auto"/>
        <w:ind w:left="360" w:hanging="360"/>
      </w:pPr>
      <w:r>
        <w:rPr>
          <w:rFonts w:ascii="Calibri" w:eastAsia="Calibri" w:hAnsi="Calibri" w:cs="Calibri"/>
          <w:color w:val="1A1A1A"/>
          <w:sz w:val="22"/>
          <w:szCs w:val="22"/>
        </w:rPr>
        <w:t>Brown, W. (1910). Some experimental results in the correlation of mental abilities. British Journal of Psychology, 3(3), 296–322.</w:t>
      </w:r>
    </w:p>
    <w:p w14:paraId="4EE62E8E" w14:textId="77777777" w:rsidR="00B710AA" w:rsidRDefault="00000000">
      <w:pPr>
        <w:bidi w:val="0"/>
        <w:spacing w:after="120" w:line="276" w:lineRule="auto"/>
        <w:ind w:left="360" w:hanging="360"/>
      </w:pPr>
      <w:r>
        <w:rPr>
          <w:rFonts w:ascii="Calibri" w:eastAsia="Calibri" w:hAnsi="Calibri" w:cs="Calibri"/>
          <w:color w:val="1A1A1A"/>
          <w:sz w:val="22"/>
          <w:szCs w:val="22"/>
        </w:rPr>
        <w:t>Campbell, D. T., &amp; Fiske, D. W. (1959). Convergent and discriminant validation by the multitrait-multimethod matrix. Psychological Bulletin, 56(2), 81–105.</w:t>
      </w:r>
    </w:p>
    <w:p w14:paraId="6F94D792" w14:textId="77777777" w:rsidR="00B710AA" w:rsidRDefault="00000000">
      <w:pPr>
        <w:bidi w:val="0"/>
        <w:spacing w:after="120" w:line="276" w:lineRule="auto"/>
        <w:ind w:left="360" w:hanging="360"/>
      </w:pPr>
      <w:r>
        <w:rPr>
          <w:rFonts w:ascii="Calibri" w:eastAsia="Calibri" w:hAnsi="Calibri" w:cs="Calibri"/>
          <w:color w:val="1A1A1A"/>
          <w:sz w:val="22"/>
          <w:szCs w:val="22"/>
        </w:rPr>
        <w:t>Comrey, A. L., &amp; Lee, H. B. (1992). A First Course in Factor Analysis (2nd ed.). Hillsdale, NJ: Lawrence Erlbaum Associates.</w:t>
      </w:r>
    </w:p>
    <w:p w14:paraId="3C1F0203" w14:textId="77777777" w:rsidR="00B710AA" w:rsidRDefault="00000000">
      <w:pPr>
        <w:bidi w:val="0"/>
        <w:spacing w:after="120" w:line="276" w:lineRule="auto"/>
        <w:ind w:left="360" w:hanging="360"/>
      </w:pPr>
      <w:r>
        <w:rPr>
          <w:rFonts w:ascii="Calibri" w:eastAsia="Calibri" w:hAnsi="Calibri" w:cs="Calibri"/>
          <w:color w:val="1A1A1A"/>
          <w:sz w:val="22"/>
          <w:szCs w:val="22"/>
        </w:rPr>
        <w:t>Cronbach, L. J. (1951). Coefficient alpha and the internal structure of tests. Psychometrika, 16(3), 297–334.</w:t>
      </w:r>
    </w:p>
    <w:p w14:paraId="0C9CFE3E" w14:textId="77777777" w:rsidR="00B710AA" w:rsidRDefault="00000000">
      <w:pPr>
        <w:bidi w:val="0"/>
        <w:spacing w:after="120" w:line="276" w:lineRule="auto"/>
        <w:ind w:left="360" w:hanging="360"/>
      </w:pPr>
      <w:r>
        <w:rPr>
          <w:rFonts w:ascii="Calibri" w:eastAsia="Calibri" w:hAnsi="Calibri" w:cs="Calibri"/>
          <w:color w:val="1A1A1A"/>
          <w:sz w:val="22"/>
          <w:szCs w:val="22"/>
        </w:rPr>
        <w:t>DeVellis, R. F. (2017). Scale Development: Theory and Applications (4th ed.). Thousand Oaks, CA: Sage.</w:t>
      </w:r>
    </w:p>
    <w:p w14:paraId="7DD23922" w14:textId="77777777" w:rsidR="00B710AA" w:rsidRDefault="00000000">
      <w:pPr>
        <w:bidi w:val="0"/>
        <w:spacing w:after="120" w:line="276" w:lineRule="auto"/>
        <w:ind w:left="360" w:hanging="360"/>
      </w:pPr>
      <w:r>
        <w:rPr>
          <w:rFonts w:ascii="Calibri" w:eastAsia="Calibri" w:hAnsi="Calibri" w:cs="Calibri"/>
          <w:color w:val="1A1A1A"/>
          <w:sz w:val="22"/>
          <w:szCs w:val="22"/>
        </w:rPr>
        <w:t>Dunn, T. J., Baguley, T., &amp; Brunsden, V. (2014). From alpha to omega: A practical solution to the pervasive problem of internal consistency estimation. British Journal of Psychology, 105(3), 399–412.</w:t>
      </w:r>
    </w:p>
    <w:p w14:paraId="04E6B86E" w14:textId="77777777" w:rsidR="00B710AA" w:rsidRDefault="00000000">
      <w:pPr>
        <w:bidi w:val="0"/>
        <w:spacing w:after="120" w:line="276" w:lineRule="auto"/>
        <w:ind w:left="360" w:hanging="360"/>
      </w:pPr>
      <w:r>
        <w:rPr>
          <w:rFonts w:ascii="Calibri" w:eastAsia="Calibri" w:hAnsi="Calibri" w:cs="Calibri"/>
          <w:color w:val="1A1A1A"/>
          <w:sz w:val="22"/>
          <w:szCs w:val="22"/>
        </w:rPr>
        <w:t>Fabrigar, L. R., Wegener, D. T., MacCallum, R. C., &amp; Strahan, E. J. (1999). Evaluating the use of exploratory factor analysis in psychological research. Psychological Methods, 4(3), 272–299.</w:t>
      </w:r>
    </w:p>
    <w:p w14:paraId="223DF6CE" w14:textId="77777777" w:rsidR="00B710AA" w:rsidRDefault="00000000">
      <w:pPr>
        <w:bidi w:val="0"/>
        <w:spacing w:after="120" w:line="276" w:lineRule="auto"/>
        <w:ind w:left="360" w:hanging="360"/>
      </w:pPr>
      <w:r>
        <w:rPr>
          <w:rFonts w:ascii="Calibri" w:eastAsia="Calibri" w:hAnsi="Calibri" w:cs="Calibri"/>
          <w:color w:val="1A1A1A"/>
          <w:sz w:val="22"/>
          <w:szCs w:val="22"/>
        </w:rPr>
        <w:t>Hu, L., &amp; Bentler, P. M. (1999). Cutoff criteria for fit indexes in covariance structure analysis: Conventional criteria versus new alternatives. Structural Equation Modeling, 6(1), 1–55.</w:t>
      </w:r>
    </w:p>
    <w:p w14:paraId="3E320212" w14:textId="77777777" w:rsidR="00B710AA" w:rsidRDefault="00000000">
      <w:pPr>
        <w:bidi w:val="0"/>
        <w:spacing w:after="120" w:line="276" w:lineRule="auto"/>
        <w:ind w:left="360" w:hanging="360"/>
      </w:pPr>
      <w:r>
        <w:rPr>
          <w:rFonts w:ascii="Calibri" w:eastAsia="Calibri" w:hAnsi="Calibri" w:cs="Calibri"/>
          <w:color w:val="1A1A1A"/>
          <w:sz w:val="22"/>
          <w:szCs w:val="22"/>
        </w:rPr>
        <w:t>Hunsley, J., &amp; Meyer, G. J. (2003). The incremental validity of psychological testing and assessment: Conceptual, methodological, and statistical issues. Psychological Assessment, 15(4), 446–455.</w:t>
      </w:r>
    </w:p>
    <w:p w14:paraId="1F864016" w14:textId="77777777" w:rsidR="00B710AA" w:rsidRDefault="00000000">
      <w:pPr>
        <w:bidi w:val="0"/>
        <w:spacing w:after="120" w:line="276" w:lineRule="auto"/>
        <w:ind w:left="360" w:hanging="360"/>
      </w:pPr>
      <w:r>
        <w:rPr>
          <w:rFonts w:ascii="Calibri" w:eastAsia="Calibri" w:hAnsi="Calibri" w:cs="Calibri"/>
          <w:color w:val="1A1A1A"/>
          <w:sz w:val="22"/>
          <w:szCs w:val="22"/>
        </w:rPr>
        <w:t>Kaiser, H. F. (1974). An index of factorial simplicity. Psychometrika, 39(1), 31–36.</w:t>
      </w:r>
    </w:p>
    <w:p w14:paraId="7C5553C5" w14:textId="77777777" w:rsidR="00B710AA" w:rsidRDefault="00000000">
      <w:pPr>
        <w:bidi w:val="0"/>
        <w:spacing w:after="120" w:line="276" w:lineRule="auto"/>
        <w:ind w:left="360" w:hanging="360"/>
      </w:pPr>
      <w:r>
        <w:rPr>
          <w:rFonts w:ascii="Calibri" w:eastAsia="Calibri" w:hAnsi="Calibri" w:cs="Calibri"/>
          <w:color w:val="1A1A1A"/>
          <w:sz w:val="22"/>
          <w:szCs w:val="22"/>
        </w:rPr>
        <w:t>Lawshe, C. H. (1975). A quantitative approach to content validity. Personnel Psychology, 28(4), 563–575.</w:t>
      </w:r>
    </w:p>
    <w:p w14:paraId="707BAD37" w14:textId="77777777" w:rsidR="00B710AA" w:rsidRDefault="00000000">
      <w:pPr>
        <w:bidi w:val="0"/>
        <w:spacing w:after="120" w:line="276" w:lineRule="auto"/>
        <w:ind w:left="360" w:hanging="360"/>
      </w:pPr>
      <w:r>
        <w:rPr>
          <w:rFonts w:ascii="Calibri" w:eastAsia="Calibri" w:hAnsi="Calibri" w:cs="Calibri"/>
          <w:color w:val="1A1A1A"/>
          <w:sz w:val="22"/>
          <w:szCs w:val="22"/>
        </w:rPr>
        <w:t>MacCallum, R. C., Widaman, K. F., Zhang, S., &amp; Hong, S. (1999). Sample size in factor analysis. Psychological Methods, 4(1), 84–99.</w:t>
      </w:r>
    </w:p>
    <w:p w14:paraId="53B11289" w14:textId="77777777" w:rsidR="00B710AA" w:rsidRDefault="00000000">
      <w:pPr>
        <w:bidi w:val="0"/>
        <w:spacing w:after="120" w:line="276" w:lineRule="auto"/>
        <w:ind w:left="360" w:hanging="360"/>
      </w:pPr>
      <w:r>
        <w:rPr>
          <w:rFonts w:ascii="Calibri" w:eastAsia="Calibri" w:hAnsi="Calibri" w:cs="Calibri"/>
          <w:color w:val="1A1A1A"/>
          <w:sz w:val="22"/>
          <w:szCs w:val="22"/>
        </w:rPr>
        <w:t>Marsh, H. W., Hau, K.-T., &amp; Wen, Z. (2004). In search of golden rules: Comment on hypothesis-testing approaches to setting cutoff values for fit indexes. Structural Equation Modeling, 11(3), 320–341.</w:t>
      </w:r>
    </w:p>
    <w:p w14:paraId="4B20FFD7" w14:textId="77777777" w:rsidR="00B710AA" w:rsidRDefault="00000000">
      <w:pPr>
        <w:bidi w:val="0"/>
        <w:spacing w:after="120" w:line="276" w:lineRule="auto"/>
        <w:ind w:left="360" w:hanging="360"/>
      </w:pPr>
      <w:r>
        <w:rPr>
          <w:rFonts w:ascii="Calibri" w:eastAsia="Calibri" w:hAnsi="Calibri" w:cs="Calibri"/>
          <w:color w:val="1A1A1A"/>
          <w:sz w:val="22"/>
          <w:szCs w:val="22"/>
        </w:rPr>
        <w:t>McDonald, R. P. (1999). Test Theory: A Unified Treatment. Mahwah, NJ: Lawrence Erlbaum Associates.</w:t>
      </w:r>
    </w:p>
    <w:p w14:paraId="4C03AE6D" w14:textId="77777777" w:rsidR="00B710AA" w:rsidRDefault="00000000">
      <w:pPr>
        <w:bidi w:val="0"/>
        <w:spacing w:after="120" w:line="276" w:lineRule="auto"/>
        <w:ind w:left="360" w:hanging="360"/>
      </w:pPr>
      <w:r>
        <w:rPr>
          <w:rFonts w:ascii="Calibri" w:eastAsia="Calibri" w:hAnsi="Calibri" w:cs="Calibri"/>
          <w:color w:val="1A1A1A"/>
          <w:sz w:val="22"/>
          <w:szCs w:val="22"/>
        </w:rPr>
        <w:t>Nunnally, J. C., &amp; Bernstein, I. H. (1994). Psychometric Theory (3rd ed.). New York: McGraw-Hill.</w:t>
      </w:r>
    </w:p>
    <w:p w14:paraId="444764D6" w14:textId="77777777" w:rsidR="00B710AA" w:rsidRDefault="00000000">
      <w:pPr>
        <w:bidi w:val="0"/>
        <w:spacing w:after="120" w:line="276" w:lineRule="auto"/>
        <w:ind w:left="360" w:hanging="360"/>
      </w:pPr>
      <w:r>
        <w:rPr>
          <w:rFonts w:ascii="Calibri" w:eastAsia="Calibri" w:hAnsi="Calibri" w:cs="Calibri"/>
          <w:color w:val="1A1A1A"/>
          <w:sz w:val="22"/>
          <w:szCs w:val="22"/>
        </w:rPr>
        <w:t>Spearman, C. (1910). Correlation calculated from faulty data. British Journal of Psychology, 3(3), 271–295.</w:t>
      </w:r>
    </w:p>
    <w:sectPr w:rsidR="00B710AA">
      <w:headerReference w:type="default" r:id="rId7"/>
      <w:footerReference w:type="default" r:id="rId8"/>
      <w:pgSz w:w="11907" w:h="16840"/>
      <w:pgMar w:top="1134" w:right="1417"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DF945" w14:textId="77777777" w:rsidR="00197AC4" w:rsidRDefault="00197AC4">
      <w:r>
        <w:separator/>
      </w:r>
    </w:p>
  </w:endnote>
  <w:endnote w:type="continuationSeparator" w:id="0">
    <w:p w14:paraId="311E26AE" w14:textId="77777777" w:rsidR="00197AC4" w:rsidRDefault="0019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6812" w14:textId="77777777" w:rsidR="00B710AA" w:rsidRDefault="00000000">
    <w:pPr>
      <w:jc w:val="center"/>
    </w:pPr>
    <w:r>
      <w:rPr>
        <w:rFonts w:ascii="Calibri" w:eastAsia="Calibri" w:hAnsi="Calibri" w:cs="Calibri"/>
        <w:color w:val="1B2A4A"/>
        <w:sz w:val="18"/>
        <w:szCs w:val="18"/>
      </w:rPr>
      <w:fldChar w:fldCharType="begin"/>
    </w:r>
    <w:r>
      <w:rPr>
        <w:rFonts w:ascii="Calibri" w:eastAsia="Calibri" w:hAnsi="Calibri" w:cs="Calibri"/>
        <w:color w:val="1B2A4A"/>
        <w:sz w:val="18"/>
        <w:szCs w:val="18"/>
      </w:rPr>
      <w:instrText>PAGE</w:instrText>
    </w:r>
    <w:r>
      <w:rPr>
        <w:rFonts w:ascii="Calibri" w:eastAsia="Calibri" w:hAnsi="Calibri" w:cs="Calibri"/>
        <w:color w:val="1B2A4A"/>
        <w:sz w:val="18"/>
        <w:szCs w:val="18"/>
      </w:rPr>
      <w:fldChar w:fldCharType="separate"/>
    </w:r>
    <w:r>
      <w:rPr>
        <w:rFonts w:ascii="Calibri" w:eastAsia="Calibri" w:hAnsi="Calibri" w:cs="Calibri"/>
        <w:color w:val="1B2A4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75228" w14:textId="77777777" w:rsidR="00197AC4" w:rsidRDefault="00197AC4">
      <w:r>
        <w:separator/>
      </w:r>
    </w:p>
  </w:footnote>
  <w:footnote w:type="continuationSeparator" w:id="0">
    <w:p w14:paraId="1CDFA0E0" w14:textId="77777777" w:rsidR="00197AC4" w:rsidRDefault="0019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CDD25" w14:textId="77777777" w:rsidR="00B710AA" w:rsidRDefault="00000000">
    <w:pPr>
      <w:pBdr>
        <w:bottom w:val="single" w:sz="6" w:space="4" w:color="B8962E"/>
      </w:pBdr>
      <w:jc w:val="center"/>
    </w:pPr>
    <w:r>
      <w:rPr>
        <w:rFonts w:ascii="Traditional Arabic" w:eastAsia="Traditional Arabic" w:hAnsi="Traditional Arabic" w:cs="Traditional Arabic"/>
        <w:color w:val="0F6674"/>
        <w:sz w:val="18"/>
        <w:szCs w:val="18"/>
        <w:rtl/>
      </w:rPr>
      <w:t>علم النفس الاستخلافي — مقياس الدين النفسي (PDS)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64F43"/>
    <w:multiLevelType w:val="hybridMultilevel"/>
    <w:tmpl w:val="FFFFFFFF"/>
    <w:lvl w:ilvl="0" w:tplc="185612FC">
      <w:start w:val="1"/>
      <w:numFmt w:val="bullet"/>
      <w:lvlText w:val="•"/>
      <w:lvlJc w:val="right"/>
      <w:pPr>
        <w:ind w:left="400" w:hanging="260"/>
      </w:pPr>
    </w:lvl>
    <w:lvl w:ilvl="1" w:tplc="9C109E4A">
      <w:numFmt w:val="decimal"/>
      <w:lvlText w:val=""/>
      <w:lvlJc w:val="left"/>
    </w:lvl>
    <w:lvl w:ilvl="2" w:tplc="FAAAD030">
      <w:numFmt w:val="decimal"/>
      <w:lvlText w:val=""/>
      <w:lvlJc w:val="left"/>
    </w:lvl>
    <w:lvl w:ilvl="3" w:tplc="71CC4144">
      <w:numFmt w:val="decimal"/>
      <w:lvlText w:val=""/>
      <w:lvlJc w:val="left"/>
    </w:lvl>
    <w:lvl w:ilvl="4" w:tplc="306861B8">
      <w:numFmt w:val="decimal"/>
      <w:lvlText w:val=""/>
      <w:lvlJc w:val="left"/>
    </w:lvl>
    <w:lvl w:ilvl="5" w:tplc="6A026412">
      <w:numFmt w:val="decimal"/>
      <w:lvlText w:val=""/>
      <w:lvlJc w:val="left"/>
    </w:lvl>
    <w:lvl w:ilvl="6" w:tplc="83641902">
      <w:numFmt w:val="decimal"/>
      <w:lvlText w:val=""/>
      <w:lvlJc w:val="left"/>
    </w:lvl>
    <w:lvl w:ilvl="7" w:tplc="E166A34C">
      <w:numFmt w:val="decimal"/>
      <w:lvlText w:val=""/>
      <w:lvlJc w:val="left"/>
    </w:lvl>
    <w:lvl w:ilvl="8" w:tplc="24B20A96">
      <w:numFmt w:val="decimal"/>
      <w:lvlText w:val=""/>
      <w:lvlJc w:val="left"/>
    </w:lvl>
  </w:abstractNum>
  <w:abstractNum w:abstractNumId="1" w15:restartNumberingAfterBreak="0">
    <w:nsid w:val="7854735F"/>
    <w:multiLevelType w:val="hybridMultilevel"/>
    <w:tmpl w:val="FFFFFFFF"/>
    <w:lvl w:ilvl="0" w:tplc="974CD346">
      <w:start w:val="1"/>
      <w:numFmt w:val="bullet"/>
      <w:lvlText w:val="●"/>
      <w:lvlJc w:val="left"/>
      <w:pPr>
        <w:ind w:left="720" w:hanging="360"/>
      </w:pPr>
    </w:lvl>
    <w:lvl w:ilvl="1" w:tplc="E474D0F4">
      <w:start w:val="1"/>
      <w:numFmt w:val="bullet"/>
      <w:lvlText w:val="○"/>
      <w:lvlJc w:val="left"/>
      <w:pPr>
        <w:ind w:left="1440" w:hanging="360"/>
      </w:pPr>
    </w:lvl>
    <w:lvl w:ilvl="2" w:tplc="C9E27696">
      <w:start w:val="1"/>
      <w:numFmt w:val="bullet"/>
      <w:lvlText w:val="■"/>
      <w:lvlJc w:val="left"/>
      <w:pPr>
        <w:ind w:left="2160" w:hanging="360"/>
      </w:pPr>
    </w:lvl>
    <w:lvl w:ilvl="3" w:tplc="F1CA89B2">
      <w:start w:val="1"/>
      <w:numFmt w:val="bullet"/>
      <w:lvlText w:val="●"/>
      <w:lvlJc w:val="left"/>
      <w:pPr>
        <w:ind w:left="2880" w:hanging="360"/>
      </w:pPr>
    </w:lvl>
    <w:lvl w:ilvl="4" w:tplc="F3FCB688">
      <w:start w:val="1"/>
      <w:numFmt w:val="bullet"/>
      <w:lvlText w:val="○"/>
      <w:lvlJc w:val="left"/>
      <w:pPr>
        <w:ind w:left="3600" w:hanging="360"/>
      </w:pPr>
    </w:lvl>
    <w:lvl w:ilvl="5" w:tplc="0DC81E22">
      <w:start w:val="1"/>
      <w:numFmt w:val="bullet"/>
      <w:lvlText w:val="■"/>
      <w:lvlJc w:val="left"/>
      <w:pPr>
        <w:ind w:left="4320" w:hanging="360"/>
      </w:pPr>
    </w:lvl>
    <w:lvl w:ilvl="6" w:tplc="3D8C9B9C">
      <w:start w:val="1"/>
      <w:numFmt w:val="bullet"/>
      <w:lvlText w:val="●"/>
      <w:lvlJc w:val="left"/>
      <w:pPr>
        <w:ind w:left="5040" w:hanging="360"/>
      </w:pPr>
    </w:lvl>
    <w:lvl w:ilvl="7" w:tplc="5ECAC610">
      <w:start w:val="1"/>
      <w:numFmt w:val="bullet"/>
      <w:lvlText w:val="●"/>
      <w:lvlJc w:val="left"/>
      <w:pPr>
        <w:ind w:left="5760" w:hanging="360"/>
      </w:pPr>
    </w:lvl>
    <w:lvl w:ilvl="8" w:tplc="F334956A">
      <w:start w:val="1"/>
      <w:numFmt w:val="bullet"/>
      <w:lvlText w:val="●"/>
      <w:lvlJc w:val="left"/>
      <w:pPr>
        <w:ind w:left="6480" w:hanging="360"/>
      </w:pPr>
    </w:lvl>
  </w:abstractNum>
  <w:num w:numId="1" w16cid:durableId="1819686528">
    <w:abstractNumId w:val="1"/>
    <w:lvlOverride w:ilvl="0">
      <w:startOverride w:val="1"/>
    </w:lvlOverride>
  </w:num>
  <w:num w:numId="2" w16cid:durableId="13254770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9"/>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0AA"/>
    <w:rsid w:val="00197AC4"/>
    <w:rsid w:val="001F6D09"/>
    <w:rsid w:val="006F26FF"/>
    <w:rsid w:val="007E2118"/>
    <w:rsid w:val="00B710AA"/>
    <w:rsid w:val="00D576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A87A3A5"/>
  <w15:docId w15:val="{CF908AEF-535B-B346-B166-BA840202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style>
  <w:style w:type="character" w:customStyle="1" w:styleId="Char0">
    <w:name w:val="نص تعليق ختامي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4147</Words>
  <Characters>23638</Characters>
  <Application>Microsoft Office Word</Application>
  <DocSecurity>0</DocSecurity>
  <Lines>196</Lines>
  <Paragraphs>55</Paragraphs>
  <ScaleCrop>false</ScaleCrop>
  <Company/>
  <LinksUpToDate>false</LinksUpToDate>
  <CharactersWithSpaces>27730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zaraaabdesslem@gmail.com</cp:lastModifiedBy>
  <cp:revision>4</cp:revision>
  <dcterms:created xsi:type="dcterms:W3CDTF">2026-09-16T04:49:00Z</dcterms:created>
  <dcterms:modified xsi:type="dcterms:W3CDTF">2026-09-16T04:52:00Z</dcterms:modified>
</cp:coreProperties>
</file>