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F75F5" w14:textId="77777777" w:rsidR="004C7FA8" w:rsidRDefault="004C7FA8">
      <w:pPr>
        <w:spacing w:before="1200"/>
        <w:rPr>
          <w:rFonts w:cs="Arial"/>
        </w:rPr>
      </w:pPr>
    </w:p>
    <w:p w14:paraId="6E0CFC43" w14:textId="77777777" w:rsidR="004C7FA8" w:rsidRDefault="00E86F68">
      <w:pPr>
        <w:jc w:val="center"/>
        <w:rPr>
          <w:rFonts w:cs="Arial"/>
        </w:rPr>
      </w:pPr>
      <w:r>
        <w:rPr>
          <w:b/>
          <w:bCs/>
          <w:color w:val="1B2A4A"/>
          <w:sz w:val="56"/>
          <w:szCs w:val="56"/>
        </w:rPr>
        <w:t>تحليل العلاقات الأسرية في ضوء علم النفس القرآني</w:t>
      </w:r>
    </w:p>
    <w:p w14:paraId="03368264" w14:textId="77777777" w:rsidR="004C7FA8" w:rsidRDefault="00E86F68">
      <w:pPr>
        <w:spacing w:before="200"/>
        <w:jc w:val="center"/>
        <w:rPr>
          <w:rFonts w:cs="Arial"/>
        </w:rPr>
      </w:pPr>
      <w:r>
        <w:rPr>
          <w:b/>
          <w:bCs/>
          <w:color w:val="1F6F6F"/>
          <w:sz w:val="44"/>
          <w:szCs w:val="44"/>
        </w:rPr>
        <w:t>(النموذج الاستخلافي)</w:t>
      </w:r>
    </w:p>
    <w:p w14:paraId="5D34E6F5" w14:textId="35D98BA1" w:rsidR="004C7FA8" w:rsidRDefault="007E7726" w:rsidP="007E7726">
      <w:pPr>
        <w:spacing w:after="300"/>
        <w:jc w:val="center"/>
        <w:rPr>
          <w:rFonts w:cs="Arial"/>
        </w:rPr>
      </w:pPr>
      <w:r>
        <w:rPr>
          <w:rFonts w:cs="Arial" w:hint="cs"/>
        </w:rPr>
        <w:t>(</w:t>
      </w:r>
      <w:r w:rsidR="00137C79">
        <w:rPr>
          <w:rFonts w:cs="Arial" w:hint="cs"/>
        </w:rPr>
        <w:t>الجزء الثالث</w:t>
      </w:r>
      <w:r>
        <w:rPr>
          <w:rFonts w:cs="Arial" w:hint="cs"/>
        </w:rPr>
        <w:t>)</w:t>
      </w:r>
    </w:p>
    <w:p w14:paraId="518D1A6C" w14:textId="77777777" w:rsidR="004C7FA8" w:rsidRDefault="00E86F68">
      <w:pPr>
        <w:jc w:val="center"/>
        <w:rPr>
          <w:rFonts w:cs="Arial"/>
        </w:rPr>
      </w:pPr>
      <w:r>
        <w:rPr>
          <w:i/>
          <w:iCs/>
          <w:color w:val="1A1A1A"/>
          <w:sz w:val="28"/>
          <w:szCs w:val="28"/>
        </w:rPr>
        <w:t>دراسة موسّعة في ديناميكيات النفس البشرية والصراع الوجودي:</w:t>
      </w:r>
    </w:p>
    <w:p w14:paraId="2D3B94C6" w14:textId="77777777" w:rsidR="004C7FA8" w:rsidRDefault="00E86F68">
      <w:pPr>
        <w:spacing w:after="400"/>
        <w:jc w:val="center"/>
        <w:rPr>
          <w:rFonts w:cs="Arial"/>
        </w:rPr>
      </w:pPr>
      <w:r>
        <w:rPr>
          <w:i/>
          <w:iCs/>
          <w:color w:val="1A1A1A"/>
          <w:sz w:val="28"/>
          <w:szCs w:val="28"/>
        </w:rPr>
        <w:t>مقاربة مقارنة مع نظرية التعلق، ونماذج الشخصية النرجسية، والنسق الأسري الغربي</w:t>
      </w:r>
    </w:p>
    <w:p w14:paraId="61C74D37" w14:textId="77777777" w:rsidR="004C7FA8" w:rsidRDefault="004C7FA8">
      <w:pPr>
        <w:spacing w:after="600"/>
        <w:rPr>
          <w:rFonts w:cs="Arial"/>
        </w:rPr>
      </w:pPr>
    </w:p>
    <w:p w14:paraId="35EA164A" w14:textId="77777777" w:rsidR="004C7FA8" w:rsidRDefault="00E86F68">
      <w:pPr>
        <w:jc w:val="center"/>
        <w:rPr>
          <w:rFonts w:cs="Arial"/>
        </w:rPr>
      </w:pPr>
      <w:r>
        <w:rPr>
          <w:color w:val="B8860B"/>
        </w:rPr>
        <w:t>إعداد وتحرير علمي ضمن سلسلة علم النفس الاستخلافي</w:t>
      </w:r>
    </w:p>
    <w:p w14:paraId="7065F084" w14:textId="77777777" w:rsidR="004C7FA8" w:rsidRDefault="00E86F68">
      <w:pPr>
        <w:spacing w:before="100"/>
        <w:jc w:val="center"/>
        <w:rPr>
          <w:rFonts w:cs="Arial"/>
        </w:rPr>
      </w:pPr>
      <w:r>
        <w:rPr>
          <w:color w:val="1B2A4A"/>
          <w:sz w:val="22"/>
          <w:szCs w:val="22"/>
        </w:rPr>
        <w:t>استناداً إلى الإطار النظري لعبد السلام الزراع</w:t>
      </w:r>
    </w:p>
    <w:p w14:paraId="11C8FDC7" w14:textId="77777777" w:rsidR="004C7FA8" w:rsidRDefault="00E86F68">
      <w:pPr>
        <w:rPr>
          <w:rFonts w:cs="Arial"/>
        </w:rPr>
      </w:pPr>
      <w:r>
        <w:br w:type="page"/>
      </w:r>
    </w:p>
    <w:p w14:paraId="66BC7E80" w14:textId="77777777" w:rsidR="004C7FA8" w:rsidRDefault="00E86F68" w:rsidP="00E61F6F">
      <w:pPr>
        <w:pStyle w:val="1"/>
        <w:pBdr>
          <w:bottom w:val="single" w:sz="6" w:space="4" w:color="B8860B"/>
        </w:pBdr>
        <w:bidi/>
        <w:spacing w:before="360" w:after="200"/>
        <w:jc w:val="center"/>
        <w:rPr>
          <w:rFonts w:cs="Arial"/>
        </w:rPr>
      </w:pPr>
      <w:r>
        <w:rPr>
          <w:b/>
          <w:bCs/>
          <w:color w:val="1B2A4A"/>
          <w:sz w:val="68"/>
          <w:szCs w:val="68"/>
        </w:rPr>
        <w:t>تمهيد موسّع: من التحليل الغربي إلى الرؤية القرآنية</w:t>
      </w:r>
    </w:p>
    <w:p w14:paraId="684DF214" w14:textId="77777777" w:rsidR="004C7FA8" w:rsidRDefault="00E86F68">
      <w:pPr>
        <w:spacing w:after="200" w:line="340" w:lineRule="auto"/>
        <w:jc w:val="both"/>
        <w:rPr>
          <w:rFonts w:cs="Arial"/>
        </w:rPr>
      </w:pPr>
      <w:r>
        <w:rPr>
          <w:color w:val="1A1A1A"/>
        </w:rPr>
        <w:t xml:space="preserve">يُقدم التحليل السيكولوجي الغربي للحالة الأسرية المذكورة (الأب النرجسي، الأم الهشة، الابنة التي تطلب الاستقلال) قراءة ثرية تستند إلى مفهومي اضطراب الشخصية النرجسية ونظرية التعلق لجون </w:t>
      </w:r>
      <w:proofErr w:type="spellStart"/>
      <w:r>
        <w:rPr>
          <w:color w:val="1A1A1A"/>
        </w:rPr>
        <w:t>بولبي</w:t>
      </w:r>
      <w:proofErr w:type="spellEnd"/>
      <w:r>
        <w:rPr>
          <w:color w:val="1A1A1A"/>
        </w:rPr>
        <w:t xml:space="preserve"> (</w:t>
      </w:r>
      <w:proofErr w:type="spellStart"/>
      <w:r>
        <w:rPr>
          <w:color w:val="1A1A1A"/>
        </w:rPr>
        <w:t>Bowlby</w:t>
      </w:r>
      <w:proofErr w:type="spellEnd"/>
      <w:r>
        <w:rPr>
          <w:color w:val="1A1A1A"/>
        </w:rPr>
        <w:t xml:space="preserve">, 1969, 1973)، وتتقاطع مع الإسهامات اللاحقة </w:t>
      </w:r>
      <w:proofErr w:type="spellStart"/>
      <w:r>
        <w:rPr>
          <w:color w:val="1A1A1A"/>
        </w:rPr>
        <w:t>لأوتو</w:t>
      </w:r>
      <w:proofErr w:type="spellEnd"/>
      <w:r>
        <w:rPr>
          <w:color w:val="1A1A1A"/>
        </w:rPr>
        <w:t xml:space="preserve"> </w:t>
      </w:r>
      <w:proofErr w:type="spellStart"/>
      <w:r>
        <w:rPr>
          <w:color w:val="1A1A1A"/>
        </w:rPr>
        <w:t>كيرنبرغ</w:t>
      </w:r>
      <w:proofErr w:type="spellEnd"/>
      <w:r>
        <w:rPr>
          <w:color w:val="1A1A1A"/>
        </w:rPr>
        <w:t xml:space="preserve"> (</w:t>
      </w:r>
      <w:proofErr w:type="spellStart"/>
      <w:r>
        <w:rPr>
          <w:color w:val="1A1A1A"/>
        </w:rPr>
        <w:t>Kernberg</w:t>
      </w:r>
      <w:proofErr w:type="spellEnd"/>
      <w:r>
        <w:rPr>
          <w:color w:val="1A1A1A"/>
        </w:rPr>
        <w:t xml:space="preserve">, 1975) في النموذج البنيوي للشخصية الحدّية والنرجسية، </w:t>
      </w:r>
      <w:proofErr w:type="spellStart"/>
      <w:r>
        <w:rPr>
          <w:color w:val="1A1A1A"/>
        </w:rPr>
        <w:t>وهاينز</w:t>
      </w:r>
      <w:proofErr w:type="spellEnd"/>
      <w:r>
        <w:rPr>
          <w:color w:val="1A1A1A"/>
        </w:rPr>
        <w:t xml:space="preserve"> </w:t>
      </w:r>
      <w:proofErr w:type="spellStart"/>
      <w:r>
        <w:rPr>
          <w:color w:val="1A1A1A"/>
        </w:rPr>
        <w:t>كوهوت</w:t>
      </w:r>
      <w:proofErr w:type="spellEnd"/>
      <w:r>
        <w:rPr>
          <w:color w:val="1A1A1A"/>
        </w:rPr>
        <w:t xml:space="preserve"> (</w:t>
      </w:r>
      <w:proofErr w:type="spellStart"/>
      <w:r>
        <w:rPr>
          <w:color w:val="1A1A1A"/>
        </w:rPr>
        <w:t>Kohut</w:t>
      </w:r>
      <w:proofErr w:type="spellEnd"/>
      <w:r>
        <w:rPr>
          <w:color w:val="1A1A1A"/>
        </w:rPr>
        <w:t>, 1971) في علم نفس الذات. غير أن علم النفس القرآني (النموذج الاستخلافي) يأخذنا إلى أبعاد أعمق، حيث لا يُنظر إلى السلوك البشري بوصفه نتاجًا لآليات نفسية صماء فحسب، بل بوصفه صراعًا وجوديًا بين قوى الفطرة (الفجور والتقوى) وتدخلات البعد الرابع (الشيطان)، في سياق غائي هو تحقيق الاستخلاف أو الانحراف عنه.</w:t>
      </w:r>
    </w:p>
    <w:p w14:paraId="114CD398" w14:textId="77777777" w:rsidR="004C7FA8" w:rsidRDefault="00E86F68">
      <w:pPr>
        <w:spacing w:after="200" w:line="340" w:lineRule="auto"/>
        <w:jc w:val="both"/>
        <w:rPr>
          <w:rFonts w:cs="Arial"/>
        </w:rPr>
      </w:pPr>
      <w:r>
        <w:rPr>
          <w:color w:val="1A1A1A"/>
        </w:rPr>
        <w:t>تهدف هذه الدراسة الموسّعة إلى إعادة قراءة الحالة نفسها من منظور نموذج الأضلاع الثمانية، كاشفةً عن البنية النفسية العميقة للشخصيات، ومحلِّلةً التفاعلات الأسرية كديناميكية هبوط وصعود، ومقدِّمةً رؤية علاجية تستند إلى مفاهيم الكينتسوغي النفسي والجسر السلوكي، مع تعميق الحوار النقدي مع الأدبيات الغربية المعاصرة في علم نفس الأسرة (</w:t>
      </w:r>
      <w:proofErr w:type="spellStart"/>
      <w:r>
        <w:rPr>
          <w:color w:val="1A1A1A"/>
        </w:rPr>
        <w:t>Bowen</w:t>
      </w:r>
      <w:proofErr w:type="spellEnd"/>
      <w:r>
        <w:rPr>
          <w:color w:val="1A1A1A"/>
        </w:rPr>
        <w:t xml:space="preserve">, 1978; </w:t>
      </w:r>
      <w:proofErr w:type="spellStart"/>
      <w:r>
        <w:rPr>
          <w:color w:val="1A1A1A"/>
        </w:rPr>
        <w:t>Minuchin</w:t>
      </w:r>
      <w:proofErr w:type="spellEnd"/>
      <w:r>
        <w:rPr>
          <w:color w:val="1A1A1A"/>
        </w:rPr>
        <w:t>, 1974) وعلم النفس الإكلينيكي (DSM-5؛ APA, 2013)، بما يجعل من هذا العمل إسهامًا في بناء منهجية مقارنة رصينة بين الحقلين المعرفيين، لا مجرد استبدال مفردات.</w:t>
      </w:r>
    </w:p>
    <w:p w14:paraId="4B5E1807" w14:textId="77777777" w:rsidR="004C7FA8" w:rsidRDefault="00E86F68">
      <w:pPr>
        <w:spacing w:after="200" w:line="340" w:lineRule="auto"/>
        <w:jc w:val="both"/>
        <w:rPr>
          <w:rFonts w:cs="Arial"/>
        </w:rPr>
      </w:pPr>
      <w:r>
        <w:rPr>
          <w:color w:val="1A1A1A"/>
        </w:rPr>
        <w:t xml:space="preserve">تنقسم الدراسة إلى ثمانية فصول: يُخصَّص الأول للإطار </w:t>
      </w:r>
      <w:proofErr w:type="spellStart"/>
      <w:r>
        <w:rPr>
          <w:color w:val="1A1A1A"/>
        </w:rPr>
        <w:t>المفاهيمي</w:t>
      </w:r>
      <w:proofErr w:type="spellEnd"/>
      <w:r>
        <w:rPr>
          <w:color w:val="1A1A1A"/>
        </w:rPr>
        <w:t>، ويعقبه فصل منهجي في إشكالية المقاربة المقارنة، ثم ثلاثة فصول تحليلية لشخصيات الأب والأم والابنة، يليها فصل في ديناميكية النسق الأسري، ثم فصل في آفاق التحول العلاجي وربطه ببروتوكول TLRT، وأخيرًا فصل نقدي في محددات المقاربة وآفاقها المستقبلية.</w:t>
      </w:r>
    </w:p>
    <w:p w14:paraId="73CCAC04" w14:textId="77777777" w:rsidR="004C7FA8" w:rsidRDefault="00E86F68">
      <w:pPr>
        <w:rPr>
          <w:rFonts w:cs="Arial"/>
        </w:rPr>
      </w:pPr>
      <w:r>
        <w:br w:type="page"/>
      </w:r>
    </w:p>
    <w:p w14:paraId="0DF00FBD" w14:textId="77777777" w:rsidR="004C7FA8" w:rsidRDefault="00E86F68" w:rsidP="00E61F6F">
      <w:pPr>
        <w:pStyle w:val="1"/>
        <w:pBdr>
          <w:bottom w:val="single" w:sz="6" w:space="4" w:color="B8860B"/>
        </w:pBdr>
        <w:bidi/>
        <w:spacing w:before="360" w:after="200"/>
        <w:jc w:val="center"/>
        <w:rPr>
          <w:rFonts w:cs="Arial"/>
        </w:rPr>
      </w:pPr>
      <w:r>
        <w:rPr>
          <w:b/>
          <w:bCs/>
          <w:color w:val="1B2A4A"/>
          <w:sz w:val="68"/>
          <w:szCs w:val="68"/>
        </w:rPr>
        <w:t xml:space="preserve">الفصل الأول: الإطار </w:t>
      </w:r>
      <w:proofErr w:type="spellStart"/>
      <w:r>
        <w:rPr>
          <w:b/>
          <w:bCs/>
          <w:color w:val="1B2A4A"/>
          <w:sz w:val="68"/>
          <w:szCs w:val="68"/>
        </w:rPr>
        <w:t>المفاهيمي</w:t>
      </w:r>
      <w:proofErr w:type="spellEnd"/>
      <w:r>
        <w:rPr>
          <w:b/>
          <w:bCs/>
          <w:color w:val="1B2A4A"/>
          <w:sz w:val="68"/>
          <w:szCs w:val="68"/>
        </w:rPr>
        <w:t xml:space="preserve"> – أداة التحليل</w:t>
      </w:r>
    </w:p>
    <w:p w14:paraId="4D9889EB" w14:textId="77777777" w:rsidR="004C7FA8" w:rsidRDefault="00E86F68">
      <w:pPr>
        <w:spacing w:after="200" w:line="340" w:lineRule="auto"/>
        <w:jc w:val="both"/>
        <w:rPr>
          <w:rFonts w:cs="Arial"/>
        </w:rPr>
      </w:pPr>
      <w:r>
        <w:rPr>
          <w:color w:val="1A1A1A"/>
        </w:rPr>
        <w:t>قبل الشروع في التحليل، لا بد من استحضار المفاهيم الأساسية لعلم النفس الاستخلافي كما وردت في المصادر، مع توسيع دلالاتها الإجرائية بما يخدم التحليل الأسري المعمّق:</w:t>
      </w:r>
    </w:p>
    <w:p w14:paraId="6FEFE86A" w14:textId="77777777" w:rsidR="004C7FA8" w:rsidRDefault="00E86F68">
      <w:pPr>
        <w:spacing w:after="200" w:line="340" w:lineRule="auto"/>
        <w:jc w:val="both"/>
        <w:rPr>
          <w:rFonts w:cs="Arial"/>
        </w:rPr>
      </w:pPr>
      <w:r>
        <w:rPr>
          <w:b/>
          <w:bCs/>
          <w:color w:val="1F6F6F"/>
        </w:rPr>
        <w:t xml:space="preserve">1. </w:t>
      </w:r>
      <w:r>
        <w:rPr>
          <w:b/>
          <w:bCs/>
          <w:color w:val="1B2A4A"/>
        </w:rPr>
        <w:t xml:space="preserve">النفس الأمارة بالسوء: </w:t>
      </w:r>
      <w:r>
        <w:rPr>
          <w:color w:val="1A1A1A"/>
        </w:rPr>
        <w:t xml:space="preserve">هي النفس التي تميل إلى الشهوات وتتبع الهوى، وتتميز بالاندفاع نحو المعصية دون اكتراث بالعواقب [الزراع، ص 207]. وهي في حالة نشاط دائم تستثمره قوى الانحدار. وتجدر الإشارة إلى أن هذا المفهوم لا يقابل بالضرورة "الهو" </w:t>
      </w:r>
      <w:proofErr w:type="spellStart"/>
      <w:r>
        <w:rPr>
          <w:color w:val="1A1A1A"/>
        </w:rPr>
        <w:t>الفرويدي</w:t>
      </w:r>
      <w:proofErr w:type="spellEnd"/>
      <w:r>
        <w:rPr>
          <w:color w:val="1A1A1A"/>
        </w:rPr>
        <w:t xml:space="preserve"> (</w:t>
      </w:r>
      <w:proofErr w:type="spellStart"/>
      <w:r>
        <w:rPr>
          <w:color w:val="1A1A1A"/>
        </w:rPr>
        <w:t>Id</w:t>
      </w:r>
      <w:proofErr w:type="spellEnd"/>
      <w:r>
        <w:rPr>
          <w:color w:val="1A1A1A"/>
        </w:rPr>
        <w:t xml:space="preserve">)، إذ إن الأمارة عند الزراع مفهوم أخلاقي-وجودي مسؤول، بينما الهو عند فرويد طاقة غريزية عمياء لا تحمل بعدًا تكليفيًا؛ الفارق الجوهري هو أن الأمارة تخضع للمساءلة </w:t>
      </w:r>
      <w:proofErr w:type="spellStart"/>
      <w:r>
        <w:rPr>
          <w:color w:val="1A1A1A"/>
        </w:rPr>
        <w:t>الأخروية</w:t>
      </w:r>
      <w:proofErr w:type="spellEnd"/>
      <w:r>
        <w:rPr>
          <w:color w:val="1A1A1A"/>
        </w:rPr>
        <w:t>، وهو ما يمنحها وزنًا معياريًّا غائبًا عن المفهوم الغربي المقابل.</w:t>
      </w:r>
    </w:p>
    <w:p w14:paraId="61B427DC" w14:textId="77777777" w:rsidR="004C7FA8" w:rsidRDefault="00E86F68">
      <w:pPr>
        <w:spacing w:after="200" w:line="340" w:lineRule="auto"/>
        <w:jc w:val="both"/>
        <w:rPr>
          <w:rFonts w:cs="Arial"/>
        </w:rPr>
      </w:pPr>
      <w:r>
        <w:rPr>
          <w:b/>
          <w:bCs/>
          <w:color w:val="1F6F6F"/>
        </w:rPr>
        <w:t xml:space="preserve">2. </w:t>
      </w:r>
      <w:r>
        <w:rPr>
          <w:b/>
          <w:bCs/>
          <w:color w:val="1B2A4A"/>
        </w:rPr>
        <w:t xml:space="preserve">النفس اللوامة: </w:t>
      </w:r>
      <w:r>
        <w:rPr>
          <w:color w:val="1A1A1A"/>
        </w:rPr>
        <w:t xml:space="preserve">هي النفس التي تمتلك وعياً أخلاقياً، وتؤنب صاحبها عند الخطأ، وتدفعه للمحاسبة والتوبة [الزراع، ص 205]. وجودها هو مؤشر على بقاء بصيص من الفطرة. ويمكن تقريبها وظيفيًّا - لا </w:t>
      </w:r>
      <w:proofErr w:type="spellStart"/>
      <w:r>
        <w:rPr>
          <w:color w:val="1A1A1A"/>
        </w:rPr>
        <w:t>هوويًّا</w:t>
      </w:r>
      <w:proofErr w:type="spellEnd"/>
      <w:r>
        <w:rPr>
          <w:color w:val="1A1A1A"/>
        </w:rPr>
        <w:t xml:space="preserve"> - من مفهوم "الأنا الأعلى" (</w:t>
      </w:r>
      <w:proofErr w:type="spellStart"/>
      <w:r>
        <w:rPr>
          <w:color w:val="1A1A1A"/>
        </w:rPr>
        <w:t>Superego</w:t>
      </w:r>
      <w:proofErr w:type="spellEnd"/>
      <w:r>
        <w:rPr>
          <w:color w:val="1A1A1A"/>
        </w:rPr>
        <w:t>) عند فرويد، لكنها تتميز عنه بأنها ليست محض بناء اجتماعي مكتسب من سلطة الوالدين، بل استعداد فطري مزروع في بنية النفس، يُفعَّل أو يُعطَّل بحسب البيئة.</w:t>
      </w:r>
    </w:p>
    <w:p w14:paraId="576A1EC7" w14:textId="77777777" w:rsidR="004C7FA8" w:rsidRDefault="00E86F68">
      <w:pPr>
        <w:spacing w:after="200" w:line="340" w:lineRule="auto"/>
        <w:jc w:val="both"/>
        <w:rPr>
          <w:rFonts w:cs="Arial"/>
        </w:rPr>
      </w:pPr>
      <w:r>
        <w:rPr>
          <w:b/>
          <w:bCs/>
          <w:color w:val="1F6F6F"/>
        </w:rPr>
        <w:t xml:space="preserve">3. </w:t>
      </w:r>
      <w:r>
        <w:rPr>
          <w:b/>
          <w:bCs/>
          <w:color w:val="1B2A4A"/>
        </w:rPr>
        <w:t xml:space="preserve">النفس المطمئنة: </w:t>
      </w:r>
      <w:r>
        <w:rPr>
          <w:color w:val="1A1A1A"/>
        </w:rPr>
        <w:t xml:space="preserve">هي النفس التي تصل إلى السكينة والرضا، وتستقر على طاعة الله، وتكون في توافق مع إرادة الخالق [الزراع، ص 1081]. وهي الغاية النهائية للمسار النفسي-الروحي، وتقابلها في الأدبيات </w:t>
      </w:r>
      <w:proofErr w:type="spellStart"/>
      <w:r>
        <w:rPr>
          <w:color w:val="1A1A1A"/>
        </w:rPr>
        <w:t>الإنسانوية</w:t>
      </w:r>
      <w:proofErr w:type="spellEnd"/>
      <w:r>
        <w:rPr>
          <w:color w:val="1A1A1A"/>
        </w:rPr>
        <w:t xml:space="preserve"> الغربية مفاهيم "تحقيق الذات" (</w:t>
      </w:r>
      <w:proofErr w:type="spellStart"/>
      <w:r>
        <w:rPr>
          <w:color w:val="1A1A1A"/>
        </w:rPr>
        <w:t>Self-actualization</w:t>
      </w:r>
      <w:proofErr w:type="spellEnd"/>
      <w:r>
        <w:rPr>
          <w:color w:val="1A1A1A"/>
        </w:rPr>
        <w:t xml:space="preserve">) عند </w:t>
      </w:r>
      <w:proofErr w:type="spellStart"/>
      <w:r>
        <w:rPr>
          <w:color w:val="1A1A1A"/>
        </w:rPr>
        <w:t>ماسلو</w:t>
      </w:r>
      <w:proofErr w:type="spellEnd"/>
      <w:r>
        <w:rPr>
          <w:color w:val="1A1A1A"/>
        </w:rPr>
        <w:t>، لكنها تتجاوزها بربط الطمأنينة بمصدر متعالٍ لا بإنجاز فردي محض.</w:t>
      </w:r>
    </w:p>
    <w:p w14:paraId="1D2B9BCD" w14:textId="77777777" w:rsidR="004C7FA8" w:rsidRDefault="00E86F68">
      <w:pPr>
        <w:spacing w:after="200" w:line="340" w:lineRule="auto"/>
        <w:jc w:val="both"/>
        <w:rPr>
          <w:rFonts w:cs="Arial"/>
        </w:rPr>
      </w:pPr>
      <w:r>
        <w:rPr>
          <w:b/>
          <w:bCs/>
          <w:color w:val="1F6F6F"/>
        </w:rPr>
        <w:t xml:space="preserve">4. </w:t>
      </w:r>
      <w:r>
        <w:rPr>
          <w:b/>
          <w:bCs/>
          <w:color w:val="1B2A4A"/>
        </w:rPr>
        <w:t xml:space="preserve">القاعدة الفطرية (الفجور والتقوى): </w:t>
      </w:r>
      <w:r>
        <w:rPr>
          <w:color w:val="1A1A1A"/>
        </w:rPr>
        <w:t>تمثل البنية التحتية للنفس، فـ"الفجور" هو الميل الفطري للشر والانفتاح على المحرمات، و"التقوى" هي الميل الفطري للخير والانضباط الأخلاقي [الزراع، ص 108]، استنادًا إلى قوله تعالى: {فَأَلْهَمَهَا فُجُورَهَا وَتَقْوَاهَا} [الشمس: 8].</w:t>
      </w:r>
    </w:p>
    <w:p w14:paraId="2D04C358" w14:textId="77777777" w:rsidR="004C7FA8" w:rsidRDefault="00E86F68">
      <w:pPr>
        <w:spacing w:after="200" w:line="340" w:lineRule="auto"/>
        <w:jc w:val="both"/>
        <w:rPr>
          <w:rFonts w:cs="Arial"/>
        </w:rPr>
      </w:pPr>
      <w:r>
        <w:rPr>
          <w:b/>
          <w:bCs/>
          <w:color w:val="1F6F6F"/>
        </w:rPr>
        <w:t xml:space="preserve">5. </w:t>
      </w:r>
      <w:r>
        <w:rPr>
          <w:b/>
          <w:bCs/>
          <w:color w:val="1B2A4A"/>
        </w:rPr>
        <w:t xml:space="preserve">البعد الرابع (الشيطان): </w:t>
      </w:r>
      <w:r>
        <w:rPr>
          <w:color w:val="1A1A1A"/>
        </w:rPr>
        <w:t>القوة الخارجية التي تستهدف النفس عبر ثغرة الفجور، وتعمل على تزيين المعصية وتأجيج الأمارة [الزراع، ص 1104]. وهذا المكوّن هو ما يميّز النموذج الاستخلافي بجلاء عن كل النماذج الغربية المتاحة، إذ لا يوجد في التحليل النفسي الكلاسيكي أو المعاصر ما يقابله بوصفه فاعلًا خارجيًّا مستقلاً له إرادة وغاية عدائية، بخلاف مفهوم "الظل" (</w:t>
      </w:r>
      <w:proofErr w:type="spellStart"/>
      <w:r>
        <w:rPr>
          <w:color w:val="1A1A1A"/>
        </w:rPr>
        <w:t>Shadow</w:t>
      </w:r>
      <w:proofErr w:type="spellEnd"/>
      <w:r>
        <w:rPr>
          <w:color w:val="1A1A1A"/>
        </w:rPr>
        <w:t>) عند يونغ الذي يبقى بنية داخلية للاوعي الفردي أو الجمعي.</w:t>
      </w:r>
    </w:p>
    <w:p w14:paraId="2AC6BF77" w14:textId="77777777" w:rsidR="004C7FA8" w:rsidRDefault="00E86F68">
      <w:pPr>
        <w:spacing w:after="200" w:line="340" w:lineRule="auto"/>
        <w:jc w:val="both"/>
        <w:rPr>
          <w:rFonts w:cs="Arial"/>
        </w:rPr>
      </w:pPr>
      <w:r>
        <w:rPr>
          <w:b/>
          <w:bCs/>
          <w:color w:val="1F6F6F"/>
        </w:rPr>
        <w:t xml:space="preserve">6. </w:t>
      </w:r>
      <w:r>
        <w:rPr>
          <w:b/>
          <w:bCs/>
          <w:color w:val="1B2A4A"/>
        </w:rPr>
        <w:t xml:space="preserve">الأضلاع الثمانية: </w:t>
      </w:r>
      <w:r>
        <w:rPr>
          <w:color w:val="1A1A1A"/>
        </w:rPr>
        <w:t>هي شبكة العلاقات بين مكونات النفس، وتشمل أضلاع الهبوط (الفجور ← الأمارة، الفجور ← الشيطان، الشيطان ← الأمارة) وأضلاع الصعود (التقوى ← المطمئنة، التقوى ← الرحمة، الأمارة ← اللوامة، اللوامة ← المطمئنة، الرحمة ← المطمئنة) [الزراع، ص 189، 1530].</w:t>
      </w:r>
    </w:p>
    <w:p w14:paraId="25AC106C" w14:textId="77777777" w:rsidR="004C7FA8" w:rsidRDefault="00E86F68">
      <w:pPr>
        <w:spacing w:after="200" w:line="340" w:lineRule="auto"/>
        <w:jc w:val="both"/>
        <w:rPr>
          <w:rFonts w:cs="Arial"/>
        </w:rPr>
      </w:pPr>
      <w:r>
        <w:rPr>
          <w:b/>
          <w:bCs/>
          <w:color w:val="1F6F6F"/>
        </w:rPr>
        <w:t xml:space="preserve">7. </w:t>
      </w:r>
      <w:r>
        <w:rPr>
          <w:b/>
          <w:bCs/>
          <w:color w:val="1B2A4A"/>
        </w:rPr>
        <w:t xml:space="preserve">الكينتسوغي النفسي: </w:t>
      </w:r>
      <w:r>
        <w:rPr>
          <w:color w:val="1A1A1A"/>
        </w:rPr>
        <w:t>هو مفهوم علاجي يعني تحويل الجراح النفسية إلى طاقة إبداعية، عبر ترميم الذات وتوظيف الألم في بناء المعنى [الزراع، ص 1062]. ويلتقي جزئيًّا مع مفهوم "النمو ما بعد الصدمة" (</w:t>
      </w:r>
      <w:proofErr w:type="spellStart"/>
      <w:r>
        <w:rPr>
          <w:color w:val="1A1A1A"/>
        </w:rPr>
        <w:t>Post-Traumatic</w:t>
      </w:r>
      <w:proofErr w:type="spellEnd"/>
      <w:r>
        <w:rPr>
          <w:color w:val="1A1A1A"/>
        </w:rPr>
        <w:t xml:space="preserve"> </w:t>
      </w:r>
      <w:proofErr w:type="spellStart"/>
      <w:r>
        <w:rPr>
          <w:color w:val="1A1A1A"/>
        </w:rPr>
        <w:t>Growth</w:t>
      </w:r>
      <w:proofErr w:type="spellEnd"/>
      <w:r>
        <w:rPr>
          <w:color w:val="1A1A1A"/>
        </w:rPr>
        <w:t xml:space="preserve">) عند </w:t>
      </w:r>
      <w:proofErr w:type="spellStart"/>
      <w:r>
        <w:rPr>
          <w:color w:val="1A1A1A"/>
        </w:rPr>
        <w:t>تيديشي</w:t>
      </w:r>
      <w:proofErr w:type="spellEnd"/>
      <w:r>
        <w:rPr>
          <w:color w:val="1A1A1A"/>
        </w:rPr>
        <w:t xml:space="preserve"> وكالهون (</w:t>
      </w:r>
      <w:proofErr w:type="spellStart"/>
      <w:r>
        <w:rPr>
          <w:color w:val="1A1A1A"/>
        </w:rPr>
        <w:t>Tedeschi</w:t>
      </w:r>
      <w:proofErr w:type="spellEnd"/>
      <w:r>
        <w:rPr>
          <w:color w:val="1A1A1A"/>
        </w:rPr>
        <w:t xml:space="preserve"> &amp; </w:t>
      </w:r>
      <w:proofErr w:type="spellStart"/>
      <w:r>
        <w:rPr>
          <w:color w:val="1A1A1A"/>
        </w:rPr>
        <w:t>Calhoun</w:t>
      </w:r>
      <w:proofErr w:type="spellEnd"/>
      <w:r>
        <w:rPr>
          <w:color w:val="1A1A1A"/>
        </w:rPr>
        <w:t>, 1996)، لكنه يضيف بُعدًا تعبديًّا: الجرح لا يُستثمر لمجرد النمو الشخصي، بل بوصفه أداة لتحقيق وظيفة الاستخلاف والاقتراب من الله.</w:t>
      </w:r>
    </w:p>
    <w:p w14:paraId="54FED10E" w14:textId="77777777" w:rsidR="004C7FA8" w:rsidRDefault="00E86F68">
      <w:pPr>
        <w:spacing w:after="200" w:line="340" w:lineRule="auto"/>
        <w:jc w:val="both"/>
        <w:rPr>
          <w:rFonts w:cs="Arial"/>
        </w:rPr>
      </w:pPr>
      <w:r>
        <w:rPr>
          <w:b/>
          <w:bCs/>
          <w:color w:val="1F6F6F"/>
        </w:rPr>
        <w:t xml:space="preserve">8. </w:t>
      </w:r>
      <w:r>
        <w:rPr>
          <w:b/>
          <w:bCs/>
          <w:color w:val="1B2A4A"/>
        </w:rPr>
        <w:t xml:space="preserve">الجسر السلوكي: </w:t>
      </w:r>
      <w:r>
        <w:rPr>
          <w:color w:val="1A1A1A"/>
        </w:rPr>
        <w:t xml:space="preserve">هو الآلية التي تنتقل بها النفس من حالة إلى أخرى، عبر أفعال عملية تحول الندم إلى فاعلية </w:t>
      </w:r>
      <w:proofErr w:type="spellStart"/>
      <w:r>
        <w:rPr>
          <w:color w:val="1A1A1A"/>
        </w:rPr>
        <w:t>إحسانية</w:t>
      </w:r>
      <w:proofErr w:type="spellEnd"/>
      <w:r>
        <w:rPr>
          <w:color w:val="1A1A1A"/>
        </w:rPr>
        <w:t xml:space="preserve"> [الزراع، ص 906].</w:t>
      </w:r>
    </w:p>
    <w:p w14:paraId="4EA6ED69" w14:textId="77777777" w:rsidR="004C7FA8" w:rsidRDefault="004C7FA8">
      <w:pPr>
        <w:spacing w:after="150"/>
        <w:rPr>
          <w:rFonts w:cs="Arial"/>
        </w:rPr>
      </w:pPr>
    </w:p>
    <w:p w14:paraId="74EEC17D" w14:textId="77777777" w:rsidR="004C7FA8" w:rsidRDefault="00E86F68">
      <w:pPr>
        <w:spacing w:after="200" w:line="340" w:lineRule="auto"/>
        <w:jc w:val="both"/>
        <w:rPr>
          <w:rFonts w:cs="Arial"/>
        </w:rPr>
      </w:pPr>
      <w:r>
        <w:rPr>
          <w:color w:val="1A1A1A"/>
        </w:rPr>
        <w:t>يلاحَظ من هذا العرض الموسّع أن المفاهيم الثمانية ليست مجرد ترجمة اصطلاحية لأدبيات علم النفس الغربي، بل بناء نظري مستقل ينطلق من مصدرين معرفيين متمايزين: الوحي (القرآن والسنة) بوصفه مصدرًا معياريًّا-غيبيًّا، والملاحظة السريرية بوصفها مصدرًا تجريبيًّا مساعدًا. وهذا التمايز المصدري هو ما يفسر عدم قابلية الاختزال الكامل لأحد النموذجين في الآخر، وإن أمكن التقريب الوظيفي بينهما كما سيتضح في الفصول اللاحقة.</w:t>
      </w:r>
    </w:p>
    <w:p w14:paraId="0681CB47" w14:textId="77777777" w:rsidR="004C7FA8" w:rsidRDefault="00E86F68">
      <w:pPr>
        <w:rPr>
          <w:rFonts w:cs="Arial"/>
        </w:rPr>
      </w:pPr>
      <w:r>
        <w:br w:type="page"/>
      </w:r>
    </w:p>
    <w:p w14:paraId="3C6027CD" w14:textId="77777777" w:rsidR="004C7FA8" w:rsidRDefault="00E86F68">
      <w:pPr>
        <w:pStyle w:val="1"/>
        <w:pBdr>
          <w:bottom w:val="single" w:sz="6" w:space="4" w:color="B8860B"/>
        </w:pBdr>
        <w:bidi/>
        <w:spacing w:before="360" w:after="200"/>
        <w:jc w:val="right"/>
        <w:rPr>
          <w:rFonts w:cs="Arial"/>
        </w:rPr>
      </w:pPr>
      <w:r>
        <w:rPr>
          <w:b/>
          <w:bCs/>
          <w:color w:val="1B2A4A"/>
          <w:sz w:val="68"/>
          <w:szCs w:val="68"/>
        </w:rPr>
        <w:t>فصل تمهيدي منهجي: إشكالية المقاربة المقارنة</w:t>
      </w:r>
    </w:p>
    <w:p w14:paraId="4FE3C87A" w14:textId="77777777" w:rsidR="004C7FA8" w:rsidRDefault="00E86F68">
      <w:pPr>
        <w:spacing w:after="200" w:line="340" w:lineRule="auto"/>
        <w:jc w:val="both"/>
        <w:rPr>
          <w:rFonts w:cs="Arial"/>
        </w:rPr>
      </w:pPr>
      <w:r>
        <w:rPr>
          <w:color w:val="1A1A1A"/>
        </w:rPr>
        <w:t>قبل الانتقال إلى التحليل التطبيقي، تستوجب الأمانة العلمية التوقف عند إشكالية منهجية جوهرية: كيف يمكن مقارنة إطار معياري-غيبي (علم النفس الاستخلافي) بإطار تجريبي-وصفي (علم النفس الغربي المعاصر) دون الوقوع في مغالطة "مقارنة غير المتماثلات"؟</w:t>
      </w:r>
    </w:p>
    <w:p w14:paraId="708EC476" w14:textId="77777777" w:rsidR="004C7FA8" w:rsidRDefault="00E86F68">
      <w:pPr>
        <w:pStyle w:val="3"/>
        <w:bidi/>
        <w:spacing w:before="360" w:after="200"/>
        <w:jc w:val="right"/>
        <w:rPr>
          <w:rFonts w:cs="Arial"/>
        </w:rPr>
      </w:pPr>
      <w:r>
        <w:rPr>
          <w:b/>
          <w:bCs/>
          <w:color w:val="1F6F6F"/>
          <w:sz w:val="48"/>
          <w:szCs w:val="48"/>
        </w:rPr>
        <w:t>أ. مستويات المقارنة الثلاثة</w:t>
      </w:r>
    </w:p>
    <w:p w14:paraId="3013E265" w14:textId="77777777" w:rsidR="004C7FA8" w:rsidRDefault="00E86F68">
      <w:pPr>
        <w:spacing w:after="200" w:line="340" w:lineRule="auto"/>
        <w:jc w:val="both"/>
        <w:rPr>
          <w:rFonts w:cs="Arial"/>
        </w:rPr>
      </w:pPr>
      <w:r>
        <w:rPr>
          <w:color w:val="1A1A1A"/>
        </w:rPr>
        <w:t>يقترح هذا البحث التمييز بين ثلاثة مستويات للمقارنة تجنبًا للخلط:</w:t>
      </w:r>
    </w:p>
    <w:p w14:paraId="05E11C61" w14:textId="77777777" w:rsidR="004C7FA8" w:rsidRDefault="00E86F68">
      <w:pPr>
        <w:pStyle w:val="a4"/>
        <w:numPr>
          <w:ilvl w:val="0"/>
          <w:numId w:val="1"/>
        </w:numPr>
        <w:bidi/>
        <w:spacing w:after="120" w:line="320" w:lineRule="auto"/>
        <w:jc w:val="right"/>
        <w:rPr>
          <w:rFonts w:cs="Arial"/>
        </w:rPr>
      </w:pPr>
      <w:r>
        <w:rPr>
          <w:color w:val="1A1A1A"/>
        </w:rPr>
        <w:t>المستوى الوصفي (</w:t>
      </w:r>
      <w:proofErr w:type="spellStart"/>
      <w:r>
        <w:rPr>
          <w:color w:val="1A1A1A"/>
        </w:rPr>
        <w:t>Descriptive</w:t>
      </w:r>
      <w:proofErr w:type="spellEnd"/>
      <w:r>
        <w:rPr>
          <w:color w:val="1A1A1A"/>
        </w:rPr>
        <w:t xml:space="preserve">): وفيه تتقاطع الملاحظات السلوكية بين النموذجين إلى حد كبير؛ فوصف الأب بالاستحواذ والتسلط، ووصف الأم بالخضوع، ووصف الابنة بالتعلق القلق، وصفٌ سلوكي يمكن أن يتفق عليه الباحثان الغربي </w:t>
      </w:r>
      <w:proofErr w:type="spellStart"/>
      <w:r>
        <w:rPr>
          <w:color w:val="1A1A1A"/>
        </w:rPr>
        <w:t>والاستخلافي</w:t>
      </w:r>
      <w:proofErr w:type="spellEnd"/>
      <w:r>
        <w:rPr>
          <w:color w:val="1A1A1A"/>
        </w:rPr>
        <w:t>.</w:t>
      </w:r>
    </w:p>
    <w:p w14:paraId="280A66FE" w14:textId="77777777" w:rsidR="004C7FA8" w:rsidRDefault="00E86F68">
      <w:pPr>
        <w:pStyle w:val="a4"/>
        <w:numPr>
          <w:ilvl w:val="0"/>
          <w:numId w:val="1"/>
        </w:numPr>
        <w:bidi/>
        <w:spacing w:after="120" w:line="320" w:lineRule="auto"/>
        <w:jc w:val="right"/>
        <w:rPr>
          <w:rFonts w:cs="Arial"/>
        </w:rPr>
      </w:pPr>
      <w:r>
        <w:rPr>
          <w:color w:val="1A1A1A"/>
        </w:rPr>
        <w:t>المستوى التفسيري (</w:t>
      </w:r>
      <w:proofErr w:type="spellStart"/>
      <w:r>
        <w:rPr>
          <w:color w:val="1A1A1A"/>
        </w:rPr>
        <w:t>Explanatory</w:t>
      </w:r>
      <w:proofErr w:type="spellEnd"/>
      <w:r>
        <w:rPr>
          <w:color w:val="1A1A1A"/>
        </w:rPr>
        <w:t>): وفيه يبدأ الافتراق؛ فبينما يُرجع التحليل الغربي السلوك إلى تاريخ نمائي (طفولة، نماذج تعلق مبكرة) وبنية شخصية، يُرجعه النموذج الاستخلافي إلى اختلال في ميزان الفجور والتقوى مع تدخل شيطاني فاعل.</w:t>
      </w:r>
    </w:p>
    <w:p w14:paraId="321DE921" w14:textId="77777777" w:rsidR="004C7FA8" w:rsidRDefault="00E86F68">
      <w:pPr>
        <w:pStyle w:val="a4"/>
        <w:numPr>
          <w:ilvl w:val="0"/>
          <w:numId w:val="1"/>
        </w:numPr>
        <w:bidi/>
        <w:spacing w:after="120" w:line="320" w:lineRule="auto"/>
        <w:jc w:val="right"/>
        <w:rPr>
          <w:rFonts w:cs="Arial"/>
        </w:rPr>
      </w:pPr>
      <w:r>
        <w:rPr>
          <w:color w:val="1A1A1A"/>
        </w:rPr>
        <w:t>المستوى الغائي-المعياري (</w:t>
      </w:r>
      <w:proofErr w:type="spellStart"/>
      <w:r>
        <w:rPr>
          <w:color w:val="1A1A1A"/>
        </w:rPr>
        <w:t>Normative-Teleological</w:t>
      </w:r>
      <w:proofErr w:type="spellEnd"/>
      <w:r>
        <w:rPr>
          <w:color w:val="1A1A1A"/>
        </w:rPr>
        <w:t>): وهو مستوى الافتراق الأعمق؛ إذ يحدد كل نموذج غاية مختلفة للصحة النفسية ومسارًا مختلفًا للتغيير المنشود.</w:t>
      </w:r>
    </w:p>
    <w:p w14:paraId="40855C13" w14:textId="77777777" w:rsidR="004C7FA8" w:rsidRDefault="00E86F68">
      <w:pPr>
        <w:spacing w:after="200" w:line="340" w:lineRule="auto"/>
        <w:jc w:val="both"/>
        <w:rPr>
          <w:rFonts w:cs="Arial"/>
        </w:rPr>
      </w:pPr>
      <w:r>
        <w:rPr>
          <w:color w:val="1A1A1A"/>
        </w:rPr>
        <w:t>هذا التمييز الثلاثي يسمح باستثمار الأدوات الوصفية الغربية (كمقاييس النرجسية، ومقاييس التعلق) دون الالتزام بالضرورة بمنظومتها التفسيرية أو الغائية، وهو ما يجعل المقارنة مثمرة علميًّا دون أن تفضي إلى ذوبان أحد الإطارين في الآخر أو تبرير قسري لأحدهما بلغة الآخر.</w:t>
      </w:r>
    </w:p>
    <w:p w14:paraId="572A0A82" w14:textId="77777777" w:rsidR="004C7FA8" w:rsidRDefault="00E86F68">
      <w:pPr>
        <w:pStyle w:val="3"/>
        <w:bidi/>
        <w:spacing w:before="360" w:after="200"/>
        <w:jc w:val="right"/>
        <w:rPr>
          <w:rFonts w:cs="Arial"/>
        </w:rPr>
      </w:pPr>
      <w:r>
        <w:rPr>
          <w:b/>
          <w:bCs/>
          <w:color w:val="1F6F6F"/>
          <w:sz w:val="48"/>
          <w:szCs w:val="48"/>
        </w:rPr>
        <w:t xml:space="preserve">ب. حدود الاستعارة </w:t>
      </w:r>
      <w:proofErr w:type="spellStart"/>
      <w:r>
        <w:rPr>
          <w:b/>
          <w:bCs/>
          <w:color w:val="1F6F6F"/>
          <w:sz w:val="48"/>
          <w:szCs w:val="48"/>
        </w:rPr>
        <w:t>المفاهيمية</w:t>
      </w:r>
      <w:proofErr w:type="spellEnd"/>
    </w:p>
    <w:p w14:paraId="02E2139E" w14:textId="77777777" w:rsidR="004C7FA8" w:rsidRDefault="00E86F68">
      <w:pPr>
        <w:spacing w:after="200" w:line="340" w:lineRule="auto"/>
        <w:jc w:val="both"/>
        <w:rPr>
          <w:rFonts w:cs="Arial"/>
        </w:rPr>
      </w:pPr>
      <w:r>
        <w:rPr>
          <w:color w:val="1A1A1A"/>
        </w:rPr>
        <w:t>يحرص هذا البحث على تفادي ما يمكن تسميته "المماثلة الزائفة" (</w:t>
      </w:r>
      <w:proofErr w:type="spellStart"/>
      <w:r>
        <w:rPr>
          <w:color w:val="1A1A1A"/>
        </w:rPr>
        <w:t>False</w:t>
      </w:r>
      <w:proofErr w:type="spellEnd"/>
      <w:r>
        <w:rPr>
          <w:color w:val="1A1A1A"/>
        </w:rPr>
        <w:t xml:space="preserve"> </w:t>
      </w:r>
      <w:proofErr w:type="spellStart"/>
      <w:r>
        <w:rPr>
          <w:color w:val="1A1A1A"/>
        </w:rPr>
        <w:t>Equivalence</w:t>
      </w:r>
      <w:proofErr w:type="spellEnd"/>
      <w:r>
        <w:rPr>
          <w:color w:val="1A1A1A"/>
        </w:rPr>
        <w:t xml:space="preserve">)، أي افتراض أن مفهومًا </w:t>
      </w:r>
      <w:proofErr w:type="spellStart"/>
      <w:r>
        <w:rPr>
          <w:color w:val="1A1A1A"/>
        </w:rPr>
        <w:t>استخلافيًّا</w:t>
      </w:r>
      <w:proofErr w:type="spellEnd"/>
      <w:r>
        <w:rPr>
          <w:color w:val="1A1A1A"/>
        </w:rPr>
        <w:t xml:space="preserve"> كـ"النفس الأمارة" يطابق تمامًا مفهومًا غربيًّا كـ"الهو"، أو أن "البعد الرابع" يطابق "الظل" </w:t>
      </w:r>
      <w:proofErr w:type="spellStart"/>
      <w:r>
        <w:rPr>
          <w:color w:val="1A1A1A"/>
        </w:rPr>
        <w:t>اليونغي</w:t>
      </w:r>
      <w:proofErr w:type="spellEnd"/>
      <w:r>
        <w:rPr>
          <w:color w:val="1A1A1A"/>
        </w:rPr>
        <w:t>. فكل استعارة من هذا النوع في هذا البحث هي استعارة وظيفية-تقريبية (</w:t>
      </w:r>
      <w:proofErr w:type="spellStart"/>
      <w:r>
        <w:rPr>
          <w:color w:val="1A1A1A"/>
        </w:rPr>
        <w:t>Functional</w:t>
      </w:r>
      <w:proofErr w:type="spellEnd"/>
      <w:r>
        <w:rPr>
          <w:color w:val="1A1A1A"/>
        </w:rPr>
        <w:t xml:space="preserve"> </w:t>
      </w:r>
      <w:proofErr w:type="spellStart"/>
      <w:r>
        <w:rPr>
          <w:color w:val="1A1A1A"/>
        </w:rPr>
        <w:t>Analogy</w:t>
      </w:r>
      <w:proofErr w:type="spellEnd"/>
      <w:r>
        <w:rPr>
          <w:color w:val="1A1A1A"/>
        </w:rPr>
        <w:t xml:space="preserve">) لا استعارة </w:t>
      </w:r>
      <w:proofErr w:type="spellStart"/>
      <w:r>
        <w:rPr>
          <w:color w:val="1A1A1A"/>
        </w:rPr>
        <w:t>هووية</w:t>
      </w:r>
      <w:proofErr w:type="spellEnd"/>
      <w:r>
        <w:rPr>
          <w:color w:val="1A1A1A"/>
        </w:rPr>
        <w:t xml:space="preserve"> (</w:t>
      </w:r>
      <w:proofErr w:type="spellStart"/>
      <w:r>
        <w:rPr>
          <w:color w:val="1A1A1A"/>
        </w:rPr>
        <w:t>Identity</w:t>
      </w:r>
      <w:proofErr w:type="spellEnd"/>
      <w:r>
        <w:rPr>
          <w:color w:val="1A1A1A"/>
        </w:rPr>
        <w:t xml:space="preserve"> </w:t>
      </w:r>
      <w:proofErr w:type="spellStart"/>
      <w:r>
        <w:rPr>
          <w:color w:val="1A1A1A"/>
        </w:rPr>
        <w:t>Claim</w:t>
      </w:r>
      <w:proofErr w:type="spellEnd"/>
      <w:r>
        <w:rPr>
          <w:color w:val="1A1A1A"/>
        </w:rPr>
        <w:t>)، الغاية منها تسهيل التواصل المعرفي بين الحقلين لا إذابة الفوارق الأنطولوجية بينهما.</w:t>
      </w:r>
    </w:p>
    <w:p w14:paraId="36174793" w14:textId="77777777" w:rsidR="004C7FA8" w:rsidRDefault="00E86F68">
      <w:pPr>
        <w:rPr>
          <w:rFonts w:cs="Arial"/>
        </w:rPr>
      </w:pPr>
      <w:r>
        <w:br w:type="page"/>
      </w:r>
    </w:p>
    <w:p w14:paraId="3621AE91" w14:textId="77777777" w:rsidR="004C7FA8" w:rsidRDefault="00E86F68">
      <w:pPr>
        <w:pStyle w:val="1"/>
        <w:pBdr>
          <w:bottom w:val="single" w:sz="6" w:space="4" w:color="B8860B"/>
        </w:pBdr>
        <w:bidi/>
        <w:spacing w:before="360" w:after="200"/>
        <w:jc w:val="right"/>
        <w:rPr>
          <w:rFonts w:cs="Arial"/>
        </w:rPr>
      </w:pPr>
      <w:r>
        <w:rPr>
          <w:b/>
          <w:bCs/>
          <w:color w:val="1B2A4A"/>
          <w:sz w:val="68"/>
          <w:szCs w:val="68"/>
        </w:rPr>
        <w:t>الفصل الثاني: الأب – بين العظمة النرجسية والهشاشة الوجودية</w:t>
      </w:r>
    </w:p>
    <w:p w14:paraId="4532CB30" w14:textId="77777777" w:rsidR="004C7FA8" w:rsidRDefault="00E86F68">
      <w:pPr>
        <w:pStyle w:val="2"/>
        <w:pBdr>
          <w:bottom w:val="single" w:sz="6" w:space="4" w:color="B8860B"/>
        </w:pBdr>
        <w:bidi/>
        <w:spacing w:before="360" w:after="200"/>
        <w:jc w:val="right"/>
        <w:rPr>
          <w:rFonts w:cs="Arial"/>
        </w:rPr>
      </w:pPr>
      <w:r>
        <w:rPr>
          <w:b/>
          <w:bCs/>
          <w:color w:val="1F6F6F"/>
          <w:sz w:val="56"/>
          <w:szCs w:val="56"/>
        </w:rPr>
        <w:t>2.1 مظاهر هيمنة النفس الأمارة والفجور</w:t>
      </w:r>
    </w:p>
    <w:p w14:paraId="48A9DA76" w14:textId="77777777" w:rsidR="004C7FA8" w:rsidRDefault="00E86F68">
      <w:pPr>
        <w:spacing w:after="200" w:line="340" w:lineRule="auto"/>
        <w:jc w:val="both"/>
        <w:rPr>
          <w:rFonts w:cs="Arial"/>
        </w:rPr>
      </w:pPr>
      <w:r>
        <w:rPr>
          <w:color w:val="1A1A1A"/>
        </w:rPr>
        <w:t>يُظهر الأب في النص سمات واضحة لسيطرة النفس الأمارة المدعومة بفجور متأصل. حرصه على إظهار "الحرص البالغ" أمام المجتمع يعكس ما يمكن تسميته في النموذج الاستخلافي "حاجة النفس الأمارة إلى التبرير الاجتماعي"؛ فهي لا تكتفي بفعل الشر، بل تحتاج إلى غلاف من "الصورة المثالية" يخفي حقيقتها [الزراع، ص 819]. هذا يتوافق مع آلية "تغليف الفجور بالمعارف" التي يقوم بها الشيطان، حيث يزين للنفس أن سيطرتها على الأبناء هي "حرص" و"رعاية"، بينما هي في جوهرها استحواذ وتسلط.</w:t>
      </w:r>
    </w:p>
    <w:p w14:paraId="372EBB88" w14:textId="77777777" w:rsidR="004C7FA8" w:rsidRDefault="00E86F68">
      <w:pPr>
        <w:spacing w:after="200" w:line="340" w:lineRule="auto"/>
        <w:jc w:val="both"/>
        <w:rPr>
          <w:rFonts w:cs="Arial"/>
        </w:rPr>
      </w:pPr>
      <w:r>
        <w:rPr>
          <w:color w:val="1A1A1A"/>
        </w:rPr>
        <w:t>ويمكن هنا توسيع القراءة بالإحالة إلى المعايير التشخيصية الرسمية لاضطراب الشخصية النرجسية في الدليل التشخيصي والإحصائي الخامس (DSM-5؛ APA, 2013)، والتي تشمل تسعة معايير من بينها: الإحساس المتضخم بالأهمية الذاتية، والحاجة المفرطة للإعجاب، ونقص التعاطف، واستغلال العلاقات الشخصية لتحقيق مآرب ذاتية. سلوك الأب - كما يُوصف في النص - يستوفي عمليًّا معيارين جوهريين على الأقل: نقص التعاطف الواضح في إصراره على دعوة الأقارب المتخاصمين رغم توسلات الأم، واستغلال العلاقة الأبوية للتحكم في مصائر الأبناء وكأنهم امتداد لذاته لا كائنات مستقلة. غير أن النموذج الاستخلافي يرفض الوقوف عند حدود "التصنيف العرضي" (</w:t>
      </w:r>
      <w:proofErr w:type="spellStart"/>
      <w:r>
        <w:rPr>
          <w:color w:val="1A1A1A"/>
        </w:rPr>
        <w:t>Symptom</w:t>
      </w:r>
      <w:proofErr w:type="spellEnd"/>
      <w:r>
        <w:rPr>
          <w:color w:val="1A1A1A"/>
        </w:rPr>
        <w:t xml:space="preserve"> </w:t>
      </w:r>
      <w:proofErr w:type="spellStart"/>
      <w:r>
        <w:rPr>
          <w:color w:val="1A1A1A"/>
        </w:rPr>
        <w:t>Checklist</w:t>
      </w:r>
      <w:proofErr w:type="spellEnd"/>
      <w:r>
        <w:rPr>
          <w:color w:val="1A1A1A"/>
        </w:rPr>
        <w:t>)، ويسأل: ما الذي يُبقي هذا النمط فاعلًا رغم إدراك الأب الضمني - على الأرجح - لأثره المدمر؟ الجواب عند الزراع هو استمرار تفعيل الأضلاع الهابطة وغياب أي مقاومة من اللوامة.</w:t>
      </w:r>
    </w:p>
    <w:p w14:paraId="16DD2202" w14:textId="77777777" w:rsidR="004C7FA8" w:rsidRDefault="00E86F68">
      <w:pPr>
        <w:pStyle w:val="2"/>
        <w:pBdr>
          <w:bottom w:val="single" w:sz="6" w:space="4" w:color="B8860B"/>
        </w:pBdr>
        <w:bidi/>
        <w:spacing w:before="360" w:after="200"/>
        <w:jc w:val="right"/>
        <w:rPr>
          <w:rFonts w:cs="Arial"/>
        </w:rPr>
      </w:pPr>
      <w:r>
        <w:rPr>
          <w:b/>
          <w:bCs/>
          <w:color w:val="1F6F6F"/>
          <w:sz w:val="56"/>
          <w:szCs w:val="56"/>
        </w:rPr>
        <w:t>2.2 الفجور المستثمَر شيطانياً</w:t>
      </w:r>
    </w:p>
    <w:p w14:paraId="3C6E52C9" w14:textId="77777777" w:rsidR="004C7FA8" w:rsidRDefault="00E86F68">
      <w:pPr>
        <w:spacing w:after="200" w:line="340" w:lineRule="auto"/>
        <w:jc w:val="both"/>
        <w:rPr>
          <w:rFonts w:cs="Arial"/>
        </w:rPr>
      </w:pPr>
      <w:r>
        <w:rPr>
          <w:color w:val="1A1A1A"/>
        </w:rPr>
        <w:t>يمثل تعامل الأب مع أبنائه كـ"ممتلكات" تجسيداً للضلع الثالث (الفجور ← الشيطان) والضلع السابع (الشيطان ← الأمارة). فالفجور الكامن في نفس الأب (حب السيطرة، التسلط) يفتح ثغرة للشيطان ليوسوس له بتعزيز هذا السلوك، فيزداد استحواذاً ويظن أنه "كبير العائلة" الذي من حقه أن يقرر مصير الجميع [الزراع، ص 1107]. إصراره على دعوة إخوته المتخاصمين رغم توسلات الأم هو تعبير صارخ عن نقص التعاطف، وهو في النموذج القرآني نتيجة لطغيان الأمارة وتجاهل صوت اللوامة التي ربما كانت تهمس له داخلياً لكنه أسكتها.</w:t>
      </w:r>
    </w:p>
    <w:p w14:paraId="6F6ABB5D" w14:textId="77777777" w:rsidR="004C7FA8" w:rsidRDefault="00E86F68">
      <w:pPr>
        <w:spacing w:after="200" w:line="340" w:lineRule="auto"/>
        <w:jc w:val="both"/>
        <w:rPr>
          <w:rFonts w:cs="Arial"/>
        </w:rPr>
      </w:pPr>
      <w:r>
        <w:rPr>
          <w:color w:val="1A1A1A"/>
        </w:rPr>
        <w:t xml:space="preserve">وتجدر الإشارة إلى أن القرآن الكريم يقدم أرشيفًا غنيًّا لصور "الاستحواذ الأبوي </w:t>
      </w:r>
      <w:proofErr w:type="spellStart"/>
      <w:r>
        <w:rPr>
          <w:color w:val="1A1A1A"/>
        </w:rPr>
        <w:t>والاستعلائي</w:t>
      </w:r>
      <w:proofErr w:type="spellEnd"/>
      <w:r>
        <w:rPr>
          <w:color w:val="1A1A1A"/>
        </w:rPr>
        <w:t>" يمكن الاستفادة منه في تعميق هذه القراءة، من أبرزها نموذج فرعون في استعباده لبني إسرائيل بدعوى الرعاية والتدبير، ونموذج قارون في زعمه أن ما أوتيه إنما هو على علم عنده، وكلاهما نموذج لنفس أمارة استحوذ عليها الفجور واستثمره الشيطان حتى بلغت حد الطغيان.</w:t>
      </w:r>
    </w:p>
    <w:tbl>
      <w:tblPr>
        <w:tblW w:w="5000" w:type="pct"/>
        <w:tblBorders>
          <w:top w:val="single" w:sz="12" w:space="0" w:color="B8860B"/>
          <w:left w:val="single" w:sz="12" w:space="0" w:color="B8860B"/>
          <w:bottom w:val="single" w:sz="12" w:space="0" w:color="B8860B"/>
          <w:right w:val="single" w:sz="12" w:space="0" w:color="B8860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8996"/>
      </w:tblGrid>
      <w:tr w:rsidR="004C7FA8" w14:paraId="0D0395B3" w14:textId="77777777">
        <w:trPr>
          <w:cantSplit/>
        </w:trPr>
        <w:tc>
          <w:tcPr>
            <w:tcW w:w="5000" w:type="pct"/>
            <w:shd w:val="clear" w:color="auto" w:fill="F4EBD0"/>
            <w:tcMar>
              <w:top w:w="200" w:type="dxa"/>
              <w:left w:w="300" w:type="dxa"/>
              <w:bottom w:w="200" w:type="dxa"/>
              <w:right w:w="300" w:type="dxa"/>
            </w:tcMar>
            <w:vAlign w:val="center"/>
          </w:tcPr>
          <w:p w14:paraId="6CA2D086" w14:textId="77777777" w:rsidR="004C7FA8" w:rsidRDefault="00E86F68">
            <w:pPr>
              <w:spacing w:after="100"/>
              <w:jc w:val="center"/>
              <w:rPr>
                <w:rFonts w:cs="Arial"/>
              </w:rPr>
            </w:pPr>
            <w:r>
              <w:rPr>
                <w:b/>
                <w:bCs/>
                <w:color w:val="1B2A4A"/>
                <w:sz w:val="28"/>
                <w:szCs w:val="28"/>
              </w:rPr>
              <w:t>﴿ وَتِلْكَ نِعْمَةٌ تَمُنُّهَا عَلَيَّ أَنْ عَبَّدتَّ بَنِي إِسْرَائِيلَ ﴾</w:t>
            </w:r>
          </w:p>
          <w:p w14:paraId="3D269A8B" w14:textId="77777777" w:rsidR="004C7FA8" w:rsidRDefault="00E86F68">
            <w:pPr>
              <w:jc w:val="center"/>
              <w:rPr>
                <w:rFonts w:cs="Arial"/>
              </w:rPr>
            </w:pPr>
            <w:r>
              <w:rPr>
                <w:b/>
                <w:bCs/>
                <w:color w:val="B8860B"/>
                <w:sz w:val="22"/>
                <w:szCs w:val="22"/>
              </w:rPr>
              <w:t>الشعراء: 22</w:t>
            </w:r>
          </w:p>
        </w:tc>
      </w:tr>
    </w:tbl>
    <w:p w14:paraId="5D92A747" w14:textId="77777777" w:rsidR="004C7FA8" w:rsidRDefault="004C7FA8">
      <w:pPr>
        <w:spacing w:after="150"/>
        <w:rPr>
          <w:rFonts w:cs="Arial"/>
        </w:rPr>
      </w:pPr>
    </w:p>
    <w:p w14:paraId="5E2831EC" w14:textId="77777777" w:rsidR="004C7FA8" w:rsidRDefault="00E86F68">
      <w:pPr>
        <w:spacing w:after="200" w:line="340" w:lineRule="auto"/>
        <w:jc w:val="both"/>
        <w:rPr>
          <w:rFonts w:cs="Arial"/>
        </w:rPr>
      </w:pPr>
      <w:r>
        <w:rPr>
          <w:color w:val="1A1A1A"/>
        </w:rPr>
        <w:t>ويُلاحَظ التماثل البنيوي بين هذا المشهد القرآني ومنطق الأب في النص: كلاهما يعيد تعريف الاستحواذ بوصفه "نعمة" أو "رعاية"، وهي بالضبط آلية "تغليف الفجور بالمعارف" التي أشار إليها الزراع [ص 819]، أي إلباس الفعل القبيح لباسًا معرفيًّا أو أخلاقيًّا يبرره أمام الذات وأمام المجتمع.</w:t>
      </w:r>
    </w:p>
    <w:p w14:paraId="4710107D" w14:textId="77777777" w:rsidR="004C7FA8" w:rsidRDefault="00E86F68">
      <w:pPr>
        <w:pStyle w:val="2"/>
        <w:pBdr>
          <w:bottom w:val="single" w:sz="6" w:space="4" w:color="B8860B"/>
        </w:pBdr>
        <w:bidi/>
        <w:spacing w:before="360" w:after="200"/>
        <w:jc w:val="right"/>
        <w:rPr>
          <w:rFonts w:cs="Arial"/>
        </w:rPr>
      </w:pPr>
      <w:r>
        <w:rPr>
          <w:b/>
          <w:bCs/>
          <w:color w:val="1F6F6F"/>
          <w:sz w:val="56"/>
          <w:szCs w:val="56"/>
        </w:rPr>
        <w:t>2.3 الهشاشة خلف القناع</w:t>
      </w:r>
    </w:p>
    <w:p w14:paraId="4E555883" w14:textId="77777777" w:rsidR="004C7FA8" w:rsidRDefault="00E86F68">
      <w:pPr>
        <w:spacing w:after="200" w:line="340" w:lineRule="auto"/>
        <w:jc w:val="both"/>
        <w:rPr>
          <w:rFonts w:cs="Arial"/>
        </w:rPr>
      </w:pPr>
      <w:r>
        <w:rPr>
          <w:color w:val="1A1A1A"/>
        </w:rPr>
        <w:t xml:space="preserve">التحليل الغربي يشير إلى "هشاشة داخلية" تختبئ خلف العظمة النرجسية، وهو ما فصّله </w:t>
      </w:r>
      <w:proofErr w:type="spellStart"/>
      <w:r>
        <w:rPr>
          <w:color w:val="1A1A1A"/>
        </w:rPr>
        <w:t>هاينز</w:t>
      </w:r>
      <w:proofErr w:type="spellEnd"/>
      <w:r>
        <w:rPr>
          <w:color w:val="1A1A1A"/>
        </w:rPr>
        <w:t xml:space="preserve"> </w:t>
      </w:r>
      <w:proofErr w:type="spellStart"/>
      <w:r>
        <w:rPr>
          <w:color w:val="1A1A1A"/>
        </w:rPr>
        <w:t>كوهوت</w:t>
      </w:r>
      <w:proofErr w:type="spellEnd"/>
      <w:r>
        <w:rPr>
          <w:color w:val="1A1A1A"/>
        </w:rPr>
        <w:t xml:space="preserve"> (</w:t>
      </w:r>
      <w:proofErr w:type="spellStart"/>
      <w:r>
        <w:rPr>
          <w:color w:val="1A1A1A"/>
        </w:rPr>
        <w:t>Kohut</w:t>
      </w:r>
      <w:proofErr w:type="spellEnd"/>
      <w:r>
        <w:rPr>
          <w:color w:val="1A1A1A"/>
        </w:rPr>
        <w:t>, 1971) في نظريته عن "الذات الكبرى" (</w:t>
      </w:r>
      <w:proofErr w:type="spellStart"/>
      <w:r>
        <w:rPr>
          <w:color w:val="1A1A1A"/>
        </w:rPr>
        <w:t>Grandiose</w:t>
      </w:r>
      <w:proofErr w:type="spellEnd"/>
      <w:r>
        <w:rPr>
          <w:color w:val="1A1A1A"/>
        </w:rPr>
        <w:t xml:space="preserve"> </w:t>
      </w:r>
      <w:proofErr w:type="spellStart"/>
      <w:r>
        <w:rPr>
          <w:color w:val="1A1A1A"/>
        </w:rPr>
        <w:t>Self</w:t>
      </w:r>
      <w:proofErr w:type="spellEnd"/>
      <w:r>
        <w:rPr>
          <w:color w:val="1A1A1A"/>
        </w:rPr>
        <w:t xml:space="preserve">) التي تتشكل كآلية دفاعية تعويضية عن جرح نرجسي مبكر لم يُستوعَب تطوريًّا. علم النفس الاستخلافي يؤكد هذا التوصيف الوصفي، لكنه يضيف أن هذه الهشاشة ناتجة عن فقدان الاتصال بالنفس المطمئنة؛ فالأب لم يصل إلى مرتبة الرضا والطمأنينة، بل يعيش في صراع دائم بين رغبته في السيطرة (الأمارة) وخوفه من فقدان هذه السيطرة (قلق وجودي). هذا القلق </w:t>
      </w:r>
      <w:proofErr w:type="spellStart"/>
      <w:r>
        <w:rPr>
          <w:color w:val="1A1A1A"/>
        </w:rPr>
        <w:t>يغذيه</w:t>
      </w:r>
      <w:proofErr w:type="spellEnd"/>
      <w:r>
        <w:rPr>
          <w:color w:val="1A1A1A"/>
        </w:rPr>
        <w:t xml:space="preserve"> الشيطان ليدفعه لمزيد من التسلط، في حلقة مفرغة من الهبوط [الزراع، ص 1125].</w:t>
      </w:r>
    </w:p>
    <w:p w14:paraId="3B316FE8" w14:textId="77777777" w:rsidR="004C7FA8" w:rsidRDefault="00E86F68">
      <w:pPr>
        <w:spacing w:after="200" w:line="340" w:lineRule="auto"/>
        <w:jc w:val="both"/>
        <w:rPr>
          <w:rFonts w:cs="Arial"/>
        </w:rPr>
      </w:pPr>
      <w:r>
        <w:rPr>
          <w:color w:val="1A1A1A"/>
        </w:rPr>
        <w:t xml:space="preserve">الفارق الحاسم بين القراءتين هنا هو مصدر التفسير النهائي: </w:t>
      </w:r>
      <w:proofErr w:type="spellStart"/>
      <w:r>
        <w:rPr>
          <w:color w:val="1A1A1A"/>
        </w:rPr>
        <w:t>كوهوت</w:t>
      </w:r>
      <w:proofErr w:type="spellEnd"/>
      <w:r>
        <w:rPr>
          <w:color w:val="1A1A1A"/>
        </w:rPr>
        <w:t xml:space="preserve"> يُرجع الهشاشة إلى فشل نمائي في </w:t>
      </w:r>
      <w:proofErr w:type="spellStart"/>
      <w:r>
        <w:rPr>
          <w:color w:val="1A1A1A"/>
        </w:rPr>
        <w:t>مرآوية</w:t>
      </w:r>
      <w:proofErr w:type="spellEnd"/>
      <w:r>
        <w:rPr>
          <w:color w:val="1A1A1A"/>
        </w:rPr>
        <w:t xml:space="preserve"> الوالدين (</w:t>
      </w:r>
      <w:proofErr w:type="spellStart"/>
      <w:r>
        <w:rPr>
          <w:color w:val="1A1A1A"/>
        </w:rPr>
        <w:t>Mirroring</w:t>
      </w:r>
      <w:proofErr w:type="spellEnd"/>
      <w:r>
        <w:rPr>
          <w:color w:val="1A1A1A"/>
        </w:rPr>
        <w:t xml:space="preserve">) خلال الطفولة المبكرة، وهو تفسير تكويني-تاريخي بحت. أما النموذج الاستخلافي فيضيف طبقة تفسيرية إضافية لا تلغي الأولى بل تعلوها: حتى لو كان الجرح النرجسي المبكر عاملًا </w:t>
      </w:r>
      <w:proofErr w:type="spellStart"/>
      <w:r>
        <w:rPr>
          <w:color w:val="1A1A1A"/>
        </w:rPr>
        <w:t>مهيئًا</w:t>
      </w:r>
      <w:proofErr w:type="spellEnd"/>
      <w:r>
        <w:rPr>
          <w:color w:val="1A1A1A"/>
        </w:rPr>
        <w:t xml:space="preserve"> (</w:t>
      </w:r>
      <w:proofErr w:type="spellStart"/>
      <w:r>
        <w:rPr>
          <w:color w:val="1A1A1A"/>
        </w:rPr>
        <w:t>Predisposing</w:t>
      </w:r>
      <w:proofErr w:type="spellEnd"/>
      <w:r>
        <w:rPr>
          <w:color w:val="1A1A1A"/>
        </w:rPr>
        <w:t xml:space="preserve"> </w:t>
      </w:r>
      <w:proofErr w:type="spellStart"/>
      <w:r>
        <w:rPr>
          <w:color w:val="1A1A1A"/>
        </w:rPr>
        <w:t>Factor</w:t>
      </w:r>
      <w:proofErr w:type="spellEnd"/>
      <w:r>
        <w:rPr>
          <w:color w:val="1A1A1A"/>
        </w:rPr>
        <w:t>)، فإن استمراره وتضخمه في مرحلة النضج مرهون باستمرار تفعيل الأمارة وانطفاء اللوامة، وهو أمر يقع - جزئيًّا على الأقل - تحت طائلة الاختيار والمسؤولية الأخلاقية، لا الحتمية النمائية المحضة.</w:t>
      </w:r>
    </w:p>
    <w:p w14:paraId="729EFAB5" w14:textId="77777777" w:rsidR="004C7FA8" w:rsidRDefault="00E86F68">
      <w:pPr>
        <w:pStyle w:val="2"/>
        <w:pBdr>
          <w:bottom w:val="single" w:sz="6" w:space="4" w:color="B8860B"/>
        </w:pBdr>
        <w:bidi/>
        <w:spacing w:before="360" w:after="200"/>
        <w:jc w:val="right"/>
        <w:rPr>
          <w:rFonts w:cs="Arial"/>
        </w:rPr>
      </w:pPr>
      <w:r>
        <w:rPr>
          <w:b/>
          <w:bCs/>
          <w:color w:val="1F6F6F"/>
          <w:sz w:val="56"/>
          <w:szCs w:val="56"/>
        </w:rPr>
        <w:t>2.4 غياب التقوى والرحمة</w:t>
      </w:r>
    </w:p>
    <w:p w14:paraId="5804F361" w14:textId="77777777" w:rsidR="004C7FA8" w:rsidRDefault="00E86F68">
      <w:pPr>
        <w:spacing w:after="200" w:line="340" w:lineRule="auto"/>
        <w:jc w:val="both"/>
        <w:rPr>
          <w:rFonts w:cs="Arial"/>
        </w:rPr>
      </w:pPr>
      <w:r>
        <w:rPr>
          <w:color w:val="1A1A1A"/>
        </w:rPr>
        <w:t>غياب الضلع الرابع (التقوى ← الرحمة) والضلع الثامن (الرحمة ← المطمئنة) عن حياة الأب يفسر قسوته وافتقاده للرحمة. فالتقوى هي التي تستجلب الرحمة الإلهية، والأب هنا بعيد عن التقوى (بمعناها الشامل: الخوف من الله، مراعاة حقوق الآخرين)، لذلك تُحجب عنه الرحمة، ولا يجد في داخله مصدراً للتعاطف [الزراع، ص 1104].</w:t>
      </w:r>
    </w:p>
    <w:p w14:paraId="50F9B338" w14:textId="77777777" w:rsidR="004C7FA8" w:rsidRDefault="00E86F68">
      <w:pPr>
        <w:spacing w:after="200" w:line="340" w:lineRule="auto"/>
        <w:jc w:val="both"/>
        <w:rPr>
          <w:rFonts w:cs="Arial"/>
        </w:rPr>
      </w:pPr>
      <w:r>
        <w:rPr>
          <w:color w:val="1A1A1A"/>
        </w:rPr>
        <w:t>ويعزز ابن القيم هذا المعنى حين يربط بين قسوة القلب وبعده عن ذكر الله ومراقبته، إذ إن القلب الغافل يغلظ ويقسو، بخلاف القلب الحي المتيقظ الذي يلين لأدنى موعظة؛ وهذا ما يفسر عدم استجابة الأب لأي مؤشرات على تألم من حوله، إذ إن غفلته المزمنة أورثت قلبه غلظة بنيوية لا عرضية.</w:t>
      </w:r>
    </w:p>
    <w:p w14:paraId="165D432A" w14:textId="77777777" w:rsidR="004C7FA8" w:rsidRDefault="00E86F68">
      <w:pPr>
        <w:rPr>
          <w:rFonts w:cs="Arial"/>
        </w:rPr>
      </w:pPr>
      <w:r>
        <w:br w:type="page"/>
      </w:r>
    </w:p>
    <w:p w14:paraId="12E6513E" w14:textId="77777777" w:rsidR="004C7FA8" w:rsidRDefault="00E86F68">
      <w:pPr>
        <w:pStyle w:val="1"/>
        <w:pBdr>
          <w:bottom w:val="single" w:sz="6" w:space="4" w:color="B8860B"/>
        </w:pBdr>
        <w:bidi/>
        <w:spacing w:before="360" w:after="200"/>
        <w:jc w:val="right"/>
        <w:rPr>
          <w:rFonts w:cs="Arial"/>
        </w:rPr>
      </w:pPr>
      <w:r>
        <w:rPr>
          <w:b/>
          <w:bCs/>
          <w:color w:val="1B2A4A"/>
          <w:sz w:val="68"/>
          <w:szCs w:val="68"/>
        </w:rPr>
        <w:t>الفصل الثالث: الأم – الهشاشة وفقدان القاعدة الآمنة</w:t>
      </w:r>
    </w:p>
    <w:p w14:paraId="28C766BB" w14:textId="77777777" w:rsidR="004C7FA8" w:rsidRDefault="00E86F68">
      <w:pPr>
        <w:pStyle w:val="2"/>
        <w:pBdr>
          <w:bottom w:val="single" w:sz="6" w:space="4" w:color="B8860B"/>
        </w:pBdr>
        <w:bidi/>
        <w:spacing w:before="360" w:after="200"/>
        <w:jc w:val="right"/>
        <w:rPr>
          <w:rFonts w:cs="Arial"/>
        </w:rPr>
      </w:pPr>
      <w:r>
        <w:rPr>
          <w:b/>
          <w:bCs/>
          <w:color w:val="1F6F6F"/>
          <w:sz w:val="56"/>
          <w:szCs w:val="56"/>
        </w:rPr>
        <w:t>3.1 انطفاء النفس اللوامة</w:t>
      </w:r>
    </w:p>
    <w:p w14:paraId="04BCD80C" w14:textId="77777777" w:rsidR="004C7FA8" w:rsidRDefault="00E86F68">
      <w:pPr>
        <w:spacing w:after="200" w:line="340" w:lineRule="auto"/>
        <w:jc w:val="both"/>
        <w:rPr>
          <w:rFonts w:cs="Arial"/>
        </w:rPr>
      </w:pPr>
      <w:r>
        <w:rPr>
          <w:color w:val="1A1A1A"/>
        </w:rPr>
        <w:t>تمثل الأم نموذجاً لـ"النفس المستسلمة" التي أخمدت صوت اللوامة لديها. استسلامها التام للأب جعلها عاجزة عن القيام بدورها كـ"قاعدة آمنة" (</w:t>
      </w:r>
      <w:proofErr w:type="spellStart"/>
      <w:r>
        <w:rPr>
          <w:color w:val="1A1A1A"/>
        </w:rPr>
        <w:t>Secure</w:t>
      </w:r>
      <w:proofErr w:type="spellEnd"/>
      <w:r>
        <w:rPr>
          <w:color w:val="1A1A1A"/>
        </w:rPr>
        <w:t xml:space="preserve"> </w:t>
      </w:r>
      <w:proofErr w:type="spellStart"/>
      <w:r>
        <w:rPr>
          <w:color w:val="1A1A1A"/>
        </w:rPr>
        <w:t>Base</w:t>
      </w:r>
      <w:proofErr w:type="spellEnd"/>
      <w:r>
        <w:rPr>
          <w:color w:val="1A1A1A"/>
        </w:rPr>
        <w:t xml:space="preserve">) - بتعبير </w:t>
      </w:r>
      <w:proofErr w:type="spellStart"/>
      <w:r>
        <w:rPr>
          <w:color w:val="1A1A1A"/>
        </w:rPr>
        <w:t>بولبي</w:t>
      </w:r>
      <w:proofErr w:type="spellEnd"/>
      <w:r>
        <w:rPr>
          <w:color w:val="1A1A1A"/>
        </w:rPr>
        <w:t xml:space="preserve"> (</w:t>
      </w:r>
      <w:proofErr w:type="spellStart"/>
      <w:r>
        <w:rPr>
          <w:color w:val="1A1A1A"/>
        </w:rPr>
        <w:t>Bowlby</w:t>
      </w:r>
      <w:proofErr w:type="spellEnd"/>
      <w:r>
        <w:rPr>
          <w:color w:val="1A1A1A"/>
        </w:rPr>
        <w:t>, 1988) - للأبناء. في النموذج الاستخلافي، يُنظر إلى هذا العجز على أنه توقف عن تفعيل الضلع الخامس (الأمارة ← اللوامة)؛ فهي ترى الظلم (سلوك الأب) لكنها لا تلم نفسها على تقاعسها عن الدفاع عن أبنائها، بل تبرر هذا التقاعس بـ"الخوف" أو "الحفاظ على الأسرة"، وهذا التبرير هو من تزيين الشيطان [الزراع، ص 820].</w:t>
      </w:r>
    </w:p>
    <w:p w14:paraId="5BB8FC1B" w14:textId="77777777" w:rsidR="004C7FA8" w:rsidRDefault="00E86F68">
      <w:pPr>
        <w:spacing w:after="200" w:line="340" w:lineRule="auto"/>
        <w:jc w:val="both"/>
        <w:rPr>
          <w:rFonts w:cs="Arial"/>
        </w:rPr>
      </w:pPr>
      <w:r>
        <w:rPr>
          <w:color w:val="1A1A1A"/>
        </w:rPr>
        <w:t>ويمكن تعميق هذه القراءة بالإحالة إلى مفهوم "العجز المتعلَّم" (</w:t>
      </w:r>
      <w:proofErr w:type="spellStart"/>
      <w:r>
        <w:rPr>
          <w:color w:val="1A1A1A"/>
        </w:rPr>
        <w:t>Learned</w:t>
      </w:r>
      <w:proofErr w:type="spellEnd"/>
      <w:r>
        <w:rPr>
          <w:color w:val="1A1A1A"/>
        </w:rPr>
        <w:t xml:space="preserve"> </w:t>
      </w:r>
      <w:proofErr w:type="spellStart"/>
      <w:r>
        <w:rPr>
          <w:color w:val="1A1A1A"/>
        </w:rPr>
        <w:t>Helplessness</w:t>
      </w:r>
      <w:proofErr w:type="spellEnd"/>
      <w:r>
        <w:rPr>
          <w:color w:val="1A1A1A"/>
        </w:rPr>
        <w:t xml:space="preserve">) عند مارتن </w:t>
      </w:r>
      <w:proofErr w:type="spellStart"/>
      <w:r>
        <w:rPr>
          <w:color w:val="1A1A1A"/>
        </w:rPr>
        <w:t>سليغمان</w:t>
      </w:r>
      <w:proofErr w:type="spellEnd"/>
      <w:r>
        <w:rPr>
          <w:color w:val="1A1A1A"/>
        </w:rPr>
        <w:t xml:space="preserve"> (</w:t>
      </w:r>
      <w:proofErr w:type="spellStart"/>
      <w:r>
        <w:rPr>
          <w:color w:val="1A1A1A"/>
        </w:rPr>
        <w:t>Seligman</w:t>
      </w:r>
      <w:proofErr w:type="spellEnd"/>
      <w:r>
        <w:rPr>
          <w:color w:val="1A1A1A"/>
        </w:rPr>
        <w:t xml:space="preserve">, 1972)، الذي يصف حالة الكائن الذي يتعرض لضغوط متكررة لا يملك عليها سيطرة، فيتعلم تدريجيًّا التوقف عن المحاولة حتى حين تتاح له فرصة حقيقية للتغيير. يفسر هذا المفهوم جزءًا مهمًّا من سلوك الأم الوصفي: تكرار الخضوع عبر السنين أورث نمطًا </w:t>
      </w:r>
      <w:proofErr w:type="spellStart"/>
      <w:r>
        <w:rPr>
          <w:color w:val="1A1A1A"/>
        </w:rPr>
        <w:t>استجابيًّا</w:t>
      </w:r>
      <w:proofErr w:type="spellEnd"/>
      <w:r>
        <w:rPr>
          <w:color w:val="1A1A1A"/>
        </w:rPr>
        <w:t xml:space="preserve"> شبه آلي. لكن النموذج الاستخلافي يضيف بُعدًا لا يلتقطه مفهوم العجز المتعلَّم: وجود عنصر تبريري-تسويغي فاعل ("الحفاظ على الأسرة")، وهو ما يشير إلى أن الأمر ليس مجرد استجابة </w:t>
      </w:r>
      <w:proofErr w:type="spellStart"/>
      <w:r>
        <w:rPr>
          <w:color w:val="1A1A1A"/>
        </w:rPr>
        <w:t>انطفائية</w:t>
      </w:r>
      <w:proofErr w:type="spellEnd"/>
      <w:r>
        <w:rPr>
          <w:color w:val="1A1A1A"/>
        </w:rPr>
        <w:t xml:space="preserve"> آلية، بل عملية نفسية-روحية يتدخل فيها الشيطان ليحوّل العجز إلى "فضيلة مزعومة" (الصبر والتضحية)، وهذا فارق جوهري بين "السكوت عن الحق خوفًا" و"الصبر" الشرعي الذي لا يكون إلا في محله.</w:t>
      </w:r>
    </w:p>
    <w:p w14:paraId="62AC770A" w14:textId="77777777" w:rsidR="004C7FA8" w:rsidRDefault="00E86F68">
      <w:pPr>
        <w:pStyle w:val="2"/>
        <w:pBdr>
          <w:bottom w:val="single" w:sz="6" w:space="4" w:color="B8860B"/>
        </w:pBdr>
        <w:bidi/>
        <w:spacing w:before="360" w:after="200"/>
        <w:jc w:val="right"/>
        <w:rPr>
          <w:rFonts w:cs="Arial"/>
        </w:rPr>
      </w:pPr>
      <w:r>
        <w:rPr>
          <w:b/>
          <w:bCs/>
          <w:color w:val="1F6F6F"/>
          <w:sz w:val="56"/>
          <w:szCs w:val="56"/>
        </w:rPr>
        <w:t xml:space="preserve">3.2 </w:t>
      </w:r>
      <w:proofErr w:type="spellStart"/>
      <w:r>
        <w:rPr>
          <w:b/>
          <w:bCs/>
          <w:color w:val="1F6F6F"/>
          <w:sz w:val="56"/>
          <w:szCs w:val="56"/>
        </w:rPr>
        <w:t>الجسدنة</w:t>
      </w:r>
      <w:proofErr w:type="spellEnd"/>
      <w:r>
        <w:rPr>
          <w:b/>
          <w:bCs/>
          <w:color w:val="1F6F6F"/>
          <w:sz w:val="56"/>
          <w:szCs w:val="56"/>
        </w:rPr>
        <w:t xml:space="preserve"> كتعبير عن الصراع المكبوت</w:t>
      </w:r>
    </w:p>
    <w:p w14:paraId="0D5FB5AB" w14:textId="77777777" w:rsidR="004C7FA8" w:rsidRDefault="00E86F68">
      <w:pPr>
        <w:spacing w:after="200" w:line="340" w:lineRule="auto"/>
        <w:jc w:val="both"/>
        <w:rPr>
          <w:rFonts w:cs="Arial"/>
        </w:rPr>
      </w:pPr>
      <w:r>
        <w:rPr>
          <w:color w:val="1A1A1A"/>
        </w:rPr>
        <w:t>ارتفاع ضغط دم الأم هو ما يسميه علم النفس الغربي "</w:t>
      </w:r>
      <w:proofErr w:type="spellStart"/>
      <w:r>
        <w:rPr>
          <w:color w:val="1A1A1A"/>
        </w:rPr>
        <w:t>جسدنة</w:t>
      </w:r>
      <w:proofErr w:type="spellEnd"/>
      <w:r>
        <w:rPr>
          <w:color w:val="1A1A1A"/>
        </w:rPr>
        <w:t>" (</w:t>
      </w:r>
      <w:proofErr w:type="spellStart"/>
      <w:r>
        <w:rPr>
          <w:color w:val="1A1A1A"/>
        </w:rPr>
        <w:t>Somatization</w:t>
      </w:r>
      <w:proofErr w:type="spellEnd"/>
      <w:r>
        <w:rPr>
          <w:color w:val="1A1A1A"/>
        </w:rPr>
        <w:t>)، لكن في النموذج الاستخلافي هو تعبير عن "الديون النفسية المحتجزة" [الزراع، ص 1062]. مشاعر الغضب والخوف والعجز التي كتمتها الأم لسنوات لم تختفِ، بل تحولت إلى طاقة سلبية أثرت على جسدها. هذا يؤكد أن النفس حين تُحرم من التعبير الصحي (عبر اللوامة والتوبة والتغيير)، فإنها تعبر عن نفسها عبر الجسد.</w:t>
      </w:r>
    </w:p>
    <w:p w14:paraId="2BC91E57" w14:textId="77777777" w:rsidR="004C7FA8" w:rsidRDefault="00E86F68">
      <w:pPr>
        <w:spacing w:after="200" w:line="340" w:lineRule="auto"/>
        <w:jc w:val="both"/>
        <w:rPr>
          <w:rFonts w:cs="Arial"/>
        </w:rPr>
      </w:pPr>
      <w:r>
        <w:rPr>
          <w:color w:val="1A1A1A"/>
        </w:rPr>
        <w:t xml:space="preserve">وتلتقي هذه الملاحظة مع أدبيات الطب النفسي-الجسدي المعاصرة التي ترى في الكبت المزمن للانفعال عاملًا مساهمًا في اضطرابات القلب والأوعية الدموية، دون أن يكون ذلك بالضرورة سببًا وحيدًا أو حتميًّا. الإضافة الاستخلافية هنا ليست في نفي الآلية الفسيولوجية، بل في تأطيرها ضمن منظومة مساءلة أخلاقية-روحية: الجسد يشهد على ما تكتمه النفس، وكأن في ذلك تصديقًا معنويًّا لقوله تعالى: {يَوْمَ تَشْهَدُ عَلَيْهِمْ أَلْسِنَتُهُمْ وَأَيْدِيهِمْ وَأَرْجُلُهُم} وإن كان هذا في سياق </w:t>
      </w:r>
      <w:proofErr w:type="spellStart"/>
      <w:r>
        <w:rPr>
          <w:color w:val="1A1A1A"/>
        </w:rPr>
        <w:t>أخروي</w:t>
      </w:r>
      <w:proofErr w:type="spellEnd"/>
      <w:r>
        <w:rPr>
          <w:color w:val="1A1A1A"/>
        </w:rPr>
        <w:t xml:space="preserve">، فإن منطقه العام - أن الجسد لا يكذب - ينسحب استئناسًا على واقع </w:t>
      </w:r>
      <w:proofErr w:type="spellStart"/>
      <w:r>
        <w:rPr>
          <w:color w:val="1A1A1A"/>
        </w:rPr>
        <w:t>الجسدنة</w:t>
      </w:r>
      <w:proofErr w:type="spellEnd"/>
      <w:r>
        <w:rPr>
          <w:color w:val="1A1A1A"/>
        </w:rPr>
        <w:t xml:space="preserve"> النفسية.</w:t>
      </w:r>
    </w:p>
    <w:p w14:paraId="5D9DB271" w14:textId="77777777" w:rsidR="004C7FA8" w:rsidRDefault="00E86F68">
      <w:pPr>
        <w:pStyle w:val="2"/>
        <w:pBdr>
          <w:bottom w:val="single" w:sz="6" w:space="4" w:color="B8860B"/>
        </w:pBdr>
        <w:bidi/>
        <w:spacing w:before="360" w:after="200"/>
        <w:jc w:val="right"/>
        <w:rPr>
          <w:rFonts w:cs="Arial"/>
        </w:rPr>
      </w:pPr>
      <w:r>
        <w:rPr>
          <w:b/>
          <w:bCs/>
          <w:color w:val="1F6F6F"/>
          <w:sz w:val="56"/>
          <w:szCs w:val="56"/>
        </w:rPr>
        <w:t>3.3 غياب النموذج القدوة</w:t>
      </w:r>
    </w:p>
    <w:p w14:paraId="05D373CB" w14:textId="77777777" w:rsidR="004C7FA8" w:rsidRDefault="00E86F68">
      <w:pPr>
        <w:spacing w:after="200" w:line="340" w:lineRule="auto"/>
        <w:jc w:val="both"/>
        <w:rPr>
          <w:rFonts w:cs="Arial"/>
        </w:rPr>
      </w:pPr>
      <w:r>
        <w:rPr>
          <w:color w:val="1A1A1A"/>
        </w:rPr>
        <w:t xml:space="preserve">غياب الأم عن أداء دورها </w:t>
      </w:r>
      <w:proofErr w:type="spellStart"/>
      <w:r>
        <w:rPr>
          <w:color w:val="1A1A1A"/>
        </w:rPr>
        <w:t>الحمائي</w:t>
      </w:r>
      <w:proofErr w:type="spellEnd"/>
      <w:r>
        <w:rPr>
          <w:color w:val="1A1A1A"/>
        </w:rPr>
        <w:t xml:space="preserve"> جعل الأبناء في مواجهة مباشرة مع نرجسية الأب. في علم النفس الاستخلافي، يُعد الوالدان "النموذج </w:t>
      </w:r>
      <w:proofErr w:type="spellStart"/>
      <w:r>
        <w:rPr>
          <w:color w:val="1A1A1A"/>
        </w:rPr>
        <w:t>السُّنَني</w:t>
      </w:r>
      <w:proofErr w:type="spellEnd"/>
      <w:r>
        <w:rPr>
          <w:color w:val="1A1A1A"/>
        </w:rPr>
        <w:t xml:space="preserve">" الذي يتعلم منه الأبناء كيفية تحقيق التوازن بين الأمارة واللوامة [الزراع، مفهوم الإنسان </w:t>
      </w:r>
      <w:proofErr w:type="spellStart"/>
      <w:r>
        <w:rPr>
          <w:color w:val="1A1A1A"/>
        </w:rPr>
        <w:t>السُّنَني</w:t>
      </w:r>
      <w:proofErr w:type="spellEnd"/>
      <w:r>
        <w:rPr>
          <w:color w:val="1A1A1A"/>
        </w:rPr>
        <w:t>]. استسلام الأم علّم الابنة نمطاً خاطئاً: أن الخضوع هو السبيل الوحيد للبقاء، وهذا ما سيكون على الابنة أن تجاهده لتتخلص منه.</w:t>
      </w:r>
    </w:p>
    <w:p w14:paraId="1C0DE4F3" w14:textId="77777777" w:rsidR="004C7FA8" w:rsidRDefault="00E86F68">
      <w:pPr>
        <w:spacing w:after="200" w:line="340" w:lineRule="auto"/>
        <w:jc w:val="both"/>
        <w:rPr>
          <w:rFonts w:cs="Arial"/>
        </w:rPr>
      </w:pPr>
      <w:r>
        <w:rPr>
          <w:color w:val="1A1A1A"/>
        </w:rPr>
        <w:t xml:space="preserve">ومن منظور النسق الأسري لدى سلفادور </w:t>
      </w:r>
      <w:proofErr w:type="spellStart"/>
      <w:r>
        <w:rPr>
          <w:color w:val="1A1A1A"/>
        </w:rPr>
        <w:t>مينوشين</w:t>
      </w:r>
      <w:proofErr w:type="spellEnd"/>
      <w:r>
        <w:rPr>
          <w:color w:val="1A1A1A"/>
        </w:rPr>
        <w:t xml:space="preserve"> (</w:t>
      </w:r>
      <w:proofErr w:type="spellStart"/>
      <w:r>
        <w:rPr>
          <w:color w:val="1A1A1A"/>
        </w:rPr>
        <w:t>Minuchin</w:t>
      </w:r>
      <w:proofErr w:type="spellEnd"/>
      <w:r>
        <w:rPr>
          <w:color w:val="1A1A1A"/>
        </w:rPr>
        <w:t>, 1974)، يمكن وصف هذا النمط بأنه "ائتلاف غير متوازن" (</w:t>
      </w:r>
      <w:proofErr w:type="spellStart"/>
      <w:r>
        <w:rPr>
          <w:color w:val="1A1A1A"/>
        </w:rPr>
        <w:t>Skewed</w:t>
      </w:r>
      <w:proofErr w:type="spellEnd"/>
      <w:r>
        <w:rPr>
          <w:color w:val="1A1A1A"/>
        </w:rPr>
        <w:t xml:space="preserve"> </w:t>
      </w:r>
      <w:proofErr w:type="spellStart"/>
      <w:r>
        <w:rPr>
          <w:color w:val="1A1A1A"/>
        </w:rPr>
        <w:t>Coalition</w:t>
      </w:r>
      <w:proofErr w:type="spellEnd"/>
      <w:r>
        <w:rPr>
          <w:color w:val="1A1A1A"/>
        </w:rPr>
        <w:t>) بين الأب والأم، حيث تتشكل حدود جامدة (</w:t>
      </w:r>
      <w:proofErr w:type="spellStart"/>
      <w:r>
        <w:rPr>
          <w:color w:val="1A1A1A"/>
        </w:rPr>
        <w:t>Rigid</w:t>
      </w:r>
      <w:proofErr w:type="spellEnd"/>
      <w:r>
        <w:rPr>
          <w:color w:val="1A1A1A"/>
        </w:rPr>
        <w:t xml:space="preserve"> </w:t>
      </w:r>
      <w:proofErr w:type="spellStart"/>
      <w:r>
        <w:rPr>
          <w:color w:val="1A1A1A"/>
        </w:rPr>
        <w:t>Boundaries</w:t>
      </w:r>
      <w:proofErr w:type="spellEnd"/>
      <w:r>
        <w:rPr>
          <w:color w:val="1A1A1A"/>
        </w:rPr>
        <w:t>) بين الأم وقدرتها على التأثير، وحدود مفككة (</w:t>
      </w:r>
      <w:proofErr w:type="spellStart"/>
      <w:r>
        <w:rPr>
          <w:color w:val="1A1A1A"/>
        </w:rPr>
        <w:t>Disengaged</w:t>
      </w:r>
      <w:proofErr w:type="spellEnd"/>
      <w:r>
        <w:rPr>
          <w:color w:val="1A1A1A"/>
        </w:rPr>
        <w:t xml:space="preserve"> </w:t>
      </w:r>
      <w:proofErr w:type="spellStart"/>
      <w:r>
        <w:rPr>
          <w:color w:val="1A1A1A"/>
        </w:rPr>
        <w:t>Boundaries</w:t>
      </w:r>
      <w:proofErr w:type="spellEnd"/>
      <w:r>
        <w:rPr>
          <w:color w:val="1A1A1A"/>
        </w:rPr>
        <w:t xml:space="preserve">) بينها وبين حماية الأبناء الفعلية، رغم قربها الجسدي منهم. هذا التوصيف البنيوي يتقاطع وظيفيًّا مع وصف الزراع </w:t>
      </w:r>
      <w:proofErr w:type="spellStart"/>
      <w:r>
        <w:rPr>
          <w:color w:val="1A1A1A"/>
        </w:rPr>
        <w:t>لانطفاء</w:t>
      </w:r>
      <w:proofErr w:type="spellEnd"/>
      <w:r>
        <w:rPr>
          <w:color w:val="1A1A1A"/>
        </w:rPr>
        <w:t xml:space="preserve"> اللوامة: فالبنية الأسرية الجامدة خارجيًّا تعكس بنية نفسية داخلية معطَّلة.</w:t>
      </w:r>
    </w:p>
    <w:p w14:paraId="5C150C93" w14:textId="77777777" w:rsidR="004C7FA8" w:rsidRDefault="00E86F68">
      <w:pPr>
        <w:rPr>
          <w:rFonts w:cs="Arial"/>
        </w:rPr>
      </w:pPr>
      <w:r>
        <w:br w:type="page"/>
      </w:r>
    </w:p>
    <w:p w14:paraId="2E905C7D" w14:textId="77777777" w:rsidR="004C7FA8" w:rsidRDefault="00E86F68">
      <w:pPr>
        <w:pStyle w:val="1"/>
        <w:pBdr>
          <w:bottom w:val="single" w:sz="6" w:space="4" w:color="B8860B"/>
        </w:pBdr>
        <w:bidi/>
        <w:spacing w:before="360" w:after="200"/>
        <w:jc w:val="right"/>
        <w:rPr>
          <w:rFonts w:cs="Arial"/>
        </w:rPr>
      </w:pPr>
      <w:r>
        <w:rPr>
          <w:b/>
          <w:bCs/>
          <w:color w:val="1B2A4A"/>
          <w:sz w:val="68"/>
          <w:szCs w:val="68"/>
        </w:rPr>
        <w:t>الفصل الرابع: الابنة – صراع الفطرة والتحرر</w:t>
      </w:r>
    </w:p>
    <w:p w14:paraId="7338EF43" w14:textId="77777777" w:rsidR="004C7FA8" w:rsidRDefault="00E86F68">
      <w:pPr>
        <w:pStyle w:val="2"/>
        <w:pBdr>
          <w:bottom w:val="single" w:sz="6" w:space="4" w:color="B8860B"/>
        </w:pBdr>
        <w:bidi/>
        <w:spacing w:before="360" w:after="200"/>
        <w:jc w:val="right"/>
        <w:rPr>
          <w:rFonts w:cs="Arial"/>
        </w:rPr>
      </w:pPr>
      <w:r>
        <w:rPr>
          <w:b/>
          <w:bCs/>
          <w:color w:val="1F6F6F"/>
          <w:sz w:val="56"/>
          <w:szCs w:val="56"/>
        </w:rPr>
        <w:t>4.1 نشأة التعلق غير الآمن في النموذج القرآني</w:t>
      </w:r>
    </w:p>
    <w:p w14:paraId="6A3FE4F5" w14:textId="77777777" w:rsidR="004C7FA8" w:rsidRDefault="00E86F68">
      <w:pPr>
        <w:spacing w:after="200" w:line="340" w:lineRule="auto"/>
        <w:jc w:val="both"/>
        <w:rPr>
          <w:rFonts w:cs="Arial"/>
        </w:rPr>
      </w:pPr>
      <w:r>
        <w:rPr>
          <w:color w:val="1A1A1A"/>
        </w:rPr>
        <w:t>التحليل الغربي تحدث عن "نموذج العمل الداخلي" (</w:t>
      </w:r>
      <w:proofErr w:type="spellStart"/>
      <w:r>
        <w:rPr>
          <w:color w:val="1A1A1A"/>
        </w:rPr>
        <w:t>Internal</w:t>
      </w:r>
      <w:proofErr w:type="spellEnd"/>
      <w:r>
        <w:rPr>
          <w:color w:val="1A1A1A"/>
        </w:rPr>
        <w:t xml:space="preserve"> </w:t>
      </w:r>
      <w:proofErr w:type="spellStart"/>
      <w:r>
        <w:rPr>
          <w:color w:val="1A1A1A"/>
        </w:rPr>
        <w:t>Working</w:t>
      </w:r>
      <w:proofErr w:type="spellEnd"/>
      <w:r>
        <w:rPr>
          <w:color w:val="1A1A1A"/>
        </w:rPr>
        <w:t xml:space="preserve"> </w:t>
      </w:r>
      <w:proofErr w:type="spellStart"/>
      <w:r>
        <w:rPr>
          <w:color w:val="1A1A1A"/>
        </w:rPr>
        <w:t>Model</w:t>
      </w:r>
      <w:proofErr w:type="spellEnd"/>
      <w:r>
        <w:rPr>
          <w:color w:val="1A1A1A"/>
        </w:rPr>
        <w:t xml:space="preserve">) المضطرب لدى الابنة بسبب التعلق غير الآمن، وهو مفهوم أساسي في نظرية </w:t>
      </w:r>
      <w:proofErr w:type="spellStart"/>
      <w:r>
        <w:rPr>
          <w:color w:val="1A1A1A"/>
        </w:rPr>
        <w:t>بولبي</w:t>
      </w:r>
      <w:proofErr w:type="spellEnd"/>
      <w:r>
        <w:rPr>
          <w:color w:val="1A1A1A"/>
        </w:rPr>
        <w:t xml:space="preserve"> </w:t>
      </w:r>
      <w:proofErr w:type="spellStart"/>
      <w:r>
        <w:rPr>
          <w:color w:val="1A1A1A"/>
        </w:rPr>
        <w:t>وأينسورث</w:t>
      </w:r>
      <w:proofErr w:type="spellEnd"/>
      <w:r>
        <w:rPr>
          <w:color w:val="1A1A1A"/>
        </w:rPr>
        <w:t xml:space="preserve"> (</w:t>
      </w:r>
      <w:proofErr w:type="spellStart"/>
      <w:r>
        <w:rPr>
          <w:color w:val="1A1A1A"/>
        </w:rPr>
        <w:t>Ainsworth</w:t>
      </w:r>
      <w:proofErr w:type="spellEnd"/>
      <w:r>
        <w:rPr>
          <w:color w:val="1A1A1A"/>
        </w:rPr>
        <w:t xml:space="preserve"> </w:t>
      </w:r>
      <w:proofErr w:type="spellStart"/>
      <w:r>
        <w:rPr>
          <w:color w:val="1A1A1A"/>
        </w:rPr>
        <w:t>et</w:t>
      </w:r>
      <w:proofErr w:type="spellEnd"/>
      <w:r>
        <w:rPr>
          <w:color w:val="1A1A1A"/>
        </w:rPr>
        <w:t xml:space="preserve"> </w:t>
      </w:r>
      <w:proofErr w:type="spellStart"/>
      <w:r>
        <w:rPr>
          <w:color w:val="1A1A1A"/>
        </w:rPr>
        <w:t>al</w:t>
      </w:r>
      <w:proofErr w:type="spellEnd"/>
      <w:r>
        <w:rPr>
          <w:color w:val="1A1A1A"/>
        </w:rPr>
        <w:t>., 1978) يشير إلى المخطط الذهني-الانفعالي الذي يبنيه الطفل عن الذات والآخرين بناءً على تجارب الاستجابة الوالدية المبكرة. في علم النفس الاستخلافي، يمكن وصف هذا بأن الابنة نشأت في بيئة "اختلال الميزان بين الفجور والتقوى". الأب يمثل (فجوراً مستعراً) والأم تمثل (تقوى خامدة عاجزة). لم تجد الابنة نموذجاً متوازناً يعلّمها كيف تواجه الفجور بالتقوى، وكيف تحول طاقة الأمارة إلى بناء.</w:t>
      </w:r>
    </w:p>
    <w:p w14:paraId="303F825E" w14:textId="77777777" w:rsidR="004C7FA8" w:rsidRDefault="00E86F68">
      <w:pPr>
        <w:pStyle w:val="2"/>
        <w:pBdr>
          <w:bottom w:val="single" w:sz="6" w:space="4" w:color="B8860B"/>
        </w:pBdr>
        <w:bidi/>
        <w:spacing w:before="360" w:after="200"/>
        <w:jc w:val="right"/>
        <w:rPr>
          <w:rFonts w:cs="Arial"/>
        </w:rPr>
      </w:pPr>
      <w:r>
        <w:rPr>
          <w:b/>
          <w:bCs/>
          <w:color w:val="1F6F6F"/>
          <w:sz w:val="56"/>
          <w:szCs w:val="56"/>
        </w:rPr>
        <w:t>4.2 تفعيل الضلع الخامس (الأمارة ← اللوامة)</w:t>
      </w:r>
    </w:p>
    <w:p w14:paraId="0F791131" w14:textId="77777777" w:rsidR="004C7FA8" w:rsidRDefault="00E86F68">
      <w:pPr>
        <w:spacing w:after="200" w:line="340" w:lineRule="auto"/>
        <w:jc w:val="both"/>
        <w:rPr>
          <w:rFonts w:cs="Arial"/>
        </w:rPr>
      </w:pPr>
      <w:r>
        <w:rPr>
          <w:color w:val="1A1A1A"/>
        </w:rPr>
        <w:t>وصول الابنة إلى سن 31 عاماً وإعلانها الزواج بإصرار يمثل لحظة فارقة في مسارها النفسي. إنها لحظة تفعيل النفس اللوامة بعد سنوات من سيطرة الأمارة (التي كانت تدفعها للخضوع خوفاً). اللوامة هنا لم تلمها على ذنب، بل لامتها على تقاعسها عن تحقيق ذاتها، ودفعتها لاتخاذ موقف حاسم.</w:t>
      </w:r>
    </w:p>
    <w:tbl>
      <w:tblPr>
        <w:tblW w:w="5000" w:type="pct"/>
        <w:tblBorders>
          <w:top w:val="single" w:sz="12" w:space="0" w:color="B8860B"/>
          <w:left w:val="single" w:sz="12" w:space="0" w:color="B8860B"/>
          <w:bottom w:val="single" w:sz="12" w:space="0" w:color="B8860B"/>
          <w:right w:val="single" w:sz="12" w:space="0" w:color="B8860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8996"/>
      </w:tblGrid>
      <w:tr w:rsidR="004C7FA8" w14:paraId="0034026E" w14:textId="77777777">
        <w:trPr>
          <w:cantSplit/>
        </w:trPr>
        <w:tc>
          <w:tcPr>
            <w:tcW w:w="5000" w:type="pct"/>
            <w:shd w:val="clear" w:color="auto" w:fill="F4EBD0"/>
            <w:tcMar>
              <w:top w:w="200" w:type="dxa"/>
              <w:left w:w="300" w:type="dxa"/>
              <w:bottom w:w="200" w:type="dxa"/>
              <w:right w:w="300" w:type="dxa"/>
            </w:tcMar>
            <w:vAlign w:val="center"/>
          </w:tcPr>
          <w:p w14:paraId="32952B64" w14:textId="77777777" w:rsidR="004C7FA8" w:rsidRDefault="00E86F68">
            <w:pPr>
              <w:spacing w:after="100"/>
              <w:jc w:val="center"/>
              <w:rPr>
                <w:rFonts w:cs="Arial"/>
              </w:rPr>
            </w:pPr>
            <w:r>
              <w:rPr>
                <w:b/>
                <w:bCs/>
                <w:color w:val="1B2A4A"/>
                <w:sz w:val="28"/>
                <w:szCs w:val="28"/>
              </w:rPr>
              <w:t>﴿ وَالَّذِينَ إِذَا فَعَلُوا فَاحِشَةً أَوْ ظَلَمُوا أَنفُسَهُمْ ذَكَرُوا اللَّهَ فَاسْتَغْفَرُوا لِذُنُوبِهِمْ ﴾</w:t>
            </w:r>
          </w:p>
          <w:p w14:paraId="1FAE63B6" w14:textId="77777777" w:rsidR="004C7FA8" w:rsidRDefault="00E86F68">
            <w:pPr>
              <w:jc w:val="center"/>
              <w:rPr>
                <w:rFonts w:cs="Arial"/>
              </w:rPr>
            </w:pPr>
            <w:r>
              <w:rPr>
                <w:b/>
                <w:bCs/>
                <w:color w:val="B8860B"/>
                <w:sz w:val="22"/>
                <w:szCs w:val="22"/>
              </w:rPr>
              <w:t>آل عمران: 135</w:t>
            </w:r>
          </w:p>
        </w:tc>
      </w:tr>
    </w:tbl>
    <w:p w14:paraId="664DEA1C" w14:textId="77777777" w:rsidR="004C7FA8" w:rsidRDefault="004C7FA8">
      <w:pPr>
        <w:spacing w:after="150"/>
        <w:rPr>
          <w:rFonts w:cs="Arial"/>
        </w:rPr>
      </w:pPr>
    </w:p>
    <w:p w14:paraId="561B1E32" w14:textId="77777777" w:rsidR="004C7FA8" w:rsidRDefault="00E86F68">
      <w:pPr>
        <w:spacing w:after="200" w:line="340" w:lineRule="auto"/>
        <w:jc w:val="both"/>
        <w:rPr>
          <w:rFonts w:cs="Arial"/>
        </w:rPr>
      </w:pPr>
      <w:r>
        <w:rPr>
          <w:color w:val="1A1A1A"/>
        </w:rPr>
        <w:t>الابنة هنا لم تظلم نفسها بالمعصية، لكنها ظلمتها بالخضوع، فتذكرت حقها في الاستقلال (وهو نوع من ذكر الله، لأن الله أمر بالعدل) فاستغفرت (تابت) من هذا الخضوع. وهذا توظيف تفسيري دقيق يستحق التنويه: الاستغفار هنا لا يُقرأ حرفيًّا بوصفه توبة عن معصية بمعناها الفقهي الضيق، بل بوصفه استعارة نفسية-روحية لحظة الرجوع إلى الحق بعد غيبة عنه، وهو استخدام منهجي مشروع طالما بقي واعيًا بحدوده التأويلية ولم يُقدَّم كتفسير فقهي للآية بديل عن تفسيرها الأصلي في سياق الفاحشة والذنب الصريح.</w:t>
      </w:r>
    </w:p>
    <w:p w14:paraId="69624D36" w14:textId="77777777" w:rsidR="004C7FA8" w:rsidRDefault="00E86F68">
      <w:pPr>
        <w:pStyle w:val="2"/>
        <w:pBdr>
          <w:bottom w:val="single" w:sz="6" w:space="4" w:color="B8860B"/>
        </w:pBdr>
        <w:bidi/>
        <w:spacing w:before="360" w:after="200"/>
        <w:jc w:val="right"/>
        <w:rPr>
          <w:rFonts w:cs="Arial"/>
        </w:rPr>
      </w:pPr>
      <w:r>
        <w:rPr>
          <w:b/>
          <w:bCs/>
          <w:color w:val="1F6F6F"/>
          <w:sz w:val="56"/>
          <w:szCs w:val="56"/>
        </w:rPr>
        <w:t>4.3 البحث عن "الملاذ الآمن" في الزواج</w:t>
      </w:r>
    </w:p>
    <w:p w14:paraId="7B3903C7" w14:textId="77777777" w:rsidR="004C7FA8" w:rsidRDefault="00E86F68">
      <w:pPr>
        <w:spacing w:after="200" w:line="340" w:lineRule="auto"/>
        <w:jc w:val="both"/>
        <w:rPr>
          <w:rFonts w:cs="Arial"/>
        </w:rPr>
      </w:pPr>
      <w:r>
        <w:rPr>
          <w:color w:val="1A1A1A"/>
        </w:rPr>
        <w:t>اختيار الابنة للزواج من شاب في المهجر يمكن قراءته في النموذج الاستخلافي كـ"بحث عن بيئة تعيد التوازن". هي تبحث عن سياق جديد يمكنها من تفعيل التقوى لديها (التي كبتها الخضوع) وإعادة بناء نفسها بعيداً عن سلطة الأب. الهجرة هنا ليست مجرد تغيير مكان، بل هي "جسر سلوكي" [الزراع، ص 906] ينتقل بها من حالة الخضوع إلى حالة الاستقلال، عبر خطوة عملية ملموسة (الزواج والسفر).</w:t>
      </w:r>
    </w:p>
    <w:p w14:paraId="5552F076" w14:textId="77777777" w:rsidR="004C7FA8" w:rsidRDefault="00E86F68">
      <w:pPr>
        <w:spacing w:after="200" w:line="340" w:lineRule="auto"/>
        <w:jc w:val="both"/>
        <w:rPr>
          <w:rFonts w:cs="Arial"/>
        </w:rPr>
      </w:pPr>
      <w:r>
        <w:rPr>
          <w:color w:val="1A1A1A"/>
        </w:rPr>
        <w:t>ولا تخفى دلالة استحضار مفهوم "الهجرة" هنا في سياقه القرآني الأوسع، حيث ترتبط الهجرة في القرآن بالخروج من بيئة الفتنة والاضطهاد طلبًا لبيئة يمكن فيها إقامة الدين وتحقيق الذات على نحو أسلم، دون أن يعني ذلك بالضرورة مطابقة كاملة بين هجرة الابنة وهجرة الصحابة، بل استئناسًا دلاليًّا بالمعنى العام لحركة الانتقال طلبًا للسلامة الدينية والنفسية.</w:t>
      </w:r>
    </w:p>
    <w:p w14:paraId="69DFD2C7" w14:textId="77777777" w:rsidR="004C7FA8" w:rsidRDefault="00E86F68">
      <w:pPr>
        <w:pStyle w:val="2"/>
        <w:pBdr>
          <w:bottom w:val="single" w:sz="6" w:space="4" w:color="B8860B"/>
        </w:pBdr>
        <w:bidi/>
        <w:spacing w:before="360" w:after="200"/>
        <w:jc w:val="right"/>
        <w:rPr>
          <w:rFonts w:cs="Arial"/>
        </w:rPr>
      </w:pPr>
      <w:r>
        <w:rPr>
          <w:b/>
          <w:bCs/>
          <w:color w:val="1F6F6F"/>
          <w:sz w:val="56"/>
          <w:szCs w:val="56"/>
        </w:rPr>
        <w:t>4.4 التحدي: إعادة بناء النموذج الداخلي</w:t>
      </w:r>
    </w:p>
    <w:p w14:paraId="4AA61C6C" w14:textId="77777777" w:rsidR="004C7FA8" w:rsidRDefault="00E86F68">
      <w:pPr>
        <w:spacing w:after="200" w:line="340" w:lineRule="auto"/>
        <w:jc w:val="both"/>
        <w:rPr>
          <w:rFonts w:cs="Arial"/>
        </w:rPr>
      </w:pPr>
      <w:r>
        <w:rPr>
          <w:color w:val="1A1A1A"/>
        </w:rPr>
        <w:t>رغم هذه الخطوة الشجاعة، فإن الابنة تحمل داخلها "شحنة نفسية" من الماضي. النموذج الاستخلافي يحذر من أن الانتقال المكاني لا يكفي وحده؛ فالابنة تحتاج إلى "الكينتسوغي النفسي" [الزراع، ص 1062]، أي تحويل جراحها إلى طاقة إبداعية. إذا لم تعالج جذور الخوف والتبعية داخلها، فقد تعيد إنتاج نفس الأنماط مع زوجها (إما بخضوع مفرط أو بتمرد مدمر). العلاج الحقيقي هو في بناء "النفس المطمئنة" التي تستمد أمانها من الله لا من البشر.</w:t>
      </w:r>
    </w:p>
    <w:p w14:paraId="619D25F0" w14:textId="77777777" w:rsidR="004C7FA8" w:rsidRDefault="00E86F68">
      <w:pPr>
        <w:spacing w:after="200" w:line="340" w:lineRule="auto"/>
        <w:jc w:val="both"/>
        <w:rPr>
          <w:rFonts w:cs="Arial"/>
        </w:rPr>
      </w:pPr>
      <w:r>
        <w:rPr>
          <w:color w:val="1A1A1A"/>
        </w:rPr>
        <w:t>وتقدم أدبيات التعلق المعاصرة مفهومًا مساعدًا هنا هو "التعلق الآمن المكتسَب" (</w:t>
      </w:r>
      <w:proofErr w:type="spellStart"/>
      <w:r>
        <w:rPr>
          <w:color w:val="1A1A1A"/>
        </w:rPr>
        <w:t>Earned</w:t>
      </w:r>
      <w:proofErr w:type="spellEnd"/>
      <w:r>
        <w:rPr>
          <w:color w:val="1A1A1A"/>
        </w:rPr>
        <w:t xml:space="preserve"> </w:t>
      </w:r>
      <w:proofErr w:type="spellStart"/>
      <w:r>
        <w:rPr>
          <w:color w:val="1A1A1A"/>
        </w:rPr>
        <w:t>Secure</w:t>
      </w:r>
      <w:proofErr w:type="spellEnd"/>
      <w:r>
        <w:rPr>
          <w:color w:val="1A1A1A"/>
        </w:rPr>
        <w:t xml:space="preserve"> </w:t>
      </w:r>
      <w:proofErr w:type="spellStart"/>
      <w:r>
        <w:rPr>
          <w:color w:val="1A1A1A"/>
        </w:rPr>
        <w:t>Attachment</w:t>
      </w:r>
      <w:proofErr w:type="spellEnd"/>
      <w:r>
        <w:rPr>
          <w:color w:val="1A1A1A"/>
        </w:rPr>
        <w:t>)، الذي طوّرته ماري مين وزملاؤها (</w:t>
      </w:r>
      <w:proofErr w:type="spellStart"/>
      <w:r>
        <w:rPr>
          <w:color w:val="1A1A1A"/>
        </w:rPr>
        <w:t>Main</w:t>
      </w:r>
      <w:proofErr w:type="spellEnd"/>
      <w:r>
        <w:rPr>
          <w:color w:val="1A1A1A"/>
        </w:rPr>
        <w:t xml:space="preserve"> &amp; </w:t>
      </w:r>
      <w:proofErr w:type="spellStart"/>
      <w:r>
        <w:rPr>
          <w:color w:val="1A1A1A"/>
        </w:rPr>
        <w:t>Goldwyn</w:t>
      </w:r>
      <w:proofErr w:type="spellEnd"/>
      <w:r>
        <w:rPr>
          <w:color w:val="1A1A1A"/>
        </w:rPr>
        <w:t>, 1984) لوصف الأفراد الذين نشأوا في بيئات غير آمنة لكنهم، عبر معالجة واعية لتاريخهم الانفعالي (غالبًا بمساعدة علاقة داعمة أو علاج نفسي)، تمكنوا من بناء نمط تعلق آمن في حياتهم الراشدة. هذا المفهوم يتقاطع وظيفيًّا مع مسار "الكينتسوغي النفسي" الاستخلافي، لكن الفارق الجوهري يبقى في مصدر "الإسناد" الذي يعتمد عليه المسار: الأول يعتمد على علاقة بشرية داعمة بوصفها ركيزة إعادة البناء، بينما الثاني يجعل العلاقة بالله هي الركيزة الأولى والأبقى، مع عدم إلغاء أهمية الصحبة الصالحة والدعم الاجتماعي كوسائط مساعدة لا كمصدر أخير للأمان.</w:t>
      </w:r>
    </w:p>
    <w:p w14:paraId="64C545B2" w14:textId="77777777" w:rsidR="004C7FA8" w:rsidRDefault="00E86F68">
      <w:pPr>
        <w:rPr>
          <w:rFonts w:cs="Arial"/>
        </w:rPr>
      </w:pPr>
      <w:r>
        <w:br w:type="page"/>
      </w:r>
    </w:p>
    <w:p w14:paraId="7F0FB1E0" w14:textId="77777777" w:rsidR="004C7FA8" w:rsidRDefault="00E86F68">
      <w:pPr>
        <w:pStyle w:val="1"/>
        <w:pBdr>
          <w:bottom w:val="single" w:sz="6" w:space="4" w:color="B8860B"/>
        </w:pBdr>
        <w:bidi/>
        <w:spacing w:before="360" w:after="200"/>
        <w:jc w:val="right"/>
        <w:rPr>
          <w:rFonts w:cs="Arial"/>
        </w:rPr>
      </w:pPr>
      <w:r>
        <w:rPr>
          <w:b/>
          <w:bCs/>
          <w:color w:val="1B2A4A"/>
          <w:sz w:val="68"/>
          <w:szCs w:val="68"/>
        </w:rPr>
        <w:t>الفصل الخامس: الديناميكية الأسرية – صراع الأضلاع</w:t>
      </w:r>
    </w:p>
    <w:p w14:paraId="1827D404" w14:textId="77777777" w:rsidR="004C7FA8" w:rsidRDefault="00E86F68">
      <w:pPr>
        <w:pStyle w:val="2"/>
        <w:pBdr>
          <w:bottom w:val="single" w:sz="6" w:space="4" w:color="B8860B"/>
        </w:pBdr>
        <w:bidi/>
        <w:spacing w:before="360" w:after="200"/>
        <w:jc w:val="right"/>
        <w:rPr>
          <w:rFonts w:cs="Arial"/>
        </w:rPr>
      </w:pPr>
      <w:r>
        <w:rPr>
          <w:b/>
          <w:bCs/>
          <w:color w:val="1F6F6F"/>
          <w:sz w:val="56"/>
          <w:szCs w:val="56"/>
        </w:rPr>
        <w:t>5.1 الهبوط الجماعي</w:t>
      </w:r>
    </w:p>
    <w:p w14:paraId="4AFD57AC" w14:textId="77777777" w:rsidR="004C7FA8" w:rsidRDefault="00E86F68">
      <w:pPr>
        <w:spacing w:after="200" w:line="340" w:lineRule="auto"/>
        <w:jc w:val="both"/>
        <w:rPr>
          <w:rFonts w:cs="Arial"/>
        </w:rPr>
      </w:pPr>
      <w:r>
        <w:rPr>
          <w:color w:val="1A1A1A"/>
        </w:rPr>
        <w:t>الأسرة في حالتها الراهنة تعيش "هبوطاً جماعياً" بفعل تغليب الأضلاع الهابطة:</w:t>
      </w:r>
    </w:p>
    <w:p w14:paraId="7419407E" w14:textId="77777777" w:rsidR="004C7FA8" w:rsidRDefault="00E86F68">
      <w:pPr>
        <w:pStyle w:val="a4"/>
        <w:numPr>
          <w:ilvl w:val="0"/>
          <w:numId w:val="1"/>
        </w:numPr>
        <w:bidi/>
        <w:spacing w:after="120" w:line="320" w:lineRule="auto"/>
        <w:jc w:val="right"/>
        <w:rPr>
          <w:rFonts w:cs="Arial"/>
        </w:rPr>
      </w:pPr>
      <w:r>
        <w:rPr>
          <w:color w:val="1A1A1A"/>
        </w:rPr>
        <w:t>الضلع الأول (فجور الأب ← أمارته): نشط وفاعل.</w:t>
      </w:r>
    </w:p>
    <w:p w14:paraId="07CC07E8" w14:textId="77777777" w:rsidR="004C7FA8" w:rsidRDefault="00E86F68">
      <w:pPr>
        <w:pStyle w:val="a4"/>
        <w:numPr>
          <w:ilvl w:val="0"/>
          <w:numId w:val="1"/>
        </w:numPr>
        <w:bidi/>
        <w:spacing w:after="120" w:line="320" w:lineRule="auto"/>
        <w:jc w:val="right"/>
        <w:rPr>
          <w:rFonts w:cs="Arial"/>
        </w:rPr>
      </w:pPr>
      <w:r>
        <w:rPr>
          <w:color w:val="1A1A1A"/>
        </w:rPr>
        <w:t>الضلع الثالث (فجور الأب ← الشيطان): مفتوح، والشيطان يستثمره.</w:t>
      </w:r>
    </w:p>
    <w:p w14:paraId="3957F293" w14:textId="77777777" w:rsidR="004C7FA8" w:rsidRDefault="00E86F68">
      <w:pPr>
        <w:pStyle w:val="a4"/>
        <w:numPr>
          <w:ilvl w:val="0"/>
          <w:numId w:val="1"/>
        </w:numPr>
        <w:bidi/>
        <w:spacing w:after="120" w:line="320" w:lineRule="auto"/>
        <w:jc w:val="right"/>
        <w:rPr>
          <w:rFonts w:cs="Arial"/>
        </w:rPr>
      </w:pPr>
      <w:r>
        <w:rPr>
          <w:color w:val="1A1A1A"/>
        </w:rPr>
        <w:t>الضلع السابع (شيطان ← أمارة الأب): في أعلى درجاته، حيث يظن الأب أن استحواذه حق.</w:t>
      </w:r>
    </w:p>
    <w:p w14:paraId="7E01BA14" w14:textId="77777777" w:rsidR="004C7FA8" w:rsidRDefault="00E86F68">
      <w:pPr>
        <w:pStyle w:val="a4"/>
        <w:numPr>
          <w:ilvl w:val="0"/>
          <w:numId w:val="1"/>
        </w:numPr>
        <w:bidi/>
        <w:spacing w:after="120" w:line="320" w:lineRule="auto"/>
        <w:jc w:val="right"/>
        <w:rPr>
          <w:rFonts w:cs="Arial"/>
        </w:rPr>
      </w:pPr>
      <w:r>
        <w:rPr>
          <w:color w:val="1A1A1A"/>
        </w:rPr>
        <w:t>الضلع الأول بالنسبة للأم (فجور الاستسلام ← أمارة العجز): جعلها عاجزة.</w:t>
      </w:r>
    </w:p>
    <w:p w14:paraId="234C98D0" w14:textId="77777777" w:rsidR="004C7FA8" w:rsidRDefault="00E86F68">
      <w:pPr>
        <w:pStyle w:val="a4"/>
        <w:numPr>
          <w:ilvl w:val="0"/>
          <w:numId w:val="1"/>
        </w:numPr>
        <w:bidi/>
        <w:spacing w:after="120" w:line="320" w:lineRule="auto"/>
        <w:jc w:val="right"/>
        <w:rPr>
          <w:rFonts w:cs="Arial"/>
        </w:rPr>
      </w:pPr>
      <w:r>
        <w:rPr>
          <w:color w:val="1A1A1A"/>
        </w:rPr>
        <w:t>الضلع الثالث للأم (فجور الخوف ← شيطان اليأس): أقعدها عن الحركة.</w:t>
      </w:r>
    </w:p>
    <w:p w14:paraId="4C8F2DAB" w14:textId="77777777" w:rsidR="004C7FA8" w:rsidRDefault="00E86F68">
      <w:pPr>
        <w:spacing w:after="200" w:line="340" w:lineRule="auto"/>
        <w:jc w:val="both"/>
        <w:rPr>
          <w:rFonts w:cs="Arial"/>
        </w:rPr>
      </w:pPr>
      <w:r>
        <w:rPr>
          <w:color w:val="1A1A1A"/>
        </w:rPr>
        <w:t xml:space="preserve">ويمكن قراءة هذا "الهبوط الجماعي" أيضًا من زاوية نظرية </w:t>
      </w:r>
      <w:proofErr w:type="spellStart"/>
      <w:r>
        <w:rPr>
          <w:color w:val="1A1A1A"/>
        </w:rPr>
        <w:t>الأنساق</w:t>
      </w:r>
      <w:proofErr w:type="spellEnd"/>
      <w:r>
        <w:rPr>
          <w:color w:val="1A1A1A"/>
        </w:rPr>
        <w:t xml:space="preserve"> الأسرية </w:t>
      </w:r>
      <w:proofErr w:type="spellStart"/>
      <w:r>
        <w:rPr>
          <w:color w:val="1A1A1A"/>
        </w:rPr>
        <w:t>لموراي</w:t>
      </w:r>
      <w:proofErr w:type="spellEnd"/>
      <w:r>
        <w:rPr>
          <w:color w:val="1A1A1A"/>
        </w:rPr>
        <w:t xml:space="preserve"> بوين (</w:t>
      </w:r>
      <w:proofErr w:type="spellStart"/>
      <w:r>
        <w:rPr>
          <w:color w:val="1A1A1A"/>
        </w:rPr>
        <w:t>Bowen</w:t>
      </w:r>
      <w:proofErr w:type="spellEnd"/>
      <w:r>
        <w:rPr>
          <w:color w:val="1A1A1A"/>
        </w:rPr>
        <w:t>, 1978)، ولا سيما مفهوم "التثليث" (</w:t>
      </w:r>
      <w:proofErr w:type="spellStart"/>
      <w:r>
        <w:rPr>
          <w:color w:val="1A1A1A"/>
        </w:rPr>
        <w:t>Triangulation</w:t>
      </w:r>
      <w:proofErr w:type="spellEnd"/>
      <w:r>
        <w:rPr>
          <w:color w:val="1A1A1A"/>
        </w:rPr>
        <w:t>)، حيث يميل نسق أسري يعاني من قلق مزمن إلى إشراك طرف ثالث (هنا: الأبناء، أو الأقارب المدعوون رغم الخصام) لامتصاص التوتر بين الزوجين بدل مواجهته مباشرة. إصرار الأب على الدعوة رغم توسلات الأم يمكن قراءته أيضًا كآلية تثليث تنقل التوتر الزوجي إلى ساحة أوسع (العلاقات العائلية الممتدة)، بدلًا من معالجته في بنيته الأصلية. هذه القراءة البنيوية لا تناقض القراءة الاستخلافية، بل تضيف لها وصفًا آليًّا للكيفية التي يتجسد بها "الهبوط الجماعي" في السلوك الملموس اليومي للأسرة.</w:t>
      </w:r>
    </w:p>
    <w:p w14:paraId="2BD7C540" w14:textId="77777777" w:rsidR="004C7FA8" w:rsidRDefault="00E86F68">
      <w:pPr>
        <w:pStyle w:val="2"/>
        <w:pBdr>
          <w:bottom w:val="single" w:sz="6" w:space="4" w:color="B8860B"/>
        </w:pBdr>
        <w:bidi/>
        <w:spacing w:before="360" w:after="200"/>
        <w:jc w:val="right"/>
        <w:rPr>
          <w:rFonts w:cs="Arial"/>
        </w:rPr>
      </w:pPr>
      <w:r>
        <w:rPr>
          <w:b/>
          <w:bCs/>
          <w:color w:val="1F6F6F"/>
          <w:sz w:val="56"/>
          <w:szCs w:val="56"/>
        </w:rPr>
        <w:t>5.2 نقطة التحول: صحوة الابنة</w:t>
      </w:r>
    </w:p>
    <w:p w14:paraId="0FB6F0B5" w14:textId="77777777" w:rsidR="004C7FA8" w:rsidRDefault="00E86F68">
      <w:pPr>
        <w:spacing w:after="200" w:line="340" w:lineRule="auto"/>
        <w:jc w:val="both"/>
        <w:rPr>
          <w:rFonts w:cs="Arial"/>
        </w:rPr>
      </w:pPr>
      <w:r>
        <w:rPr>
          <w:color w:val="1A1A1A"/>
        </w:rPr>
        <w:t>قرار الابنة يمثل "تفعيلاً مفاجئاً للضلع الخامس" (الأمارة ← اللوامة)؛ فهي كانت في حالة أمارة (خضوع) ثم تحولت إلى لوامة (ندم على الماضي، ومطالبة بالحق). هذا التفعيل أحدث شرخاً في نظام الهبوط الأسري، وأجبر الجميع على مواجهة الحقيقة.</w:t>
      </w:r>
    </w:p>
    <w:p w14:paraId="783D1C07" w14:textId="77777777" w:rsidR="004C7FA8" w:rsidRDefault="00E86F68">
      <w:pPr>
        <w:spacing w:after="200" w:line="340" w:lineRule="auto"/>
        <w:jc w:val="both"/>
        <w:rPr>
          <w:rFonts w:cs="Arial"/>
        </w:rPr>
      </w:pPr>
      <w:r>
        <w:rPr>
          <w:color w:val="1A1A1A"/>
        </w:rPr>
        <w:t xml:space="preserve">من منظور </w:t>
      </w:r>
      <w:proofErr w:type="spellStart"/>
      <w:r>
        <w:rPr>
          <w:color w:val="1A1A1A"/>
        </w:rPr>
        <w:t>الأنساق</w:t>
      </w:r>
      <w:proofErr w:type="spellEnd"/>
      <w:r>
        <w:rPr>
          <w:color w:val="1A1A1A"/>
        </w:rPr>
        <w:t xml:space="preserve"> الأسرية، يمكن وصف هذا التحول بأنه اضطراب في "التوازن </w:t>
      </w:r>
      <w:proofErr w:type="spellStart"/>
      <w:r>
        <w:rPr>
          <w:color w:val="1A1A1A"/>
        </w:rPr>
        <w:t>الاستتبابي</w:t>
      </w:r>
      <w:proofErr w:type="spellEnd"/>
      <w:r>
        <w:rPr>
          <w:color w:val="1A1A1A"/>
        </w:rPr>
        <w:t>" (</w:t>
      </w:r>
      <w:proofErr w:type="spellStart"/>
      <w:r>
        <w:rPr>
          <w:color w:val="1A1A1A"/>
        </w:rPr>
        <w:t>Homeostasis</w:t>
      </w:r>
      <w:proofErr w:type="spellEnd"/>
      <w:r>
        <w:rPr>
          <w:color w:val="1A1A1A"/>
        </w:rPr>
        <w:t>) للنسق: أي تغيّر أحد الأطراف في نمط استجابته المعتاد يفرض على النسق كله إعادة تكيّف، إما بمرونة تفضي إلى نمو جماعي، أو بمقاومة تفضي إلى تصعيد الصراع. سيتضح من رد فعل الأب في الفقرة التالية أن النسق الأسري هنا مال إلى المقاومة لا التكيّف.</w:t>
      </w:r>
    </w:p>
    <w:p w14:paraId="5B69354C" w14:textId="77777777" w:rsidR="004C7FA8" w:rsidRDefault="00E86F68">
      <w:pPr>
        <w:pStyle w:val="2"/>
        <w:pBdr>
          <w:bottom w:val="single" w:sz="6" w:space="4" w:color="B8860B"/>
        </w:pBdr>
        <w:bidi/>
        <w:spacing w:before="360" w:after="200"/>
        <w:jc w:val="right"/>
        <w:rPr>
          <w:rFonts w:cs="Arial"/>
        </w:rPr>
      </w:pPr>
      <w:r>
        <w:rPr>
          <w:b/>
          <w:bCs/>
          <w:color w:val="1F6F6F"/>
          <w:sz w:val="56"/>
          <w:szCs w:val="56"/>
        </w:rPr>
        <w:t>5.3 ردود الفعل: اختبار للضمائر</w:t>
      </w:r>
    </w:p>
    <w:p w14:paraId="6E2E8F14" w14:textId="77777777" w:rsidR="004C7FA8" w:rsidRDefault="00E86F68">
      <w:pPr>
        <w:spacing w:after="200" w:line="340" w:lineRule="auto"/>
        <w:jc w:val="both"/>
        <w:rPr>
          <w:rFonts w:cs="Arial"/>
        </w:rPr>
      </w:pPr>
      <w:r>
        <w:rPr>
          <w:color w:val="1A1A1A"/>
        </w:rPr>
        <w:t>الأب: لم يستجب، مما يدل على أن اللوامة لديه ميتة تماماً، وأنه غارق في الأمارة. هذا هو "طبع القلب" الذي تحدث عنه القرآن، نتيجة لاستمرار الغفلة والذنب.</w:t>
      </w:r>
    </w:p>
    <w:tbl>
      <w:tblPr>
        <w:tblW w:w="5000" w:type="pct"/>
        <w:tblBorders>
          <w:top w:val="single" w:sz="12" w:space="0" w:color="B8860B"/>
          <w:left w:val="single" w:sz="12" w:space="0" w:color="B8860B"/>
          <w:bottom w:val="single" w:sz="12" w:space="0" w:color="B8860B"/>
          <w:right w:val="single" w:sz="12" w:space="0" w:color="B8860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8996"/>
      </w:tblGrid>
      <w:tr w:rsidR="004C7FA8" w14:paraId="48D618DC" w14:textId="77777777">
        <w:trPr>
          <w:cantSplit/>
        </w:trPr>
        <w:tc>
          <w:tcPr>
            <w:tcW w:w="5000" w:type="pct"/>
            <w:shd w:val="clear" w:color="auto" w:fill="F4EBD0"/>
            <w:tcMar>
              <w:top w:w="200" w:type="dxa"/>
              <w:left w:w="300" w:type="dxa"/>
              <w:bottom w:w="200" w:type="dxa"/>
              <w:right w:w="300" w:type="dxa"/>
            </w:tcMar>
            <w:vAlign w:val="center"/>
          </w:tcPr>
          <w:p w14:paraId="0B33F6BE" w14:textId="77777777" w:rsidR="004C7FA8" w:rsidRDefault="00E86F68">
            <w:pPr>
              <w:spacing w:after="100"/>
              <w:jc w:val="center"/>
              <w:rPr>
                <w:rFonts w:cs="Arial"/>
              </w:rPr>
            </w:pPr>
            <w:r>
              <w:rPr>
                <w:b/>
                <w:bCs/>
                <w:color w:val="1B2A4A"/>
                <w:sz w:val="28"/>
                <w:szCs w:val="28"/>
              </w:rPr>
              <w:t xml:space="preserve">﴿ خَتَمَ اللَّهُ </w:t>
            </w:r>
            <w:proofErr w:type="spellStart"/>
            <w:r>
              <w:rPr>
                <w:b/>
                <w:bCs/>
                <w:color w:val="1B2A4A"/>
                <w:sz w:val="28"/>
                <w:szCs w:val="28"/>
              </w:rPr>
              <w:t>عَلَىٰ</w:t>
            </w:r>
            <w:proofErr w:type="spellEnd"/>
            <w:r>
              <w:rPr>
                <w:b/>
                <w:bCs/>
                <w:color w:val="1B2A4A"/>
                <w:sz w:val="28"/>
                <w:szCs w:val="28"/>
              </w:rPr>
              <w:t xml:space="preserve"> قُلُوبِهِمْ </w:t>
            </w:r>
            <w:proofErr w:type="spellStart"/>
            <w:r>
              <w:rPr>
                <w:b/>
                <w:bCs/>
                <w:color w:val="1B2A4A"/>
                <w:sz w:val="28"/>
                <w:szCs w:val="28"/>
              </w:rPr>
              <w:t>وَعَلَىٰ</w:t>
            </w:r>
            <w:proofErr w:type="spellEnd"/>
            <w:r>
              <w:rPr>
                <w:b/>
                <w:bCs/>
                <w:color w:val="1B2A4A"/>
                <w:sz w:val="28"/>
                <w:szCs w:val="28"/>
              </w:rPr>
              <w:t xml:space="preserve"> سَمْعِهِمْ ۖ </w:t>
            </w:r>
            <w:proofErr w:type="spellStart"/>
            <w:r>
              <w:rPr>
                <w:b/>
                <w:bCs/>
                <w:color w:val="1B2A4A"/>
                <w:sz w:val="28"/>
                <w:szCs w:val="28"/>
              </w:rPr>
              <w:t>وَعَلَىٰ</w:t>
            </w:r>
            <w:proofErr w:type="spellEnd"/>
            <w:r>
              <w:rPr>
                <w:b/>
                <w:bCs/>
                <w:color w:val="1B2A4A"/>
                <w:sz w:val="28"/>
                <w:szCs w:val="28"/>
              </w:rPr>
              <w:t xml:space="preserve"> أَبْصَارِهِمْ غِشَاوَةٌ ﴾</w:t>
            </w:r>
          </w:p>
          <w:p w14:paraId="638D8FE4" w14:textId="77777777" w:rsidR="004C7FA8" w:rsidRDefault="00E86F68">
            <w:pPr>
              <w:jc w:val="center"/>
              <w:rPr>
                <w:rFonts w:cs="Arial"/>
              </w:rPr>
            </w:pPr>
            <w:r>
              <w:rPr>
                <w:b/>
                <w:bCs/>
                <w:color w:val="B8860B"/>
                <w:sz w:val="22"/>
                <w:szCs w:val="22"/>
              </w:rPr>
              <w:t>البقرة: 7</w:t>
            </w:r>
          </w:p>
        </w:tc>
      </w:tr>
    </w:tbl>
    <w:p w14:paraId="58849380" w14:textId="77777777" w:rsidR="004C7FA8" w:rsidRDefault="004C7FA8">
      <w:pPr>
        <w:spacing w:after="150"/>
        <w:rPr>
          <w:rFonts w:cs="Arial"/>
        </w:rPr>
      </w:pPr>
    </w:p>
    <w:p w14:paraId="711B7EB2" w14:textId="77777777" w:rsidR="004C7FA8" w:rsidRDefault="00E86F68">
      <w:pPr>
        <w:spacing w:after="200" w:line="340" w:lineRule="auto"/>
        <w:jc w:val="both"/>
        <w:rPr>
          <w:rFonts w:cs="Arial"/>
        </w:rPr>
      </w:pPr>
      <w:r>
        <w:rPr>
          <w:color w:val="1A1A1A"/>
        </w:rPr>
        <w:t>الأم: ارتفاع ضغطها هو علامة على أن اللوامة لديها ليست ميتة، بل مكبوتة. الحدث أيقظها، لكنها لم تستطع التعبير، فعبَّر الجسد. وهذا فارق تشخيصي مهم بين حالتي الأب والأم: الأب في حالة "طبع" (إغلاق كامل)، بينما الأم في حالة "حجب مؤقت" (</w:t>
      </w:r>
      <w:proofErr w:type="spellStart"/>
      <w:r>
        <w:rPr>
          <w:color w:val="1A1A1A"/>
        </w:rPr>
        <w:t>Suppression</w:t>
      </w:r>
      <w:proofErr w:type="spellEnd"/>
      <w:r>
        <w:rPr>
          <w:color w:val="1A1A1A"/>
        </w:rPr>
        <w:t>) قابل نظريًّا لإعادة التفعيل إن توفرت بيئة آمنة تسمح بالتعبير الصحي، وهذا يفتح بابًا علاجيًّا مهمًّا لها لم يُستثمر بعد في السياق الوصفي للحالة.</w:t>
      </w:r>
    </w:p>
    <w:p w14:paraId="46D873C4" w14:textId="77777777" w:rsidR="004C7FA8" w:rsidRDefault="00E86F68">
      <w:pPr>
        <w:rPr>
          <w:rFonts w:cs="Arial"/>
        </w:rPr>
      </w:pPr>
      <w:r>
        <w:br w:type="page"/>
      </w:r>
    </w:p>
    <w:p w14:paraId="78DDFED7" w14:textId="77777777" w:rsidR="004C7FA8" w:rsidRDefault="00E86F68">
      <w:pPr>
        <w:pStyle w:val="1"/>
        <w:pBdr>
          <w:bottom w:val="single" w:sz="6" w:space="4" w:color="B8860B"/>
        </w:pBdr>
        <w:bidi/>
        <w:spacing w:before="360" w:after="200"/>
        <w:jc w:val="right"/>
        <w:rPr>
          <w:rFonts w:cs="Arial"/>
        </w:rPr>
      </w:pPr>
      <w:r>
        <w:rPr>
          <w:b/>
          <w:bCs/>
          <w:color w:val="1B2A4A"/>
          <w:sz w:val="68"/>
          <w:szCs w:val="68"/>
        </w:rPr>
        <w:t>الفصل السادس: آفاق المستقبل – نحو النفس المطمئنة وربطها ببروتوكول TLRT</w:t>
      </w:r>
    </w:p>
    <w:p w14:paraId="778679BC" w14:textId="77777777" w:rsidR="004C7FA8" w:rsidRDefault="00E86F68">
      <w:pPr>
        <w:pStyle w:val="2"/>
        <w:pBdr>
          <w:bottom w:val="single" w:sz="6" w:space="4" w:color="B8860B"/>
        </w:pBdr>
        <w:bidi/>
        <w:spacing w:before="360" w:after="200"/>
        <w:jc w:val="right"/>
        <w:rPr>
          <w:rFonts w:cs="Arial"/>
        </w:rPr>
      </w:pPr>
      <w:r>
        <w:rPr>
          <w:b/>
          <w:bCs/>
          <w:color w:val="1F6F6F"/>
          <w:sz w:val="56"/>
          <w:szCs w:val="56"/>
        </w:rPr>
        <w:t>6.1 تحديات الابنة في زواجها</w:t>
      </w:r>
    </w:p>
    <w:p w14:paraId="7CF91642" w14:textId="77777777" w:rsidR="004C7FA8" w:rsidRDefault="00E86F68">
      <w:pPr>
        <w:spacing w:after="200" w:line="340" w:lineRule="auto"/>
        <w:jc w:val="both"/>
        <w:rPr>
          <w:rFonts w:cs="Arial"/>
        </w:rPr>
      </w:pPr>
      <w:r>
        <w:rPr>
          <w:color w:val="1A1A1A"/>
        </w:rPr>
        <w:t>بناءً على النموذج الاستخلافي، ستواجه الابنة في زواجها الجديد تحديات تتعلق بـ"إعادة ضبط الأضلاع":</w:t>
      </w:r>
    </w:p>
    <w:p w14:paraId="7AD7D0A4" w14:textId="77777777" w:rsidR="004C7FA8" w:rsidRDefault="00E86F68">
      <w:pPr>
        <w:pStyle w:val="a4"/>
        <w:numPr>
          <w:ilvl w:val="0"/>
          <w:numId w:val="1"/>
        </w:numPr>
        <w:bidi/>
        <w:spacing w:after="120" w:line="320" w:lineRule="auto"/>
        <w:jc w:val="right"/>
        <w:rPr>
          <w:rFonts w:cs="Arial"/>
        </w:rPr>
      </w:pPr>
      <w:r>
        <w:rPr>
          <w:color w:val="1A1A1A"/>
        </w:rPr>
        <w:t>خطر إعادة إنتاج الخضوع: قد تنزلق لا إرادياً إلى دور "الأم الخاضعة" مع زوجها، لأن هذا هو النموذج الذي تعلمته. تحتاج إلى وعي دائم (تفعيل اللوامة) لتصحيح ذلك.</w:t>
      </w:r>
    </w:p>
    <w:p w14:paraId="446C2EB8" w14:textId="77777777" w:rsidR="004C7FA8" w:rsidRDefault="00E86F68">
      <w:pPr>
        <w:pStyle w:val="a4"/>
        <w:numPr>
          <w:ilvl w:val="0"/>
          <w:numId w:val="1"/>
        </w:numPr>
        <w:bidi/>
        <w:spacing w:after="120" w:line="320" w:lineRule="auto"/>
        <w:jc w:val="right"/>
        <w:rPr>
          <w:rFonts w:cs="Arial"/>
        </w:rPr>
      </w:pPr>
      <w:r>
        <w:rPr>
          <w:color w:val="1A1A1A"/>
        </w:rPr>
        <w:t>خطر التمرد المدمر: قد تبالغ في رد فعلها ضد أي سلطة، فترى في كل طلب من زوجها "استحواذاً" أبَوياً، مما يهدد العلاقة. تحتاج إلى توازن (النفس المطمئنة) التي تعطي كل ذي حق حقه.</w:t>
      </w:r>
    </w:p>
    <w:p w14:paraId="05492E86" w14:textId="77777777" w:rsidR="004C7FA8" w:rsidRDefault="00E86F68">
      <w:pPr>
        <w:pStyle w:val="a4"/>
        <w:numPr>
          <w:ilvl w:val="0"/>
          <w:numId w:val="1"/>
        </w:numPr>
        <w:bidi/>
        <w:spacing w:after="120" w:line="320" w:lineRule="auto"/>
        <w:jc w:val="right"/>
        <w:rPr>
          <w:rFonts w:cs="Arial"/>
        </w:rPr>
      </w:pPr>
      <w:r>
        <w:rPr>
          <w:color w:val="1A1A1A"/>
        </w:rPr>
        <w:t>خطر نقل الجرح للأبناء: إذا لم تعالج جذور مشكلتها، فقد تنقل أنماط التعلق غير الآمنة لأبنائها، كما حدث مع أمها [الزراع، مفهوم نقل التعلق].</w:t>
      </w:r>
    </w:p>
    <w:p w14:paraId="638A90D0" w14:textId="77777777" w:rsidR="004C7FA8" w:rsidRDefault="00E86F68">
      <w:pPr>
        <w:pStyle w:val="2"/>
        <w:pBdr>
          <w:bottom w:val="single" w:sz="6" w:space="4" w:color="B8860B"/>
        </w:pBdr>
        <w:bidi/>
        <w:spacing w:before="360" w:after="200"/>
        <w:jc w:val="right"/>
        <w:rPr>
          <w:rFonts w:cs="Arial"/>
        </w:rPr>
      </w:pPr>
      <w:r>
        <w:rPr>
          <w:b/>
          <w:bCs/>
          <w:color w:val="1F6F6F"/>
          <w:sz w:val="56"/>
          <w:szCs w:val="56"/>
        </w:rPr>
        <w:t>6.2 وصفة التحول: الكينتسوغي النفسي والجسر السلوكي</w:t>
      </w:r>
    </w:p>
    <w:p w14:paraId="55E25600" w14:textId="77777777" w:rsidR="004C7FA8" w:rsidRDefault="00E86F68">
      <w:pPr>
        <w:spacing w:after="160" w:line="340" w:lineRule="auto"/>
        <w:jc w:val="both"/>
        <w:rPr>
          <w:rFonts w:cs="Arial"/>
        </w:rPr>
      </w:pPr>
      <w:r>
        <w:rPr>
          <w:b/>
          <w:bCs/>
          <w:color w:val="1F6F6F"/>
        </w:rPr>
        <w:t xml:space="preserve">1. </w:t>
      </w:r>
      <w:r>
        <w:rPr>
          <w:color w:val="1A1A1A"/>
        </w:rPr>
        <w:t>التوبة والاستغفار: ليس عن ذنب ارتكبته، بل عن تقصيرها في حق نفسها. الاستغفار يفتح باب الرحمة [الضلع الثامن].</w:t>
      </w:r>
    </w:p>
    <w:p w14:paraId="670A210E" w14:textId="77777777" w:rsidR="004C7FA8" w:rsidRDefault="00E86F68">
      <w:pPr>
        <w:spacing w:after="160" w:line="340" w:lineRule="auto"/>
        <w:jc w:val="both"/>
        <w:rPr>
          <w:rFonts w:cs="Arial"/>
        </w:rPr>
      </w:pPr>
      <w:r>
        <w:rPr>
          <w:b/>
          <w:bCs/>
          <w:color w:val="1F6F6F"/>
        </w:rPr>
        <w:t xml:space="preserve">2. </w:t>
      </w:r>
      <w:r>
        <w:rPr>
          <w:color w:val="1A1A1A"/>
        </w:rPr>
        <w:t>بناء "قاعدة آمنة" في علاقتها بالله: من خلال الصلاة والذكر والدعاء، تتعلم أن الأمان الحقيقي من الله، لا من البشر. هذا ينمي النفس المطمئنة.</w:t>
      </w:r>
    </w:p>
    <w:p w14:paraId="0AA2F4E0" w14:textId="77777777" w:rsidR="004C7FA8" w:rsidRDefault="00E86F68">
      <w:pPr>
        <w:spacing w:after="160" w:line="340" w:lineRule="auto"/>
        <w:jc w:val="both"/>
        <w:rPr>
          <w:rFonts w:cs="Arial"/>
        </w:rPr>
      </w:pPr>
      <w:r>
        <w:rPr>
          <w:b/>
          <w:bCs/>
          <w:color w:val="1F6F6F"/>
        </w:rPr>
        <w:t xml:space="preserve">3. </w:t>
      </w:r>
      <w:r>
        <w:rPr>
          <w:color w:val="1A1A1A"/>
        </w:rPr>
        <w:t>ممارسة "الجسر السلوكي": اتخاذ خطوات عملية صغيرة لتعزيز استقلاليتها (مثل المشاركة في القرارات الأسرية، العمل، الدراسة) تحول الندم إلى فاعلية.</w:t>
      </w:r>
    </w:p>
    <w:p w14:paraId="2898E03C" w14:textId="77777777" w:rsidR="004C7FA8" w:rsidRDefault="00E86F68">
      <w:pPr>
        <w:spacing w:after="160" w:line="340" w:lineRule="auto"/>
        <w:jc w:val="both"/>
        <w:rPr>
          <w:rFonts w:cs="Arial"/>
        </w:rPr>
      </w:pPr>
      <w:r>
        <w:rPr>
          <w:b/>
          <w:bCs/>
          <w:color w:val="1F6F6F"/>
        </w:rPr>
        <w:t xml:space="preserve">4. </w:t>
      </w:r>
      <w:r>
        <w:rPr>
          <w:color w:val="1A1A1A"/>
        </w:rPr>
        <w:t>الصحبة الصالحة: اختيار أصدقاء ومجتمع يدعمون نموها الروحي والنفسي، بعيداً عن النماذج السامة.</w:t>
      </w:r>
    </w:p>
    <w:p w14:paraId="0BDF33BE" w14:textId="77777777" w:rsidR="004C7FA8" w:rsidRDefault="00E86F68">
      <w:pPr>
        <w:pStyle w:val="2"/>
        <w:pBdr>
          <w:bottom w:val="single" w:sz="6" w:space="4" w:color="B8860B"/>
        </w:pBdr>
        <w:bidi/>
        <w:spacing w:before="360" w:after="200"/>
        <w:jc w:val="right"/>
        <w:rPr>
          <w:rFonts w:cs="Arial"/>
        </w:rPr>
      </w:pPr>
      <w:r>
        <w:rPr>
          <w:b/>
          <w:bCs/>
          <w:color w:val="1F6F6F"/>
          <w:sz w:val="56"/>
          <w:szCs w:val="56"/>
        </w:rPr>
        <w:t>6.3 التطبيق الإكلينيكي: ربط الحالة ببروتوكول TLRT</w:t>
      </w:r>
    </w:p>
    <w:p w14:paraId="0CD0C09D" w14:textId="77777777" w:rsidR="004C7FA8" w:rsidRDefault="00E86F68">
      <w:pPr>
        <w:spacing w:after="200" w:line="340" w:lineRule="auto"/>
        <w:jc w:val="both"/>
        <w:rPr>
          <w:rFonts w:cs="Arial"/>
        </w:rPr>
      </w:pPr>
      <w:r>
        <w:rPr>
          <w:color w:val="1A1A1A"/>
        </w:rPr>
        <w:t>يتيح بروتوكول العلاج التحويلي التصالحي (TLRT) إطارًا إجرائيًّا مرحليًّا يمكن أن يترجم هذه الوصفة النظرية إلى خطة تدخل قابلة للتطبيق مع كل فرد من أفراد الأسرة:</w:t>
      </w:r>
    </w:p>
    <w:p w14:paraId="3F7A108A" w14:textId="77777777" w:rsidR="004C7FA8" w:rsidRDefault="00E86F68">
      <w:pPr>
        <w:spacing w:after="200" w:line="340" w:lineRule="auto"/>
        <w:jc w:val="both"/>
        <w:rPr>
          <w:rFonts w:cs="Arial"/>
        </w:rPr>
      </w:pPr>
      <w:r>
        <w:rPr>
          <w:b/>
          <w:bCs/>
          <w:color w:val="1B2A4A"/>
        </w:rPr>
        <w:t>مرحلة الوعي (</w:t>
      </w:r>
      <w:proofErr w:type="spellStart"/>
      <w:r>
        <w:rPr>
          <w:b/>
          <w:bCs/>
          <w:color w:val="1B2A4A"/>
        </w:rPr>
        <w:t>Awareness</w:t>
      </w:r>
      <w:proofErr w:type="spellEnd"/>
      <w:r>
        <w:rPr>
          <w:b/>
          <w:bCs/>
          <w:color w:val="1B2A4A"/>
        </w:rPr>
        <w:t xml:space="preserve">): </w:t>
      </w:r>
      <w:r>
        <w:rPr>
          <w:color w:val="1A1A1A"/>
        </w:rPr>
        <w:t>تُستثمر خصوصًا مع الأم، لمساعدتها على تسمية مشاعرها المكبوتة (الغضب، الخوف، الشعور بالظلم) بدل تصريفها جسديًّا، عبر تقنيات الكتابة التعبيرية والحوار العلاجي الموجَّه.</w:t>
      </w:r>
    </w:p>
    <w:p w14:paraId="48D95F3D" w14:textId="77777777" w:rsidR="004C7FA8" w:rsidRDefault="00E86F68">
      <w:pPr>
        <w:spacing w:after="200" w:line="340" w:lineRule="auto"/>
        <w:jc w:val="both"/>
        <w:rPr>
          <w:rFonts w:cs="Arial"/>
        </w:rPr>
      </w:pPr>
      <w:r>
        <w:rPr>
          <w:b/>
          <w:bCs/>
          <w:color w:val="1B2A4A"/>
        </w:rPr>
        <w:t>مرحلة المواجهة الصادقة (</w:t>
      </w:r>
      <w:proofErr w:type="spellStart"/>
      <w:r>
        <w:rPr>
          <w:b/>
          <w:bCs/>
          <w:color w:val="1B2A4A"/>
        </w:rPr>
        <w:t>Confrontation</w:t>
      </w:r>
      <w:proofErr w:type="spellEnd"/>
      <w:r>
        <w:rPr>
          <w:b/>
          <w:bCs/>
          <w:color w:val="1B2A4A"/>
        </w:rPr>
        <w:t xml:space="preserve">): </w:t>
      </w:r>
      <w:r>
        <w:rPr>
          <w:color w:val="1A1A1A"/>
        </w:rPr>
        <w:t>تُستثمر مع الابنة لتثبيت الضلع الخامس (الأمارة ← اللوامة) بوصفه مكسبًا دائمًا لا نوبة عابرة، عبر تمارين تثبيت الحدود الشخصية (</w:t>
      </w:r>
      <w:proofErr w:type="spellStart"/>
      <w:r>
        <w:rPr>
          <w:color w:val="1A1A1A"/>
        </w:rPr>
        <w:t>Boundary-Setting</w:t>
      </w:r>
      <w:proofErr w:type="spellEnd"/>
      <w:r>
        <w:rPr>
          <w:color w:val="1A1A1A"/>
        </w:rPr>
        <w:t>) بلغة تجمع بين الحزم النفسي والأدب الشرعي في التعامل مع الوالدين.</w:t>
      </w:r>
    </w:p>
    <w:p w14:paraId="56279095" w14:textId="77777777" w:rsidR="004C7FA8" w:rsidRDefault="00E86F68">
      <w:pPr>
        <w:spacing w:after="200" w:line="340" w:lineRule="auto"/>
        <w:jc w:val="both"/>
        <w:rPr>
          <w:rFonts w:cs="Arial"/>
        </w:rPr>
      </w:pPr>
      <w:r>
        <w:rPr>
          <w:b/>
          <w:bCs/>
          <w:color w:val="1B2A4A"/>
        </w:rPr>
        <w:t>مرحلة إعادة البناء (</w:t>
      </w:r>
      <w:proofErr w:type="spellStart"/>
      <w:r>
        <w:rPr>
          <w:b/>
          <w:bCs/>
          <w:color w:val="1B2A4A"/>
        </w:rPr>
        <w:t>Reconciliation</w:t>
      </w:r>
      <w:proofErr w:type="spellEnd"/>
      <w:r>
        <w:rPr>
          <w:b/>
          <w:bCs/>
          <w:color w:val="1B2A4A"/>
        </w:rPr>
        <w:t>/</w:t>
      </w:r>
      <w:proofErr w:type="spellStart"/>
      <w:r>
        <w:rPr>
          <w:b/>
          <w:bCs/>
          <w:color w:val="1B2A4A"/>
        </w:rPr>
        <w:t>Rebuilding</w:t>
      </w:r>
      <w:proofErr w:type="spellEnd"/>
      <w:r>
        <w:rPr>
          <w:b/>
          <w:bCs/>
          <w:color w:val="1B2A4A"/>
        </w:rPr>
        <w:t xml:space="preserve">): </w:t>
      </w:r>
      <w:r>
        <w:rPr>
          <w:color w:val="1A1A1A"/>
        </w:rPr>
        <w:t>وهي الأصعب مع الأب، إذ تتطلب اختراقًا لجدار "طبع القلب"؛ ويقترح البروتوكول هنا مدخل "الصدمة الرحيمة" (</w:t>
      </w:r>
      <w:proofErr w:type="spellStart"/>
      <w:r>
        <w:rPr>
          <w:color w:val="1A1A1A"/>
        </w:rPr>
        <w:t>Compassionate</w:t>
      </w:r>
      <w:proofErr w:type="spellEnd"/>
      <w:r>
        <w:rPr>
          <w:color w:val="1A1A1A"/>
        </w:rPr>
        <w:t xml:space="preserve"> </w:t>
      </w:r>
      <w:proofErr w:type="spellStart"/>
      <w:r>
        <w:rPr>
          <w:color w:val="1A1A1A"/>
        </w:rPr>
        <w:t>Confrontation</w:t>
      </w:r>
      <w:proofErr w:type="spellEnd"/>
      <w:r>
        <w:rPr>
          <w:color w:val="1A1A1A"/>
        </w:rPr>
        <w:t>) - مواجهة غير عدائية تُظهر للأب الأثر الفعلي لسلوكه على من يحب، مقرونة بفتح باب التوبة لا الإدانة المطلقة، مع تدنٍّ في احتمالية النجاح الإكلينيكي في هذه المرحلة تحديدًا نظرًا لعمق التحصن النرجسي، وهو ما يستوجب توقعات علاجية واقعية.</w:t>
      </w:r>
    </w:p>
    <w:p w14:paraId="46E293C6" w14:textId="77777777" w:rsidR="004C7FA8" w:rsidRDefault="00E86F68">
      <w:pPr>
        <w:spacing w:after="200" w:line="340" w:lineRule="auto"/>
        <w:jc w:val="both"/>
        <w:rPr>
          <w:rFonts w:cs="Arial"/>
        </w:rPr>
      </w:pPr>
      <w:r>
        <w:rPr>
          <w:color w:val="1A1A1A"/>
        </w:rPr>
        <w:t>ويُنبَّه هنا إلى أن هذا الربط بالبروتوكول استثمار تطبيقي مقترح ضمن هذه الدراسة، لا توصيفًا لتدخل إكلينيكي فعلي جرى مع الأسرة موضوع التحليل، وأن أي تطبيق واقعي يستوجب تقييمًا سريريًّا مباشرًا من مختص مؤهل.</w:t>
      </w:r>
    </w:p>
    <w:p w14:paraId="7D4BDF21" w14:textId="77777777" w:rsidR="004C7FA8" w:rsidRDefault="00E86F68">
      <w:pPr>
        <w:pStyle w:val="2"/>
        <w:pBdr>
          <w:bottom w:val="single" w:sz="6" w:space="4" w:color="B8860B"/>
        </w:pBdr>
        <w:bidi/>
        <w:spacing w:before="360" w:after="200"/>
        <w:jc w:val="right"/>
        <w:rPr>
          <w:rFonts w:cs="Arial"/>
        </w:rPr>
      </w:pPr>
      <w:r>
        <w:rPr>
          <w:b/>
          <w:bCs/>
          <w:color w:val="1F6F6F"/>
          <w:sz w:val="56"/>
          <w:szCs w:val="56"/>
        </w:rPr>
        <w:t>6.4 دور الزوج الجديد</w:t>
      </w:r>
    </w:p>
    <w:p w14:paraId="62BBEAC6" w14:textId="77777777" w:rsidR="004C7FA8" w:rsidRDefault="00E86F68">
      <w:pPr>
        <w:spacing w:after="200" w:line="340" w:lineRule="auto"/>
        <w:jc w:val="both"/>
        <w:rPr>
          <w:rFonts w:cs="Arial"/>
        </w:rPr>
      </w:pPr>
      <w:r>
        <w:rPr>
          <w:color w:val="1A1A1A"/>
        </w:rPr>
        <w:t>يمكن للزوج أن يكون "نعمة" إذا استطاع أن يوفر بيئة من الحب غير المشروط والاحترام، مما يساعدها على بناء "تعلق آمن مكتسب". لكن النموذج الاستخلافي يحذر من تحميل الزوج مسؤولية "إنقاذها"؛ فالشفاء الحقيقي يأتي من الداخل أولاً، بتوفيق الله.</w:t>
      </w:r>
    </w:p>
    <w:p w14:paraId="5E2A9C73" w14:textId="77777777" w:rsidR="004C7FA8" w:rsidRDefault="00E86F68">
      <w:pPr>
        <w:rPr>
          <w:rFonts w:cs="Arial"/>
        </w:rPr>
      </w:pPr>
      <w:r>
        <w:br w:type="page"/>
      </w:r>
    </w:p>
    <w:p w14:paraId="23C0BE8C" w14:textId="77777777" w:rsidR="004C7FA8" w:rsidRDefault="00E86F68">
      <w:pPr>
        <w:pStyle w:val="1"/>
        <w:pBdr>
          <w:bottom w:val="single" w:sz="6" w:space="4" w:color="B8860B"/>
        </w:pBdr>
        <w:bidi/>
        <w:spacing w:before="360" w:after="200"/>
        <w:jc w:val="right"/>
        <w:rPr>
          <w:rFonts w:cs="Arial"/>
        </w:rPr>
      </w:pPr>
      <w:r>
        <w:rPr>
          <w:b/>
          <w:bCs/>
          <w:color w:val="1B2A4A"/>
          <w:sz w:val="68"/>
          <w:szCs w:val="68"/>
        </w:rPr>
        <w:t>الفصل السابع: مقارنة موسّعة مع التحليل الغربي – خصوصية المنظور القرآني</w:t>
      </w:r>
    </w:p>
    <w:p w14:paraId="345AC160" w14:textId="77777777" w:rsidR="004C7FA8" w:rsidRDefault="00E86F68">
      <w:pPr>
        <w:spacing w:after="200" w:line="340" w:lineRule="auto"/>
        <w:jc w:val="both"/>
        <w:rPr>
          <w:rFonts w:cs="Arial"/>
        </w:rPr>
      </w:pPr>
      <w:r>
        <w:rPr>
          <w:color w:val="1A1A1A"/>
        </w:rPr>
        <w:t>يوسّع الجدول التالي المقارنة الواردة في الصيغة الأولى للدراسة بإضافة محاور جديدة تخص وحدة التحليل وآليات الدفاع النفسي ودور الألم في كل من الإطارين، بما يعكس عمق الحوار المقارن المطلوب:</w:t>
      </w:r>
    </w:p>
    <w:p w14:paraId="18B9426A" w14:textId="77777777" w:rsidR="004C7FA8" w:rsidRDefault="004C7FA8">
      <w:pPr>
        <w:spacing w:after="100"/>
        <w:rPr>
          <w:rFonts w:cs="Arial"/>
        </w:rPr>
      </w:pP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3600"/>
        <w:gridCol w:w="3600"/>
      </w:tblGrid>
      <w:tr w:rsidR="004C7FA8" w14:paraId="0FB98A59" w14:textId="77777777">
        <w:trPr>
          <w:tblHeader/>
        </w:trPr>
        <w:tc>
          <w:tcPr>
            <w:tcW w:w="2600" w:type="dxa"/>
            <w:shd w:val="clear" w:color="auto" w:fill="1B2A4A"/>
            <w:tcMar>
              <w:top w:w="140" w:type="dxa"/>
              <w:left w:w="150" w:type="dxa"/>
              <w:bottom w:w="140" w:type="dxa"/>
              <w:right w:w="150" w:type="dxa"/>
            </w:tcMar>
          </w:tcPr>
          <w:p w14:paraId="16359B60" w14:textId="77777777" w:rsidR="004C7FA8" w:rsidRDefault="00E86F68">
            <w:pPr>
              <w:jc w:val="center"/>
              <w:rPr>
                <w:rFonts w:cs="Arial"/>
              </w:rPr>
            </w:pPr>
            <w:r>
              <w:rPr>
                <w:b/>
                <w:bCs/>
                <w:color w:val="FFFFFF"/>
                <w:sz w:val="22"/>
                <w:szCs w:val="22"/>
              </w:rPr>
              <w:t>المحور</w:t>
            </w:r>
          </w:p>
        </w:tc>
        <w:tc>
          <w:tcPr>
            <w:tcW w:w="3600" w:type="dxa"/>
            <w:shd w:val="clear" w:color="auto" w:fill="1B2A4A"/>
            <w:tcMar>
              <w:top w:w="140" w:type="dxa"/>
              <w:left w:w="150" w:type="dxa"/>
              <w:bottom w:w="140" w:type="dxa"/>
              <w:right w:w="150" w:type="dxa"/>
            </w:tcMar>
          </w:tcPr>
          <w:p w14:paraId="21967490" w14:textId="77777777" w:rsidR="004C7FA8" w:rsidRDefault="00E86F68">
            <w:pPr>
              <w:jc w:val="center"/>
              <w:rPr>
                <w:rFonts w:cs="Arial"/>
              </w:rPr>
            </w:pPr>
            <w:r>
              <w:rPr>
                <w:b/>
                <w:bCs/>
                <w:color w:val="FFFFFF"/>
                <w:sz w:val="22"/>
                <w:szCs w:val="22"/>
              </w:rPr>
              <w:t>التحليل الغربي</w:t>
            </w:r>
          </w:p>
        </w:tc>
        <w:tc>
          <w:tcPr>
            <w:tcW w:w="3600" w:type="dxa"/>
            <w:shd w:val="clear" w:color="auto" w:fill="1B2A4A"/>
            <w:tcMar>
              <w:top w:w="140" w:type="dxa"/>
              <w:left w:w="150" w:type="dxa"/>
              <w:bottom w:w="140" w:type="dxa"/>
              <w:right w:w="150" w:type="dxa"/>
            </w:tcMar>
          </w:tcPr>
          <w:p w14:paraId="2402851E" w14:textId="77777777" w:rsidR="004C7FA8" w:rsidRDefault="00E86F68">
            <w:pPr>
              <w:jc w:val="center"/>
              <w:rPr>
                <w:rFonts w:cs="Arial"/>
              </w:rPr>
            </w:pPr>
            <w:r>
              <w:rPr>
                <w:b/>
                <w:bCs/>
                <w:color w:val="FFFFFF"/>
                <w:sz w:val="22"/>
                <w:szCs w:val="22"/>
              </w:rPr>
              <w:t>التحليل القرآني (الاستخلافي)</w:t>
            </w:r>
          </w:p>
        </w:tc>
      </w:tr>
      <w:tr w:rsidR="004C7FA8" w14:paraId="1F126D64" w14:textId="77777777">
        <w:tc>
          <w:tcPr>
            <w:tcW w:w="2600" w:type="dxa"/>
            <w:shd w:val="clear" w:color="auto" w:fill="FFFFFF"/>
            <w:tcMar>
              <w:top w:w="120" w:type="dxa"/>
              <w:left w:w="150" w:type="dxa"/>
              <w:bottom w:w="120" w:type="dxa"/>
              <w:right w:w="150" w:type="dxa"/>
            </w:tcMar>
          </w:tcPr>
          <w:p w14:paraId="5BFD1F85" w14:textId="77777777" w:rsidR="004C7FA8" w:rsidRDefault="00E86F68">
            <w:pPr>
              <w:jc w:val="right"/>
              <w:rPr>
                <w:rFonts w:cs="Arial"/>
              </w:rPr>
            </w:pPr>
            <w:r>
              <w:rPr>
                <w:color w:val="1A1A1A"/>
                <w:sz w:val="21"/>
                <w:szCs w:val="21"/>
              </w:rPr>
              <w:t>مصدر المشكلة</w:t>
            </w:r>
          </w:p>
        </w:tc>
        <w:tc>
          <w:tcPr>
            <w:tcW w:w="3600" w:type="dxa"/>
            <w:shd w:val="clear" w:color="auto" w:fill="FFFFFF"/>
            <w:tcMar>
              <w:top w:w="120" w:type="dxa"/>
              <w:left w:w="150" w:type="dxa"/>
              <w:bottom w:w="120" w:type="dxa"/>
              <w:right w:w="150" w:type="dxa"/>
            </w:tcMar>
          </w:tcPr>
          <w:p w14:paraId="18AF0B15" w14:textId="77777777" w:rsidR="004C7FA8" w:rsidRDefault="00E86F68">
            <w:pPr>
              <w:jc w:val="right"/>
              <w:rPr>
                <w:rFonts w:cs="Arial"/>
              </w:rPr>
            </w:pPr>
            <w:r>
              <w:rPr>
                <w:color w:val="1A1A1A"/>
                <w:sz w:val="21"/>
                <w:szCs w:val="21"/>
              </w:rPr>
              <w:t>أنماط تعلق غير آمنة في الطفولة، سمات شخصية مرضية (اضطراب الشخصية النرجسية DSM-5)</w:t>
            </w:r>
          </w:p>
        </w:tc>
        <w:tc>
          <w:tcPr>
            <w:tcW w:w="3600" w:type="dxa"/>
            <w:shd w:val="clear" w:color="auto" w:fill="FFFFFF"/>
            <w:tcMar>
              <w:top w:w="120" w:type="dxa"/>
              <w:left w:w="150" w:type="dxa"/>
              <w:bottom w:w="120" w:type="dxa"/>
              <w:right w:w="150" w:type="dxa"/>
            </w:tcMar>
          </w:tcPr>
          <w:p w14:paraId="0E48EF56" w14:textId="77777777" w:rsidR="004C7FA8" w:rsidRDefault="00E86F68">
            <w:pPr>
              <w:jc w:val="right"/>
              <w:rPr>
                <w:rFonts w:cs="Arial"/>
              </w:rPr>
            </w:pPr>
            <w:r>
              <w:rPr>
                <w:color w:val="1A1A1A"/>
                <w:sz w:val="21"/>
                <w:szCs w:val="21"/>
              </w:rPr>
              <w:t>اختلال في ميزان الفطرة (فجور وتقوى)، وتدخل البعد الرابع (الشيطان)</w:t>
            </w:r>
          </w:p>
        </w:tc>
      </w:tr>
      <w:tr w:rsidR="004C7FA8" w14:paraId="7EAEDEFE" w14:textId="77777777">
        <w:tc>
          <w:tcPr>
            <w:tcW w:w="2600" w:type="dxa"/>
            <w:shd w:val="clear" w:color="auto" w:fill="FFFFFF"/>
            <w:tcMar>
              <w:top w:w="120" w:type="dxa"/>
              <w:left w:w="150" w:type="dxa"/>
              <w:bottom w:w="120" w:type="dxa"/>
              <w:right w:w="150" w:type="dxa"/>
            </w:tcMar>
          </w:tcPr>
          <w:p w14:paraId="20FB632E" w14:textId="77777777" w:rsidR="004C7FA8" w:rsidRDefault="00E86F68">
            <w:pPr>
              <w:jc w:val="right"/>
              <w:rPr>
                <w:rFonts w:cs="Arial"/>
              </w:rPr>
            </w:pPr>
            <w:r>
              <w:rPr>
                <w:color w:val="1A1A1A"/>
                <w:sz w:val="21"/>
                <w:szCs w:val="21"/>
              </w:rPr>
              <w:t>طبيعة الصراع</w:t>
            </w:r>
          </w:p>
        </w:tc>
        <w:tc>
          <w:tcPr>
            <w:tcW w:w="3600" w:type="dxa"/>
            <w:shd w:val="clear" w:color="auto" w:fill="FFFFFF"/>
            <w:tcMar>
              <w:top w:w="120" w:type="dxa"/>
              <w:left w:w="150" w:type="dxa"/>
              <w:bottom w:w="120" w:type="dxa"/>
              <w:right w:w="150" w:type="dxa"/>
            </w:tcMar>
          </w:tcPr>
          <w:p w14:paraId="6718AAFC" w14:textId="77777777" w:rsidR="004C7FA8" w:rsidRDefault="00E86F68">
            <w:pPr>
              <w:jc w:val="right"/>
              <w:rPr>
                <w:rFonts w:cs="Arial"/>
              </w:rPr>
            </w:pPr>
            <w:r>
              <w:rPr>
                <w:color w:val="1A1A1A"/>
                <w:sz w:val="21"/>
                <w:szCs w:val="21"/>
              </w:rPr>
              <w:t>صراع نفسي بين الذات والآخر، أو بين أجزاء الذات (الأنا المثالية مقابل الأنا الواقعية)</w:t>
            </w:r>
          </w:p>
        </w:tc>
        <w:tc>
          <w:tcPr>
            <w:tcW w:w="3600" w:type="dxa"/>
            <w:shd w:val="clear" w:color="auto" w:fill="FFFFFF"/>
            <w:tcMar>
              <w:top w:w="120" w:type="dxa"/>
              <w:left w:w="150" w:type="dxa"/>
              <w:bottom w:w="120" w:type="dxa"/>
              <w:right w:w="150" w:type="dxa"/>
            </w:tcMar>
          </w:tcPr>
          <w:p w14:paraId="38646621" w14:textId="77777777" w:rsidR="004C7FA8" w:rsidRDefault="00E86F68">
            <w:pPr>
              <w:jc w:val="right"/>
              <w:rPr>
                <w:rFonts w:cs="Arial"/>
              </w:rPr>
            </w:pPr>
            <w:r>
              <w:rPr>
                <w:color w:val="1A1A1A"/>
                <w:sz w:val="21"/>
                <w:szCs w:val="21"/>
              </w:rPr>
              <w:t>صراع وجودي بين قوى الخير والشر، بين الأمارة واللوامة، وبين هداية الله ووسوسة الشيطان</w:t>
            </w:r>
          </w:p>
        </w:tc>
      </w:tr>
      <w:tr w:rsidR="004C7FA8" w14:paraId="22D8E721" w14:textId="77777777">
        <w:tc>
          <w:tcPr>
            <w:tcW w:w="2600" w:type="dxa"/>
            <w:shd w:val="clear" w:color="auto" w:fill="FFFFFF"/>
            <w:tcMar>
              <w:top w:w="120" w:type="dxa"/>
              <w:left w:w="150" w:type="dxa"/>
              <w:bottom w:w="120" w:type="dxa"/>
              <w:right w:w="150" w:type="dxa"/>
            </w:tcMar>
          </w:tcPr>
          <w:p w14:paraId="15ADC2C4" w14:textId="77777777" w:rsidR="004C7FA8" w:rsidRDefault="00E86F68">
            <w:pPr>
              <w:jc w:val="right"/>
              <w:rPr>
                <w:rFonts w:cs="Arial"/>
              </w:rPr>
            </w:pPr>
            <w:r>
              <w:rPr>
                <w:color w:val="1A1A1A"/>
                <w:sz w:val="21"/>
                <w:szCs w:val="21"/>
              </w:rPr>
              <w:t>وحدة التحليل</w:t>
            </w:r>
          </w:p>
        </w:tc>
        <w:tc>
          <w:tcPr>
            <w:tcW w:w="3600" w:type="dxa"/>
            <w:shd w:val="clear" w:color="auto" w:fill="FFFFFF"/>
            <w:tcMar>
              <w:top w:w="120" w:type="dxa"/>
              <w:left w:w="150" w:type="dxa"/>
              <w:bottom w:w="120" w:type="dxa"/>
              <w:right w:w="150" w:type="dxa"/>
            </w:tcMar>
          </w:tcPr>
          <w:p w14:paraId="4615A2DC" w14:textId="77777777" w:rsidR="004C7FA8" w:rsidRDefault="00E86F68">
            <w:pPr>
              <w:jc w:val="right"/>
              <w:rPr>
                <w:rFonts w:cs="Arial"/>
              </w:rPr>
            </w:pPr>
            <w:r>
              <w:rPr>
                <w:color w:val="1A1A1A"/>
                <w:sz w:val="21"/>
                <w:szCs w:val="21"/>
              </w:rPr>
              <w:t>الفرد ضمن نسق أسري (</w:t>
            </w:r>
            <w:proofErr w:type="spellStart"/>
            <w:r>
              <w:rPr>
                <w:color w:val="1A1A1A"/>
                <w:sz w:val="21"/>
                <w:szCs w:val="21"/>
              </w:rPr>
              <w:t>Bowen</w:t>
            </w:r>
            <w:proofErr w:type="spellEnd"/>
            <w:r>
              <w:rPr>
                <w:color w:val="1A1A1A"/>
                <w:sz w:val="21"/>
                <w:szCs w:val="21"/>
              </w:rPr>
              <w:t xml:space="preserve">، </w:t>
            </w:r>
            <w:proofErr w:type="spellStart"/>
            <w:r>
              <w:rPr>
                <w:color w:val="1A1A1A"/>
                <w:sz w:val="21"/>
                <w:szCs w:val="21"/>
              </w:rPr>
              <w:t>Minuchin</w:t>
            </w:r>
            <w:proofErr w:type="spellEnd"/>
            <w:r>
              <w:rPr>
                <w:color w:val="1A1A1A"/>
                <w:sz w:val="21"/>
                <w:szCs w:val="21"/>
              </w:rPr>
              <w:t>)</w:t>
            </w:r>
          </w:p>
        </w:tc>
        <w:tc>
          <w:tcPr>
            <w:tcW w:w="3600" w:type="dxa"/>
            <w:shd w:val="clear" w:color="auto" w:fill="FFFFFF"/>
            <w:tcMar>
              <w:top w:w="120" w:type="dxa"/>
              <w:left w:w="150" w:type="dxa"/>
              <w:bottom w:w="120" w:type="dxa"/>
              <w:right w:w="150" w:type="dxa"/>
            </w:tcMar>
          </w:tcPr>
          <w:p w14:paraId="47159A9A" w14:textId="77777777" w:rsidR="004C7FA8" w:rsidRDefault="00E86F68">
            <w:pPr>
              <w:jc w:val="right"/>
              <w:rPr>
                <w:rFonts w:cs="Arial"/>
              </w:rPr>
            </w:pPr>
            <w:r>
              <w:rPr>
                <w:color w:val="1A1A1A"/>
                <w:sz w:val="21"/>
                <w:szCs w:val="21"/>
              </w:rPr>
              <w:t>النفس ضمن شبكة الأضلاع الثمانية والبعد الغيبي</w:t>
            </w:r>
          </w:p>
        </w:tc>
      </w:tr>
      <w:tr w:rsidR="004C7FA8" w14:paraId="14A232D5" w14:textId="77777777">
        <w:tc>
          <w:tcPr>
            <w:tcW w:w="2600" w:type="dxa"/>
            <w:shd w:val="clear" w:color="auto" w:fill="FFFFFF"/>
            <w:tcMar>
              <w:top w:w="120" w:type="dxa"/>
              <w:left w:w="150" w:type="dxa"/>
              <w:bottom w:w="120" w:type="dxa"/>
              <w:right w:w="150" w:type="dxa"/>
            </w:tcMar>
          </w:tcPr>
          <w:p w14:paraId="7627A704" w14:textId="77777777" w:rsidR="004C7FA8" w:rsidRDefault="00E86F68">
            <w:pPr>
              <w:jc w:val="right"/>
              <w:rPr>
                <w:rFonts w:cs="Arial"/>
              </w:rPr>
            </w:pPr>
            <w:r>
              <w:rPr>
                <w:color w:val="1A1A1A"/>
                <w:sz w:val="21"/>
                <w:szCs w:val="21"/>
              </w:rPr>
              <w:t>آلية الدفاع النفسي</w:t>
            </w:r>
          </w:p>
        </w:tc>
        <w:tc>
          <w:tcPr>
            <w:tcW w:w="3600" w:type="dxa"/>
            <w:shd w:val="clear" w:color="auto" w:fill="FFFFFF"/>
            <w:tcMar>
              <w:top w:w="120" w:type="dxa"/>
              <w:left w:w="150" w:type="dxa"/>
              <w:bottom w:w="120" w:type="dxa"/>
              <w:right w:w="150" w:type="dxa"/>
            </w:tcMar>
          </w:tcPr>
          <w:p w14:paraId="6A3F2FF9" w14:textId="77777777" w:rsidR="004C7FA8" w:rsidRDefault="00E86F68">
            <w:pPr>
              <w:jc w:val="right"/>
              <w:rPr>
                <w:rFonts w:cs="Arial"/>
              </w:rPr>
            </w:pPr>
            <w:r>
              <w:rPr>
                <w:color w:val="1A1A1A"/>
                <w:sz w:val="21"/>
                <w:szCs w:val="21"/>
              </w:rPr>
              <w:t>الإسقاط، الإنكار، التقمص المرضي (</w:t>
            </w:r>
            <w:proofErr w:type="spellStart"/>
            <w:r>
              <w:rPr>
                <w:color w:val="1A1A1A"/>
                <w:sz w:val="21"/>
                <w:szCs w:val="21"/>
              </w:rPr>
              <w:t>Kernberg</w:t>
            </w:r>
            <w:proofErr w:type="spellEnd"/>
            <w:r>
              <w:rPr>
                <w:color w:val="1A1A1A"/>
                <w:sz w:val="21"/>
                <w:szCs w:val="21"/>
              </w:rPr>
              <w:t xml:space="preserve">، </w:t>
            </w:r>
            <w:proofErr w:type="spellStart"/>
            <w:r>
              <w:rPr>
                <w:color w:val="1A1A1A"/>
                <w:sz w:val="21"/>
                <w:szCs w:val="21"/>
              </w:rPr>
              <w:t>Kohut</w:t>
            </w:r>
            <w:proofErr w:type="spellEnd"/>
            <w:r>
              <w:rPr>
                <w:color w:val="1A1A1A"/>
                <w:sz w:val="21"/>
                <w:szCs w:val="21"/>
              </w:rPr>
              <w:t>)</w:t>
            </w:r>
          </w:p>
        </w:tc>
        <w:tc>
          <w:tcPr>
            <w:tcW w:w="3600" w:type="dxa"/>
            <w:shd w:val="clear" w:color="auto" w:fill="FFFFFF"/>
            <w:tcMar>
              <w:top w:w="120" w:type="dxa"/>
              <w:left w:w="150" w:type="dxa"/>
              <w:bottom w:w="120" w:type="dxa"/>
              <w:right w:w="150" w:type="dxa"/>
            </w:tcMar>
          </w:tcPr>
          <w:p w14:paraId="1520567A" w14:textId="77777777" w:rsidR="004C7FA8" w:rsidRDefault="00E86F68">
            <w:pPr>
              <w:jc w:val="right"/>
              <w:rPr>
                <w:rFonts w:cs="Arial"/>
              </w:rPr>
            </w:pPr>
            <w:r>
              <w:rPr>
                <w:color w:val="1A1A1A"/>
                <w:sz w:val="21"/>
                <w:szCs w:val="21"/>
              </w:rPr>
              <w:t>تزيين الشيطان، تغليف الفجور بالمعارف، طبع القلب</w:t>
            </w:r>
          </w:p>
        </w:tc>
      </w:tr>
      <w:tr w:rsidR="004C7FA8" w14:paraId="151854EE" w14:textId="77777777">
        <w:tc>
          <w:tcPr>
            <w:tcW w:w="2600" w:type="dxa"/>
            <w:shd w:val="clear" w:color="auto" w:fill="FFFFFF"/>
            <w:tcMar>
              <w:top w:w="120" w:type="dxa"/>
              <w:left w:w="150" w:type="dxa"/>
              <w:bottom w:w="120" w:type="dxa"/>
              <w:right w:w="150" w:type="dxa"/>
            </w:tcMar>
          </w:tcPr>
          <w:p w14:paraId="2D84C4CF" w14:textId="77777777" w:rsidR="004C7FA8" w:rsidRDefault="00E86F68">
            <w:pPr>
              <w:jc w:val="right"/>
              <w:rPr>
                <w:rFonts w:cs="Arial"/>
              </w:rPr>
            </w:pPr>
            <w:r>
              <w:rPr>
                <w:color w:val="1A1A1A"/>
                <w:sz w:val="21"/>
                <w:szCs w:val="21"/>
              </w:rPr>
              <w:t>العلاج المقترح</w:t>
            </w:r>
          </w:p>
        </w:tc>
        <w:tc>
          <w:tcPr>
            <w:tcW w:w="3600" w:type="dxa"/>
            <w:shd w:val="clear" w:color="auto" w:fill="FFFFFF"/>
            <w:tcMar>
              <w:top w:w="120" w:type="dxa"/>
              <w:left w:w="150" w:type="dxa"/>
              <w:bottom w:w="120" w:type="dxa"/>
              <w:right w:w="150" w:type="dxa"/>
            </w:tcMar>
          </w:tcPr>
          <w:p w14:paraId="597F1236" w14:textId="77777777" w:rsidR="004C7FA8" w:rsidRDefault="00E86F68">
            <w:pPr>
              <w:jc w:val="right"/>
              <w:rPr>
                <w:rFonts w:cs="Arial"/>
              </w:rPr>
            </w:pPr>
            <w:r>
              <w:rPr>
                <w:color w:val="1A1A1A"/>
                <w:sz w:val="21"/>
                <w:szCs w:val="21"/>
              </w:rPr>
              <w:t>العلاج النفسي (فردي أو أسري)، إعادة بناء نماذج التعلق (</w:t>
            </w:r>
            <w:proofErr w:type="spellStart"/>
            <w:r>
              <w:rPr>
                <w:color w:val="1A1A1A"/>
                <w:sz w:val="21"/>
                <w:szCs w:val="21"/>
              </w:rPr>
              <w:t>Earned</w:t>
            </w:r>
            <w:proofErr w:type="spellEnd"/>
            <w:r>
              <w:rPr>
                <w:color w:val="1A1A1A"/>
                <w:sz w:val="21"/>
                <w:szCs w:val="21"/>
              </w:rPr>
              <w:t xml:space="preserve"> </w:t>
            </w:r>
            <w:proofErr w:type="spellStart"/>
            <w:r>
              <w:rPr>
                <w:color w:val="1A1A1A"/>
                <w:sz w:val="21"/>
                <w:szCs w:val="21"/>
              </w:rPr>
              <w:t>Security</w:t>
            </w:r>
            <w:proofErr w:type="spellEnd"/>
            <w:r>
              <w:rPr>
                <w:color w:val="1A1A1A"/>
                <w:sz w:val="21"/>
                <w:szCs w:val="21"/>
              </w:rPr>
              <w:t>)</w:t>
            </w:r>
          </w:p>
        </w:tc>
        <w:tc>
          <w:tcPr>
            <w:tcW w:w="3600" w:type="dxa"/>
            <w:shd w:val="clear" w:color="auto" w:fill="FFFFFF"/>
            <w:tcMar>
              <w:top w:w="120" w:type="dxa"/>
              <w:left w:w="150" w:type="dxa"/>
              <w:bottom w:w="120" w:type="dxa"/>
              <w:right w:w="150" w:type="dxa"/>
            </w:tcMar>
          </w:tcPr>
          <w:p w14:paraId="7AEA99B9" w14:textId="77777777" w:rsidR="004C7FA8" w:rsidRDefault="00E86F68">
            <w:pPr>
              <w:jc w:val="right"/>
              <w:rPr>
                <w:rFonts w:cs="Arial"/>
              </w:rPr>
            </w:pPr>
            <w:r>
              <w:rPr>
                <w:color w:val="1A1A1A"/>
                <w:sz w:val="21"/>
                <w:szCs w:val="21"/>
              </w:rPr>
              <w:t xml:space="preserve">التزكية، المجاهدة، الذكر، التوبة، بناء النفس المطمئنة، </w:t>
            </w:r>
            <w:proofErr w:type="spellStart"/>
            <w:r>
              <w:rPr>
                <w:color w:val="1A1A1A"/>
                <w:sz w:val="21"/>
                <w:szCs w:val="21"/>
              </w:rPr>
              <w:t>الاستعاذة</w:t>
            </w:r>
            <w:proofErr w:type="spellEnd"/>
            <w:r>
              <w:rPr>
                <w:color w:val="1A1A1A"/>
                <w:sz w:val="21"/>
                <w:szCs w:val="21"/>
              </w:rPr>
              <w:t xml:space="preserve"> من الشيطان</w:t>
            </w:r>
          </w:p>
        </w:tc>
      </w:tr>
      <w:tr w:rsidR="004C7FA8" w14:paraId="3B01C286" w14:textId="77777777">
        <w:tc>
          <w:tcPr>
            <w:tcW w:w="2600" w:type="dxa"/>
            <w:shd w:val="clear" w:color="auto" w:fill="FFFFFF"/>
            <w:tcMar>
              <w:top w:w="120" w:type="dxa"/>
              <w:left w:w="150" w:type="dxa"/>
              <w:bottom w:w="120" w:type="dxa"/>
              <w:right w:w="150" w:type="dxa"/>
            </w:tcMar>
          </w:tcPr>
          <w:p w14:paraId="617EF890" w14:textId="77777777" w:rsidR="004C7FA8" w:rsidRDefault="00E86F68">
            <w:pPr>
              <w:jc w:val="right"/>
              <w:rPr>
                <w:rFonts w:cs="Arial"/>
              </w:rPr>
            </w:pPr>
            <w:r>
              <w:rPr>
                <w:color w:val="1A1A1A"/>
                <w:sz w:val="21"/>
                <w:szCs w:val="21"/>
              </w:rPr>
              <w:t>دور الألم</w:t>
            </w:r>
          </w:p>
        </w:tc>
        <w:tc>
          <w:tcPr>
            <w:tcW w:w="3600" w:type="dxa"/>
            <w:shd w:val="clear" w:color="auto" w:fill="FFFFFF"/>
            <w:tcMar>
              <w:top w:w="120" w:type="dxa"/>
              <w:left w:w="150" w:type="dxa"/>
              <w:bottom w:w="120" w:type="dxa"/>
              <w:right w:w="150" w:type="dxa"/>
            </w:tcMar>
          </w:tcPr>
          <w:p w14:paraId="5F129ECD" w14:textId="77777777" w:rsidR="004C7FA8" w:rsidRDefault="00E86F68">
            <w:pPr>
              <w:jc w:val="right"/>
              <w:rPr>
                <w:rFonts w:cs="Arial"/>
              </w:rPr>
            </w:pPr>
            <w:r>
              <w:rPr>
                <w:color w:val="1A1A1A"/>
                <w:sz w:val="21"/>
                <w:szCs w:val="21"/>
              </w:rPr>
              <w:t>عرض يستوجب التسكين أو المعالجة السريرية</w:t>
            </w:r>
          </w:p>
        </w:tc>
        <w:tc>
          <w:tcPr>
            <w:tcW w:w="3600" w:type="dxa"/>
            <w:shd w:val="clear" w:color="auto" w:fill="FFFFFF"/>
            <w:tcMar>
              <w:top w:w="120" w:type="dxa"/>
              <w:left w:w="150" w:type="dxa"/>
              <w:bottom w:w="120" w:type="dxa"/>
              <w:right w:w="150" w:type="dxa"/>
            </w:tcMar>
          </w:tcPr>
          <w:p w14:paraId="68630D4A" w14:textId="77777777" w:rsidR="004C7FA8" w:rsidRDefault="00E86F68">
            <w:pPr>
              <w:jc w:val="right"/>
              <w:rPr>
                <w:rFonts w:cs="Arial"/>
              </w:rPr>
            </w:pPr>
            <w:r>
              <w:rPr>
                <w:color w:val="1A1A1A"/>
                <w:sz w:val="21"/>
                <w:szCs w:val="21"/>
              </w:rPr>
              <w:t xml:space="preserve">مادة خام </w:t>
            </w:r>
            <w:proofErr w:type="spellStart"/>
            <w:r>
              <w:rPr>
                <w:color w:val="1A1A1A"/>
                <w:sz w:val="21"/>
                <w:szCs w:val="21"/>
              </w:rPr>
              <w:t>للكينتسوغي</w:t>
            </w:r>
            <w:proofErr w:type="spellEnd"/>
            <w:r>
              <w:rPr>
                <w:color w:val="1A1A1A"/>
                <w:sz w:val="21"/>
                <w:szCs w:val="21"/>
              </w:rPr>
              <w:t xml:space="preserve"> النفسي؛ تحويل الجرح إلى معنى ورسالة</w:t>
            </w:r>
          </w:p>
        </w:tc>
      </w:tr>
      <w:tr w:rsidR="004C7FA8" w14:paraId="758FC4DE" w14:textId="77777777">
        <w:tc>
          <w:tcPr>
            <w:tcW w:w="2600" w:type="dxa"/>
            <w:shd w:val="clear" w:color="auto" w:fill="FFFFFF"/>
            <w:tcMar>
              <w:top w:w="120" w:type="dxa"/>
              <w:left w:w="150" w:type="dxa"/>
              <w:bottom w:w="120" w:type="dxa"/>
              <w:right w:w="150" w:type="dxa"/>
            </w:tcMar>
          </w:tcPr>
          <w:p w14:paraId="4D906512" w14:textId="77777777" w:rsidR="004C7FA8" w:rsidRDefault="00E86F68">
            <w:pPr>
              <w:jc w:val="right"/>
              <w:rPr>
                <w:rFonts w:cs="Arial"/>
              </w:rPr>
            </w:pPr>
            <w:r>
              <w:rPr>
                <w:color w:val="1A1A1A"/>
                <w:sz w:val="21"/>
                <w:szCs w:val="21"/>
              </w:rPr>
              <w:t>الغاية النهائية</w:t>
            </w:r>
          </w:p>
        </w:tc>
        <w:tc>
          <w:tcPr>
            <w:tcW w:w="3600" w:type="dxa"/>
            <w:shd w:val="clear" w:color="auto" w:fill="FFFFFF"/>
            <w:tcMar>
              <w:top w:w="120" w:type="dxa"/>
              <w:left w:w="150" w:type="dxa"/>
              <w:bottom w:w="120" w:type="dxa"/>
              <w:right w:w="150" w:type="dxa"/>
            </w:tcMar>
          </w:tcPr>
          <w:p w14:paraId="37824DF0" w14:textId="77777777" w:rsidR="004C7FA8" w:rsidRDefault="00E86F68">
            <w:pPr>
              <w:jc w:val="right"/>
              <w:rPr>
                <w:rFonts w:cs="Arial"/>
              </w:rPr>
            </w:pPr>
            <w:r>
              <w:rPr>
                <w:color w:val="1A1A1A"/>
                <w:sz w:val="21"/>
                <w:szCs w:val="21"/>
              </w:rPr>
              <w:t>تحقيق الذات، توازن نفسي، علاقات صحية (</w:t>
            </w:r>
            <w:proofErr w:type="spellStart"/>
            <w:r>
              <w:rPr>
                <w:color w:val="1A1A1A"/>
                <w:sz w:val="21"/>
                <w:szCs w:val="21"/>
              </w:rPr>
              <w:t>Self-actualization</w:t>
            </w:r>
            <w:proofErr w:type="spellEnd"/>
            <w:r>
              <w:rPr>
                <w:color w:val="1A1A1A"/>
                <w:sz w:val="21"/>
                <w:szCs w:val="21"/>
              </w:rPr>
              <w:t>)</w:t>
            </w:r>
          </w:p>
        </w:tc>
        <w:tc>
          <w:tcPr>
            <w:tcW w:w="3600" w:type="dxa"/>
            <w:shd w:val="clear" w:color="auto" w:fill="FFFFFF"/>
            <w:tcMar>
              <w:top w:w="120" w:type="dxa"/>
              <w:left w:w="150" w:type="dxa"/>
              <w:bottom w:w="120" w:type="dxa"/>
              <w:right w:w="150" w:type="dxa"/>
            </w:tcMar>
          </w:tcPr>
          <w:p w14:paraId="1CF4C755" w14:textId="77777777" w:rsidR="004C7FA8" w:rsidRDefault="00E86F68">
            <w:pPr>
              <w:jc w:val="right"/>
              <w:rPr>
                <w:rFonts w:cs="Arial"/>
              </w:rPr>
            </w:pPr>
            <w:r>
              <w:rPr>
                <w:color w:val="1A1A1A"/>
                <w:sz w:val="21"/>
                <w:szCs w:val="21"/>
              </w:rPr>
              <w:t>تحقيق النفس المطمئنة، أداء وظيفة الاستخلاف، الفوز بالآخرة</w:t>
            </w:r>
          </w:p>
        </w:tc>
      </w:tr>
      <w:tr w:rsidR="004C7FA8" w14:paraId="47FF22BE" w14:textId="77777777">
        <w:tc>
          <w:tcPr>
            <w:tcW w:w="2600" w:type="dxa"/>
            <w:shd w:val="clear" w:color="auto" w:fill="FFFFFF"/>
            <w:tcMar>
              <w:top w:w="120" w:type="dxa"/>
              <w:left w:w="150" w:type="dxa"/>
              <w:bottom w:w="120" w:type="dxa"/>
              <w:right w:w="150" w:type="dxa"/>
            </w:tcMar>
          </w:tcPr>
          <w:p w14:paraId="2780734F" w14:textId="77777777" w:rsidR="004C7FA8" w:rsidRDefault="00E86F68">
            <w:pPr>
              <w:jc w:val="right"/>
              <w:rPr>
                <w:rFonts w:cs="Arial"/>
              </w:rPr>
            </w:pPr>
            <w:r>
              <w:rPr>
                <w:color w:val="1A1A1A"/>
                <w:sz w:val="21"/>
                <w:szCs w:val="21"/>
              </w:rPr>
              <w:t>النظرة للإنسان</w:t>
            </w:r>
          </w:p>
        </w:tc>
        <w:tc>
          <w:tcPr>
            <w:tcW w:w="3600" w:type="dxa"/>
            <w:shd w:val="clear" w:color="auto" w:fill="FFFFFF"/>
            <w:tcMar>
              <w:top w:w="120" w:type="dxa"/>
              <w:left w:w="150" w:type="dxa"/>
              <w:bottom w:w="120" w:type="dxa"/>
              <w:right w:w="150" w:type="dxa"/>
            </w:tcMar>
          </w:tcPr>
          <w:p w14:paraId="05D45E84" w14:textId="77777777" w:rsidR="004C7FA8" w:rsidRDefault="00E86F68">
            <w:pPr>
              <w:jc w:val="right"/>
              <w:rPr>
                <w:rFonts w:cs="Arial"/>
              </w:rPr>
            </w:pPr>
            <w:r>
              <w:rPr>
                <w:color w:val="1A1A1A"/>
                <w:sz w:val="21"/>
                <w:szCs w:val="21"/>
              </w:rPr>
              <w:t>كائن بيولوجي-نفسي-اجتماعي</w:t>
            </w:r>
          </w:p>
        </w:tc>
        <w:tc>
          <w:tcPr>
            <w:tcW w:w="3600" w:type="dxa"/>
            <w:shd w:val="clear" w:color="auto" w:fill="FFFFFF"/>
            <w:tcMar>
              <w:top w:w="120" w:type="dxa"/>
              <w:left w:w="150" w:type="dxa"/>
              <w:bottom w:w="120" w:type="dxa"/>
              <w:right w:w="150" w:type="dxa"/>
            </w:tcMar>
          </w:tcPr>
          <w:p w14:paraId="3F3AA600" w14:textId="77777777" w:rsidR="004C7FA8" w:rsidRDefault="00E86F68">
            <w:pPr>
              <w:jc w:val="right"/>
              <w:rPr>
                <w:rFonts w:cs="Arial"/>
              </w:rPr>
            </w:pPr>
            <w:r>
              <w:rPr>
                <w:color w:val="1A1A1A"/>
                <w:sz w:val="21"/>
                <w:szCs w:val="21"/>
              </w:rPr>
              <w:t>كائن خليفة، مكرم، ذو بعد غيبي (روح، شيطان، ملك)</w:t>
            </w:r>
          </w:p>
        </w:tc>
      </w:tr>
    </w:tbl>
    <w:p w14:paraId="21E4BD93" w14:textId="77777777" w:rsidR="004C7FA8" w:rsidRDefault="00E86F68">
      <w:pPr>
        <w:rPr>
          <w:rFonts w:cs="Arial"/>
        </w:rPr>
      </w:pPr>
      <w:r>
        <w:br w:type="page"/>
      </w:r>
    </w:p>
    <w:p w14:paraId="5F496F1E" w14:textId="77777777" w:rsidR="004C7FA8" w:rsidRDefault="00E86F68">
      <w:pPr>
        <w:pStyle w:val="1"/>
        <w:pBdr>
          <w:bottom w:val="single" w:sz="6" w:space="4" w:color="B8860B"/>
        </w:pBdr>
        <w:bidi/>
        <w:spacing w:before="360" w:after="200"/>
        <w:jc w:val="right"/>
        <w:rPr>
          <w:rFonts w:cs="Arial"/>
        </w:rPr>
      </w:pPr>
      <w:r>
        <w:rPr>
          <w:b/>
          <w:bCs/>
          <w:color w:val="1B2A4A"/>
          <w:sz w:val="68"/>
          <w:szCs w:val="68"/>
        </w:rPr>
        <w:t>الفصل الثامن: تأملات نقدية ومحددات منهجية</w:t>
      </w:r>
    </w:p>
    <w:p w14:paraId="1F38AD03" w14:textId="77777777" w:rsidR="004C7FA8" w:rsidRDefault="00E86F68">
      <w:pPr>
        <w:pStyle w:val="2"/>
        <w:pBdr>
          <w:bottom w:val="single" w:sz="6" w:space="4" w:color="B8860B"/>
        </w:pBdr>
        <w:bidi/>
        <w:spacing w:before="360" w:after="200"/>
        <w:jc w:val="right"/>
        <w:rPr>
          <w:rFonts w:cs="Arial"/>
        </w:rPr>
      </w:pPr>
      <w:r>
        <w:rPr>
          <w:b/>
          <w:bCs/>
          <w:color w:val="1F6F6F"/>
          <w:sz w:val="56"/>
          <w:szCs w:val="56"/>
        </w:rPr>
        <w:t>8.1 محدودية القراءة عن بُعد</w:t>
      </w:r>
    </w:p>
    <w:p w14:paraId="5C522122" w14:textId="77777777" w:rsidR="004C7FA8" w:rsidRDefault="00E86F68">
      <w:pPr>
        <w:spacing w:after="200" w:line="340" w:lineRule="auto"/>
        <w:jc w:val="both"/>
        <w:rPr>
          <w:rFonts w:cs="Arial"/>
        </w:rPr>
      </w:pPr>
      <w:r>
        <w:rPr>
          <w:color w:val="1A1A1A"/>
        </w:rPr>
        <w:t xml:space="preserve">من الأمانة العلمية الإقرار بأن هذا التحليل - في شقّيه الغربي </w:t>
      </w:r>
      <w:proofErr w:type="spellStart"/>
      <w:r>
        <w:rPr>
          <w:color w:val="1A1A1A"/>
        </w:rPr>
        <w:t>والاستخلافي</w:t>
      </w:r>
      <w:proofErr w:type="spellEnd"/>
      <w:r>
        <w:rPr>
          <w:color w:val="1A1A1A"/>
        </w:rPr>
        <w:t xml:space="preserve"> على حد سواء - مبني على وصف نصّي موجز للحالة الأسرية، لا على تقييم إكلينيكي مباشر يشمل المقابلة السريرية، والتاريخ </w:t>
      </w:r>
      <w:proofErr w:type="spellStart"/>
      <w:r>
        <w:rPr>
          <w:color w:val="1A1A1A"/>
        </w:rPr>
        <w:t>النمائي</w:t>
      </w:r>
      <w:proofErr w:type="spellEnd"/>
      <w:r>
        <w:rPr>
          <w:color w:val="1A1A1A"/>
        </w:rPr>
        <w:t xml:space="preserve"> المفصّل، وأدوات القياس النفسي المعيارية. وبالتالي، فإن ما ورد من تشخيص وصفي (كالإشارة إلى سمات نرجسية عند الأب، أو نمط تعلق قلق عند الابنة) ينبغي أن يُقرأ بوصفه قراءة تأويلية </w:t>
      </w:r>
      <w:proofErr w:type="spellStart"/>
      <w:r>
        <w:rPr>
          <w:color w:val="1A1A1A"/>
        </w:rPr>
        <w:t>استرشادية</w:t>
      </w:r>
      <w:proofErr w:type="spellEnd"/>
      <w:r>
        <w:rPr>
          <w:color w:val="1A1A1A"/>
        </w:rPr>
        <w:t>، لا حكمًا تشخيصيًّا قاطعًا بالمعنى الإكلينيكي الدقيق للمصطلح.</w:t>
      </w:r>
    </w:p>
    <w:p w14:paraId="55CDF569" w14:textId="77777777" w:rsidR="004C7FA8" w:rsidRDefault="00E86F68">
      <w:pPr>
        <w:pStyle w:val="2"/>
        <w:pBdr>
          <w:bottom w:val="single" w:sz="6" w:space="4" w:color="B8860B"/>
        </w:pBdr>
        <w:bidi/>
        <w:spacing w:before="360" w:after="200"/>
        <w:jc w:val="right"/>
        <w:rPr>
          <w:rFonts w:cs="Arial"/>
        </w:rPr>
      </w:pPr>
      <w:r>
        <w:rPr>
          <w:b/>
          <w:bCs/>
          <w:color w:val="1F6F6F"/>
          <w:sz w:val="56"/>
          <w:szCs w:val="56"/>
        </w:rPr>
        <w:t>8.2 إشكالية قابلية التحقق التجريبي للمفاهيم الغيبية</w:t>
      </w:r>
    </w:p>
    <w:p w14:paraId="594C91BD" w14:textId="77777777" w:rsidR="004C7FA8" w:rsidRDefault="00E86F68">
      <w:pPr>
        <w:spacing w:after="200" w:line="340" w:lineRule="auto"/>
        <w:jc w:val="both"/>
        <w:rPr>
          <w:rFonts w:cs="Arial"/>
        </w:rPr>
      </w:pPr>
      <w:r>
        <w:rPr>
          <w:color w:val="1A1A1A"/>
        </w:rPr>
        <w:t>يواجه النموذج الاستخلافي - شأنه شأن أي إطار معياري-غيبي - سؤال قابلية التحقق التجريبي (</w:t>
      </w:r>
      <w:proofErr w:type="spellStart"/>
      <w:r>
        <w:rPr>
          <w:color w:val="1A1A1A"/>
        </w:rPr>
        <w:t>Empirical</w:t>
      </w:r>
      <w:proofErr w:type="spellEnd"/>
      <w:r>
        <w:rPr>
          <w:color w:val="1A1A1A"/>
        </w:rPr>
        <w:t xml:space="preserve"> </w:t>
      </w:r>
      <w:proofErr w:type="spellStart"/>
      <w:r>
        <w:rPr>
          <w:color w:val="1A1A1A"/>
        </w:rPr>
        <w:t>Falsifiability</w:t>
      </w:r>
      <w:proofErr w:type="spellEnd"/>
      <w:r>
        <w:rPr>
          <w:color w:val="1A1A1A"/>
        </w:rPr>
        <w:t>) الذي يُعَدّ معيارًا مركزيًّا في فلسفة العلم الغربية المعاصرة (</w:t>
      </w:r>
      <w:proofErr w:type="spellStart"/>
      <w:r>
        <w:rPr>
          <w:color w:val="1A1A1A"/>
        </w:rPr>
        <w:t>Popper</w:t>
      </w:r>
      <w:proofErr w:type="spellEnd"/>
      <w:r>
        <w:rPr>
          <w:color w:val="1A1A1A"/>
        </w:rPr>
        <w:t xml:space="preserve">, 1959). فمفاهيم كـ"تدخل الشيطان" أو "البعد الرابع" لا تخضع للقياس المباشر بالأدوات </w:t>
      </w:r>
      <w:proofErr w:type="spellStart"/>
      <w:r>
        <w:rPr>
          <w:color w:val="1A1A1A"/>
        </w:rPr>
        <w:t>السيكومترية</w:t>
      </w:r>
      <w:proofErr w:type="spellEnd"/>
      <w:r>
        <w:rPr>
          <w:color w:val="1A1A1A"/>
        </w:rPr>
        <w:t xml:space="preserve"> المتاحة. الجواب المنهجي المقترح هنا ليس ادعاء تكافؤ </w:t>
      </w:r>
      <w:proofErr w:type="spellStart"/>
      <w:r>
        <w:rPr>
          <w:color w:val="1A1A1A"/>
        </w:rPr>
        <w:t>ابستمولوجي</w:t>
      </w:r>
      <w:proofErr w:type="spellEnd"/>
      <w:r>
        <w:rPr>
          <w:color w:val="1A1A1A"/>
        </w:rPr>
        <w:t xml:space="preserve"> كامل بين النموذجين، بل التمييز - كما ورد في الفصل التمهيدي المنهجي - بين المستوى الوصفي القابل للتقاطع البيني، والمستوى التفسيري-الغائي الذي يبقى كل إطار فيه ملتزمًا بمنظومته المعرفية الخاصة دون افتعال تكافؤ زائف.</w:t>
      </w:r>
    </w:p>
    <w:p w14:paraId="697FDC45" w14:textId="77777777" w:rsidR="004C7FA8" w:rsidRDefault="00E86F68">
      <w:pPr>
        <w:pStyle w:val="2"/>
        <w:pBdr>
          <w:bottom w:val="single" w:sz="6" w:space="4" w:color="B8860B"/>
        </w:pBdr>
        <w:bidi/>
        <w:spacing w:before="360" w:after="200"/>
        <w:jc w:val="right"/>
        <w:rPr>
          <w:rFonts w:cs="Arial"/>
        </w:rPr>
      </w:pPr>
      <w:r>
        <w:rPr>
          <w:b/>
          <w:bCs/>
          <w:color w:val="1F6F6F"/>
          <w:sz w:val="56"/>
          <w:szCs w:val="56"/>
        </w:rPr>
        <w:t>8.3 نحو تحقق تجريبي جزئي: مقترحات بحثية مستقبلية</w:t>
      </w:r>
    </w:p>
    <w:p w14:paraId="69323062" w14:textId="77777777" w:rsidR="004C7FA8" w:rsidRDefault="00E86F68">
      <w:pPr>
        <w:spacing w:after="200" w:line="340" w:lineRule="auto"/>
        <w:jc w:val="both"/>
        <w:rPr>
          <w:rFonts w:cs="Arial"/>
        </w:rPr>
      </w:pPr>
      <w:r>
        <w:rPr>
          <w:color w:val="1A1A1A"/>
        </w:rPr>
        <w:t>يقترح هذا البحث أن بعض عناصر النموذج الاستخلافي، وإن كانت غير قابلة للتحقق التجريبي في شقها الغيبي، تحمل مضامين سلوكية-وظيفية قابلة للدراسة. فعلى سبيل المثال:</w:t>
      </w:r>
    </w:p>
    <w:p w14:paraId="45772054" w14:textId="77777777" w:rsidR="004C7FA8" w:rsidRDefault="00E86F68">
      <w:pPr>
        <w:pStyle w:val="a4"/>
        <w:numPr>
          <w:ilvl w:val="0"/>
          <w:numId w:val="1"/>
        </w:numPr>
        <w:bidi/>
        <w:spacing w:after="120" w:line="320" w:lineRule="auto"/>
        <w:jc w:val="right"/>
        <w:rPr>
          <w:rFonts w:cs="Arial"/>
        </w:rPr>
      </w:pPr>
      <w:r>
        <w:rPr>
          <w:color w:val="1A1A1A"/>
        </w:rPr>
        <w:t>يمكن قياس "تفعيل الضلع الخامس" (الأمارة ← اللوامة) تشغيليًّا عبر مقاييس الوعي الأخلاقي الذاتي (</w:t>
      </w:r>
      <w:proofErr w:type="spellStart"/>
      <w:r>
        <w:rPr>
          <w:color w:val="1A1A1A"/>
        </w:rPr>
        <w:t>Moral</w:t>
      </w:r>
      <w:proofErr w:type="spellEnd"/>
      <w:r>
        <w:rPr>
          <w:color w:val="1A1A1A"/>
        </w:rPr>
        <w:t xml:space="preserve"> </w:t>
      </w:r>
      <w:proofErr w:type="spellStart"/>
      <w:r>
        <w:rPr>
          <w:color w:val="1A1A1A"/>
        </w:rPr>
        <w:t>Self-Awareness</w:t>
      </w:r>
      <w:proofErr w:type="spellEnd"/>
      <w:r>
        <w:rPr>
          <w:color w:val="1A1A1A"/>
        </w:rPr>
        <w:t>) ومقارنتها بمقاييس تنظيم الانفعال (</w:t>
      </w:r>
      <w:proofErr w:type="spellStart"/>
      <w:r>
        <w:rPr>
          <w:color w:val="1A1A1A"/>
        </w:rPr>
        <w:t>Emotion</w:t>
      </w:r>
      <w:proofErr w:type="spellEnd"/>
      <w:r>
        <w:rPr>
          <w:color w:val="1A1A1A"/>
        </w:rPr>
        <w:t xml:space="preserve"> </w:t>
      </w:r>
      <w:proofErr w:type="spellStart"/>
      <w:r>
        <w:rPr>
          <w:color w:val="1A1A1A"/>
        </w:rPr>
        <w:t>Regulation</w:t>
      </w:r>
      <w:proofErr w:type="spellEnd"/>
      <w:r>
        <w:rPr>
          <w:color w:val="1A1A1A"/>
        </w:rPr>
        <w:t>) قبل التدخل العلاجي وبعده.</w:t>
      </w:r>
    </w:p>
    <w:p w14:paraId="0620129B" w14:textId="77777777" w:rsidR="004C7FA8" w:rsidRDefault="00E86F68">
      <w:pPr>
        <w:pStyle w:val="a4"/>
        <w:numPr>
          <w:ilvl w:val="0"/>
          <w:numId w:val="1"/>
        </w:numPr>
        <w:bidi/>
        <w:spacing w:after="120" w:line="320" w:lineRule="auto"/>
        <w:jc w:val="right"/>
        <w:rPr>
          <w:rFonts w:cs="Arial"/>
        </w:rPr>
      </w:pPr>
      <w:r>
        <w:rPr>
          <w:color w:val="1A1A1A"/>
        </w:rPr>
        <w:t>يمكن دراسة فعالية بروتوكول TLRT مقارنة بالعلاج المعرفي السلوكي التقليدي أو العلاج الأسري النسقي، عبر تصميم تجريبي مقارن يستخدم مقاييس معيارية للأعراض النرجسية والقلق والاكتئاب، وفق معايير CONSORT للتجارب السريرية.</w:t>
      </w:r>
    </w:p>
    <w:p w14:paraId="177680DA" w14:textId="77777777" w:rsidR="004C7FA8" w:rsidRDefault="00E86F68">
      <w:pPr>
        <w:pStyle w:val="a4"/>
        <w:numPr>
          <w:ilvl w:val="0"/>
          <w:numId w:val="1"/>
        </w:numPr>
        <w:bidi/>
        <w:spacing w:after="120" w:line="320" w:lineRule="auto"/>
        <w:jc w:val="right"/>
        <w:rPr>
          <w:rFonts w:cs="Arial"/>
        </w:rPr>
      </w:pPr>
      <w:r>
        <w:rPr>
          <w:color w:val="1A1A1A"/>
        </w:rPr>
        <w:t>يمكن دراسة العلاقة الترابطية (لا السببية بالضرورة) بين مستويات التديّن الوظيفي (</w:t>
      </w:r>
      <w:proofErr w:type="spellStart"/>
      <w:r>
        <w:rPr>
          <w:color w:val="1A1A1A"/>
        </w:rPr>
        <w:t>Intrinsic</w:t>
      </w:r>
      <w:proofErr w:type="spellEnd"/>
      <w:r>
        <w:rPr>
          <w:color w:val="1A1A1A"/>
        </w:rPr>
        <w:t xml:space="preserve"> </w:t>
      </w:r>
      <w:proofErr w:type="spellStart"/>
      <w:r>
        <w:rPr>
          <w:color w:val="1A1A1A"/>
        </w:rPr>
        <w:t>Religiosity</w:t>
      </w:r>
      <w:proofErr w:type="spellEnd"/>
      <w:r>
        <w:rPr>
          <w:color w:val="1A1A1A"/>
        </w:rPr>
        <w:t>) وتحقق "النفس المطمئنة" وصفيًّا عبر مقاييس الرفاه النفسي القائمة.</w:t>
      </w:r>
    </w:p>
    <w:p w14:paraId="3839FC0B" w14:textId="77777777" w:rsidR="004C7FA8" w:rsidRDefault="00E86F68">
      <w:pPr>
        <w:spacing w:after="200" w:line="340" w:lineRule="auto"/>
        <w:jc w:val="both"/>
        <w:rPr>
          <w:rFonts w:cs="Arial"/>
        </w:rPr>
      </w:pPr>
      <w:r>
        <w:rPr>
          <w:color w:val="1A1A1A"/>
        </w:rPr>
        <w:t xml:space="preserve">هذه المقترحات لا تدّعي حسم إشكالية قابلية التحقق الغيبي، لكنها تفتح مسارًا بحثيًّا واقعيًّا لاختبار الفعالية العملية للنموذج الاستخلافي دون الحاجة إلى البتّ في صحة مقدماته الغيبية أولًا، وهو ما يجعل التراكم العلمي ممكنًا حتى في ظل الاختلاف </w:t>
      </w:r>
      <w:proofErr w:type="spellStart"/>
      <w:r>
        <w:rPr>
          <w:color w:val="1A1A1A"/>
        </w:rPr>
        <w:t>الابستمولوجي</w:t>
      </w:r>
      <w:proofErr w:type="spellEnd"/>
      <w:r>
        <w:rPr>
          <w:color w:val="1A1A1A"/>
        </w:rPr>
        <w:t xml:space="preserve"> الجذري بين الإطارين.</w:t>
      </w:r>
    </w:p>
    <w:p w14:paraId="23870B76" w14:textId="77777777" w:rsidR="004C7FA8" w:rsidRDefault="00E86F68">
      <w:pPr>
        <w:pStyle w:val="2"/>
        <w:pBdr>
          <w:bottom w:val="single" w:sz="6" w:space="4" w:color="B8860B"/>
        </w:pBdr>
        <w:bidi/>
        <w:spacing w:before="360" w:after="200"/>
        <w:jc w:val="right"/>
        <w:rPr>
          <w:rFonts w:cs="Arial"/>
        </w:rPr>
      </w:pPr>
      <w:r>
        <w:rPr>
          <w:b/>
          <w:bCs/>
          <w:color w:val="1F6F6F"/>
          <w:sz w:val="56"/>
          <w:szCs w:val="56"/>
        </w:rPr>
        <w:t>8.4 خطر الاختزال في الاتجاه المعاكس</w:t>
      </w:r>
    </w:p>
    <w:p w14:paraId="0ECF8310" w14:textId="77777777" w:rsidR="004C7FA8" w:rsidRDefault="00E86F68">
      <w:pPr>
        <w:spacing w:after="200" w:line="340" w:lineRule="auto"/>
        <w:jc w:val="both"/>
        <w:rPr>
          <w:rFonts w:cs="Arial"/>
        </w:rPr>
      </w:pPr>
      <w:r>
        <w:rPr>
          <w:color w:val="1A1A1A"/>
        </w:rPr>
        <w:t xml:space="preserve">كما يحذر هذا البحث من اختزال النموذج الاستخلافي في مفردات غربية (كإرجاع "البعد الرابع" إلى "الظل" </w:t>
      </w:r>
      <w:proofErr w:type="spellStart"/>
      <w:r>
        <w:rPr>
          <w:color w:val="1A1A1A"/>
        </w:rPr>
        <w:t>اليونغي</w:t>
      </w:r>
      <w:proofErr w:type="spellEnd"/>
      <w:r>
        <w:rPr>
          <w:color w:val="1A1A1A"/>
        </w:rPr>
        <w:t xml:space="preserve"> إرجاعًا كاملًا)، فإنه يحذر بالمثل من الاتجاه المعاكس: افتراض أن كل ظاهرة نفسية موصوفة غربيًّا لها بالضرورة مقابل استخلافي دقيق منصوص عليه، وهو ما قد يفضي إلى تكلّف تأويلي غير مبرر. المطلوب منهجيًّا هو الإقرار بوجود مساحات التقاء حقيقية، ومساحات افتراق حقيقية، دون سعي مسبق لتعظيم أحدهما على حساب الآخر.</w:t>
      </w:r>
    </w:p>
    <w:p w14:paraId="49E3C472" w14:textId="77777777" w:rsidR="004C7FA8" w:rsidRDefault="00E86F68">
      <w:pPr>
        <w:rPr>
          <w:rFonts w:cs="Arial"/>
        </w:rPr>
      </w:pPr>
      <w:r>
        <w:br w:type="page"/>
      </w:r>
    </w:p>
    <w:p w14:paraId="41F415C4" w14:textId="77777777" w:rsidR="004C7FA8" w:rsidRDefault="00E86F68">
      <w:pPr>
        <w:pStyle w:val="1"/>
        <w:pBdr>
          <w:bottom w:val="single" w:sz="6" w:space="4" w:color="B8860B"/>
        </w:pBdr>
        <w:bidi/>
        <w:spacing w:before="360" w:after="200"/>
        <w:jc w:val="right"/>
        <w:rPr>
          <w:rFonts w:cs="Arial"/>
        </w:rPr>
      </w:pPr>
      <w:r>
        <w:rPr>
          <w:b/>
          <w:bCs/>
          <w:color w:val="1B2A4A"/>
          <w:sz w:val="68"/>
          <w:szCs w:val="68"/>
        </w:rPr>
        <w:t>خلاصة موسّعة</w:t>
      </w:r>
    </w:p>
    <w:p w14:paraId="4BF3DD90" w14:textId="77777777" w:rsidR="004C7FA8" w:rsidRDefault="00E86F68">
      <w:pPr>
        <w:spacing w:after="200" w:line="340" w:lineRule="auto"/>
        <w:jc w:val="both"/>
        <w:rPr>
          <w:rFonts w:cs="Arial"/>
        </w:rPr>
      </w:pPr>
      <w:r>
        <w:rPr>
          <w:color w:val="1A1A1A"/>
        </w:rPr>
        <w:t>تكشف قراءة الحالة الأسرية من منظور علم النفس القرآني عن أبعاد تتجاوز التشخيص السيكولوجي الغربي، دون أن تُلغيه أو تستغني عن أدواته الوصفية الدقيقة. فالأب ليس مجرد "نرجسي" بالمعنى الإكلينيكي المجرد، بل هو إنسان استسلم لنفسه الأمارة، وفتح للشيطان ثغرة في فجوره، فأصبح أسيراً لاستحواذه. الأم ليست مجرد "شخصية اعتمادية"، بل هي من أخمدت صوت اللوامة داخلها، فخسرت قوتها وأصبح جسدها يعبر عما تكتمه. والابنة ليست مجرد "حالة تعلق غير آمن"، بل هي نفس بشرية تخوض معركة وجودية لاستعادة توازنها بين الفجور والتقوى، وتحاول بناء جسر سلوكي نحو الاستقلال.</w:t>
      </w:r>
    </w:p>
    <w:p w14:paraId="6587C396" w14:textId="77777777" w:rsidR="004C7FA8" w:rsidRDefault="00E86F68">
      <w:pPr>
        <w:spacing w:after="200" w:line="340" w:lineRule="auto"/>
        <w:jc w:val="both"/>
        <w:rPr>
          <w:rFonts w:cs="Arial"/>
        </w:rPr>
      </w:pPr>
      <w:r>
        <w:rPr>
          <w:color w:val="1A1A1A"/>
        </w:rPr>
        <w:t xml:space="preserve">وقد أظهر هذا التوسيع أن المقاربة المقارنة بين الإطارين ليست عملية استبدال مفرداتي سطحي، بل حوار معرفي منضبط يميّز بين مستويات الوصف والتفسير والغاية، ويستثمر الأدوات التشخيصية والبنيوية الغربية (DSM-5، نظرية التعلق، </w:t>
      </w:r>
      <w:proofErr w:type="spellStart"/>
      <w:r>
        <w:rPr>
          <w:color w:val="1A1A1A"/>
        </w:rPr>
        <w:t>الأنساق</w:t>
      </w:r>
      <w:proofErr w:type="spellEnd"/>
      <w:r>
        <w:rPr>
          <w:color w:val="1A1A1A"/>
        </w:rPr>
        <w:t xml:space="preserve"> الأسرية) في خدمة تحليل أعمق، مع الحفاظ على الخصوصية المعيارية-الغيبية للنموذج الاستخلافي التي لا تُختزل في مقابلاتها الغربية.</w:t>
      </w:r>
    </w:p>
    <w:p w14:paraId="24674F60" w14:textId="77777777" w:rsidR="004C7FA8" w:rsidRDefault="00E86F68">
      <w:pPr>
        <w:spacing w:after="200" w:line="340" w:lineRule="auto"/>
        <w:jc w:val="both"/>
        <w:rPr>
          <w:rFonts w:cs="Arial"/>
        </w:rPr>
      </w:pPr>
      <w:r>
        <w:rPr>
          <w:color w:val="1A1A1A"/>
        </w:rPr>
        <w:t>التحول الحقيقي لهذه الأسرة لا يمكن أن يكتمل دون "عودة إلى الفطرة"، أي إعادة اكتشاف القيم الإسلامية التي تضع لكل ذي حق حقه: حق الأب في البر، وحق الأم في الرعاية، وحق الأبناء في الاستقلال والكرامة. إنه طريق طويل من المجاهدة، لكنه الطريق الوحيد الذي يوصل إلى النفس المطمئنة التي تخاطبها الآية:</w:t>
      </w:r>
    </w:p>
    <w:tbl>
      <w:tblPr>
        <w:tblW w:w="5000" w:type="pct"/>
        <w:tblBorders>
          <w:top w:val="single" w:sz="12" w:space="0" w:color="B8860B"/>
          <w:left w:val="single" w:sz="12" w:space="0" w:color="B8860B"/>
          <w:bottom w:val="single" w:sz="12" w:space="0" w:color="B8860B"/>
          <w:right w:val="single" w:sz="12" w:space="0" w:color="B8860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8996"/>
      </w:tblGrid>
      <w:tr w:rsidR="004C7FA8" w14:paraId="0B7D2DCB" w14:textId="77777777">
        <w:trPr>
          <w:cantSplit/>
        </w:trPr>
        <w:tc>
          <w:tcPr>
            <w:tcW w:w="5000" w:type="pct"/>
            <w:shd w:val="clear" w:color="auto" w:fill="F4EBD0"/>
            <w:tcMar>
              <w:top w:w="200" w:type="dxa"/>
              <w:left w:w="300" w:type="dxa"/>
              <w:bottom w:w="200" w:type="dxa"/>
              <w:right w:w="300" w:type="dxa"/>
            </w:tcMar>
            <w:vAlign w:val="center"/>
          </w:tcPr>
          <w:p w14:paraId="2A5CCF59" w14:textId="77777777" w:rsidR="004C7FA8" w:rsidRDefault="00E86F68">
            <w:pPr>
              <w:spacing w:after="100"/>
              <w:jc w:val="center"/>
              <w:rPr>
                <w:rFonts w:cs="Arial"/>
              </w:rPr>
            </w:pPr>
            <w:r>
              <w:rPr>
                <w:b/>
                <w:bCs/>
                <w:color w:val="1B2A4A"/>
                <w:sz w:val="28"/>
                <w:szCs w:val="28"/>
              </w:rPr>
              <w:t xml:space="preserve">﴿ يَا أَيَّتُهَا النَّفْسُ الْمُطْمَئِنَّةُ * ارْجِعِي </w:t>
            </w:r>
            <w:proofErr w:type="spellStart"/>
            <w:r>
              <w:rPr>
                <w:b/>
                <w:bCs/>
                <w:color w:val="1B2A4A"/>
                <w:sz w:val="28"/>
                <w:szCs w:val="28"/>
              </w:rPr>
              <w:t>إِلَىٰ</w:t>
            </w:r>
            <w:proofErr w:type="spellEnd"/>
            <w:r>
              <w:rPr>
                <w:b/>
                <w:bCs/>
                <w:color w:val="1B2A4A"/>
                <w:sz w:val="28"/>
                <w:szCs w:val="28"/>
              </w:rPr>
              <w:t xml:space="preserve"> رَبِّكِ رَاضِيَةً مَّرْضِيَّةً ﴾</w:t>
            </w:r>
          </w:p>
          <w:p w14:paraId="458B4905" w14:textId="77777777" w:rsidR="004C7FA8" w:rsidRDefault="00E86F68">
            <w:pPr>
              <w:jc w:val="center"/>
              <w:rPr>
                <w:rFonts w:cs="Arial"/>
              </w:rPr>
            </w:pPr>
            <w:r>
              <w:rPr>
                <w:b/>
                <w:bCs/>
                <w:color w:val="B8860B"/>
                <w:sz w:val="22"/>
                <w:szCs w:val="22"/>
              </w:rPr>
              <w:t>الفجر: 27-28</w:t>
            </w:r>
          </w:p>
        </w:tc>
      </w:tr>
    </w:tbl>
    <w:p w14:paraId="5C528A94" w14:textId="77777777" w:rsidR="004C7FA8" w:rsidRDefault="00E86F68">
      <w:pPr>
        <w:rPr>
          <w:rFonts w:cs="Arial"/>
        </w:rPr>
      </w:pPr>
      <w:r>
        <w:br w:type="page"/>
      </w:r>
    </w:p>
    <w:p w14:paraId="659B34B1" w14:textId="77777777" w:rsidR="004C7FA8" w:rsidRDefault="00E86F68">
      <w:pPr>
        <w:pStyle w:val="1"/>
        <w:pBdr>
          <w:bottom w:val="single" w:sz="6" w:space="4" w:color="B8860B"/>
        </w:pBdr>
        <w:bidi/>
        <w:spacing w:before="360" w:after="200"/>
        <w:jc w:val="right"/>
        <w:rPr>
          <w:rFonts w:cs="Arial"/>
        </w:rPr>
      </w:pPr>
      <w:r>
        <w:rPr>
          <w:b/>
          <w:bCs/>
          <w:color w:val="1B2A4A"/>
          <w:sz w:val="68"/>
          <w:szCs w:val="68"/>
        </w:rPr>
        <w:t>قائمة المصادر والمراجع</w:t>
      </w:r>
    </w:p>
    <w:p w14:paraId="0E415DD8" w14:textId="77777777" w:rsidR="004C7FA8" w:rsidRDefault="00E86F68">
      <w:pPr>
        <w:pStyle w:val="2"/>
        <w:pBdr>
          <w:bottom w:val="single" w:sz="6" w:space="4" w:color="B8860B"/>
        </w:pBdr>
        <w:bidi/>
        <w:spacing w:before="360" w:after="200"/>
        <w:jc w:val="right"/>
        <w:rPr>
          <w:rFonts w:cs="Arial"/>
        </w:rPr>
      </w:pPr>
      <w:r>
        <w:rPr>
          <w:b/>
          <w:bCs/>
          <w:color w:val="1F6F6F"/>
          <w:sz w:val="56"/>
          <w:szCs w:val="56"/>
        </w:rPr>
        <w:t>أولاً: المصادر الاستخلافية</w:t>
      </w:r>
    </w:p>
    <w:p w14:paraId="7CB9DE63" w14:textId="77777777" w:rsidR="004C7FA8" w:rsidRDefault="00E86F68">
      <w:pPr>
        <w:spacing w:after="200" w:line="340" w:lineRule="auto"/>
        <w:jc w:val="right"/>
        <w:rPr>
          <w:rFonts w:cs="Arial"/>
        </w:rPr>
      </w:pPr>
      <w:r>
        <w:rPr>
          <w:color w:val="1A1A1A"/>
        </w:rPr>
        <w:t>الزراع، عبد السلام. (2023). علم النفس الاستخلافي: نموذج الأضلاع الثمانية (الأطروحة الاستخلافية). الصفحات: 108، 189، 205-207، 819-820، 905-906، 1062، 1081، 1104، 1107، 1125، 1530.</w:t>
      </w:r>
    </w:p>
    <w:p w14:paraId="019581A4" w14:textId="77777777" w:rsidR="004C7FA8" w:rsidRDefault="00E86F68">
      <w:pPr>
        <w:spacing w:after="200" w:line="340" w:lineRule="auto"/>
        <w:jc w:val="right"/>
        <w:rPr>
          <w:rFonts w:cs="Arial"/>
        </w:rPr>
      </w:pPr>
      <w:r>
        <w:rPr>
          <w:color w:val="1A1A1A"/>
        </w:rPr>
        <w:t>ابن القيم الجوزية. (د.ت). مدارج السالكين. تحقيق: محمد المعتصم بالله البغدادي. دار الكتاب العربي، بيروت.</w:t>
      </w:r>
    </w:p>
    <w:p w14:paraId="5F9B25DA" w14:textId="77777777" w:rsidR="004C7FA8" w:rsidRDefault="00E86F68">
      <w:pPr>
        <w:spacing w:after="200" w:line="340" w:lineRule="auto"/>
        <w:jc w:val="right"/>
        <w:rPr>
          <w:rFonts w:cs="Arial"/>
        </w:rPr>
      </w:pPr>
      <w:r>
        <w:rPr>
          <w:color w:val="1A1A1A"/>
        </w:rPr>
        <w:t>المحاسبي، الحارث. (القرن 3هـ). الرعاية لحقوق الله. تحقيق: عبد القادر أحمد عطا. دار الكتب العلمية، بيروت.</w:t>
      </w:r>
    </w:p>
    <w:p w14:paraId="5E07FBA7" w14:textId="77777777" w:rsidR="004C7FA8" w:rsidRDefault="00E86F68">
      <w:pPr>
        <w:pStyle w:val="2"/>
        <w:pBdr>
          <w:bottom w:val="single" w:sz="6" w:space="4" w:color="B8860B"/>
        </w:pBdr>
        <w:bidi/>
        <w:spacing w:before="360" w:after="200"/>
        <w:jc w:val="right"/>
        <w:rPr>
          <w:rFonts w:cs="Arial"/>
        </w:rPr>
      </w:pPr>
      <w:r>
        <w:rPr>
          <w:b/>
          <w:bCs/>
          <w:color w:val="1F6F6F"/>
          <w:sz w:val="56"/>
          <w:szCs w:val="56"/>
        </w:rPr>
        <w:t>ثانياً: المصادر الغربية المقارنة (مضافة في هذا التوسيع)</w:t>
      </w:r>
    </w:p>
    <w:p w14:paraId="734E2AB4" w14:textId="77777777" w:rsidR="004C7FA8" w:rsidRDefault="00E86F68">
      <w:pPr>
        <w:spacing w:after="200" w:line="340" w:lineRule="auto"/>
        <w:rPr>
          <w:rFonts w:cs="Arial"/>
        </w:rPr>
      </w:pPr>
      <w:proofErr w:type="spellStart"/>
      <w:r>
        <w:rPr>
          <w:color w:val="1A1A1A"/>
        </w:rPr>
        <w:t>American</w:t>
      </w:r>
      <w:proofErr w:type="spellEnd"/>
      <w:r>
        <w:rPr>
          <w:color w:val="1A1A1A"/>
        </w:rPr>
        <w:t xml:space="preserve"> </w:t>
      </w:r>
      <w:proofErr w:type="spellStart"/>
      <w:r>
        <w:rPr>
          <w:color w:val="1A1A1A"/>
        </w:rPr>
        <w:t>Psychiatric</w:t>
      </w:r>
      <w:proofErr w:type="spellEnd"/>
      <w:r>
        <w:rPr>
          <w:color w:val="1A1A1A"/>
        </w:rPr>
        <w:t xml:space="preserve"> </w:t>
      </w:r>
      <w:proofErr w:type="spellStart"/>
      <w:r>
        <w:rPr>
          <w:color w:val="1A1A1A"/>
        </w:rPr>
        <w:t>Association</w:t>
      </w:r>
      <w:proofErr w:type="spellEnd"/>
      <w:r>
        <w:rPr>
          <w:color w:val="1A1A1A"/>
        </w:rPr>
        <w:t xml:space="preserve"> (APA). (2013). </w:t>
      </w:r>
      <w:proofErr w:type="spellStart"/>
      <w:r>
        <w:rPr>
          <w:color w:val="1A1A1A"/>
        </w:rPr>
        <w:t>Diagnostic</w:t>
      </w:r>
      <w:proofErr w:type="spellEnd"/>
      <w:r>
        <w:rPr>
          <w:color w:val="1A1A1A"/>
        </w:rPr>
        <w:t xml:space="preserve"> </w:t>
      </w:r>
      <w:proofErr w:type="spellStart"/>
      <w:r>
        <w:rPr>
          <w:color w:val="1A1A1A"/>
        </w:rPr>
        <w:t>and</w:t>
      </w:r>
      <w:proofErr w:type="spellEnd"/>
      <w:r>
        <w:rPr>
          <w:color w:val="1A1A1A"/>
        </w:rPr>
        <w:t xml:space="preserve"> </w:t>
      </w:r>
      <w:proofErr w:type="spellStart"/>
      <w:r>
        <w:rPr>
          <w:color w:val="1A1A1A"/>
        </w:rPr>
        <w:t>Statistical</w:t>
      </w:r>
      <w:proofErr w:type="spellEnd"/>
      <w:r>
        <w:rPr>
          <w:color w:val="1A1A1A"/>
        </w:rPr>
        <w:t xml:space="preserve"> </w:t>
      </w:r>
      <w:proofErr w:type="spellStart"/>
      <w:r>
        <w:rPr>
          <w:color w:val="1A1A1A"/>
        </w:rPr>
        <w:t>Manual</w:t>
      </w:r>
      <w:proofErr w:type="spellEnd"/>
      <w:r>
        <w:rPr>
          <w:color w:val="1A1A1A"/>
        </w:rPr>
        <w:t xml:space="preserve"> </w:t>
      </w:r>
      <w:proofErr w:type="spellStart"/>
      <w:r>
        <w:rPr>
          <w:color w:val="1A1A1A"/>
        </w:rPr>
        <w:t>of</w:t>
      </w:r>
      <w:proofErr w:type="spellEnd"/>
      <w:r>
        <w:rPr>
          <w:color w:val="1A1A1A"/>
        </w:rPr>
        <w:t xml:space="preserve"> </w:t>
      </w:r>
      <w:proofErr w:type="spellStart"/>
      <w:r>
        <w:rPr>
          <w:color w:val="1A1A1A"/>
        </w:rPr>
        <w:t>Mental</w:t>
      </w:r>
      <w:proofErr w:type="spellEnd"/>
      <w:r>
        <w:rPr>
          <w:color w:val="1A1A1A"/>
        </w:rPr>
        <w:t xml:space="preserve"> </w:t>
      </w:r>
      <w:proofErr w:type="spellStart"/>
      <w:r>
        <w:rPr>
          <w:color w:val="1A1A1A"/>
        </w:rPr>
        <w:t>Disorders</w:t>
      </w:r>
      <w:proofErr w:type="spellEnd"/>
      <w:r>
        <w:rPr>
          <w:color w:val="1A1A1A"/>
        </w:rPr>
        <w:t xml:space="preserve"> (5th </w:t>
      </w:r>
      <w:proofErr w:type="spellStart"/>
      <w:r>
        <w:rPr>
          <w:color w:val="1A1A1A"/>
        </w:rPr>
        <w:t>ed</w:t>
      </w:r>
      <w:proofErr w:type="spellEnd"/>
      <w:r>
        <w:rPr>
          <w:color w:val="1A1A1A"/>
        </w:rPr>
        <w:t xml:space="preserve">.). </w:t>
      </w:r>
      <w:proofErr w:type="spellStart"/>
      <w:r>
        <w:rPr>
          <w:color w:val="1A1A1A"/>
        </w:rPr>
        <w:t>Washington</w:t>
      </w:r>
      <w:proofErr w:type="spellEnd"/>
      <w:r>
        <w:rPr>
          <w:color w:val="1A1A1A"/>
        </w:rPr>
        <w:t xml:space="preserve">, DC: </w:t>
      </w:r>
      <w:proofErr w:type="spellStart"/>
      <w:r>
        <w:rPr>
          <w:color w:val="1A1A1A"/>
        </w:rPr>
        <w:t>American</w:t>
      </w:r>
      <w:proofErr w:type="spellEnd"/>
      <w:r>
        <w:rPr>
          <w:color w:val="1A1A1A"/>
        </w:rPr>
        <w:t xml:space="preserve"> </w:t>
      </w:r>
      <w:proofErr w:type="spellStart"/>
      <w:r>
        <w:rPr>
          <w:color w:val="1A1A1A"/>
        </w:rPr>
        <w:t>Psychiatric</w:t>
      </w:r>
      <w:proofErr w:type="spellEnd"/>
      <w:r>
        <w:rPr>
          <w:color w:val="1A1A1A"/>
        </w:rPr>
        <w:t xml:space="preserve"> </w:t>
      </w:r>
      <w:proofErr w:type="spellStart"/>
      <w:r>
        <w:rPr>
          <w:color w:val="1A1A1A"/>
        </w:rPr>
        <w:t>Publishing</w:t>
      </w:r>
      <w:proofErr w:type="spellEnd"/>
      <w:r>
        <w:rPr>
          <w:color w:val="1A1A1A"/>
        </w:rPr>
        <w:t>.</w:t>
      </w:r>
    </w:p>
    <w:p w14:paraId="18C930F5" w14:textId="77777777" w:rsidR="004C7FA8" w:rsidRDefault="00E86F68">
      <w:pPr>
        <w:spacing w:after="200" w:line="340" w:lineRule="auto"/>
        <w:rPr>
          <w:rFonts w:cs="Arial"/>
        </w:rPr>
      </w:pPr>
      <w:proofErr w:type="spellStart"/>
      <w:r>
        <w:rPr>
          <w:color w:val="1A1A1A"/>
        </w:rPr>
        <w:t>Ainsworth</w:t>
      </w:r>
      <w:proofErr w:type="spellEnd"/>
      <w:r>
        <w:rPr>
          <w:color w:val="1A1A1A"/>
        </w:rPr>
        <w:t xml:space="preserve">, M. D. S., </w:t>
      </w:r>
      <w:proofErr w:type="spellStart"/>
      <w:r>
        <w:rPr>
          <w:color w:val="1A1A1A"/>
        </w:rPr>
        <w:t>Blehar</w:t>
      </w:r>
      <w:proofErr w:type="spellEnd"/>
      <w:r>
        <w:rPr>
          <w:color w:val="1A1A1A"/>
        </w:rPr>
        <w:t xml:space="preserve">, M. C., </w:t>
      </w:r>
      <w:proofErr w:type="spellStart"/>
      <w:r>
        <w:rPr>
          <w:color w:val="1A1A1A"/>
        </w:rPr>
        <w:t>Waters</w:t>
      </w:r>
      <w:proofErr w:type="spellEnd"/>
      <w:r>
        <w:rPr>
          <w:color w:val="1A1A1A"/>
        </w:rPr>
        <w:t xml:space="preserve">, E., &amp; </w:t>
      </w:r>
      <w:proofErr w:type="spellStart"/>
      <w:r>
        <w:rPr>
          <w:color w:val="1A1A1A"/>
        </w:rPr>
        <w:t>Wall</w:t>
      </w:r>
      <w:proofErr w:type="spellEnd"/>
      <w:r>
        <w:rPr>
          <w:color w:val="1A1A1A"/>
        </w:rPr>
        <w:t xml:space="preserve">, S. (1978). </w:t>
      </w:r>
      <w:proofErr w:type="spellStart"/>
      <w:r>
        <w:rPr>
          <w:color w:val="1A1A1A"/>
        </w:rPr>
        <w:t>Patterns</w:t>
      </w:r>
      <w:proofErr w:type="spellEnd"/>
      <w:r>
        <w:rPr>
          <w:color w:val="1A1A1A"/>
        </w:rPr>
        <w:t xml:space="preserve"> </w:t>
      </w:r>
      <w:proofErr w:type="spellStart"/>
      <w:r>
        <w:rPr>
          <w:color w:val="1A1A1A"/>
        </w:rPr>
        <w:t>of</w:t>
      </w:r>
      <w:proofErr w:type="spellEnd"/>
      <w:r>
        <w:rPr>
          <w:color w:val="1A1A1A"/>
        </w:rPr>
        <w:t xml:space="preserve"> </w:t>
      </w:r>
      <w:proofErr w:type="spellStart"/>
      <w:r>
        <w:rPr>
          <w:color w:val="1A1A1A"/>
        </w:rPr>
        <w:t>Attachment</w:t>
      </w:r>
      <w:proofErr w:type="spellEnd"/>
      <w:r>
        <w:rPr>
          <w:color w:val="1A1A1A"/>
        </w:rPr>
        <w:t xml:space="preserve">: A </w:t>
      </w:r>
      <w:proofErr w:type="spellStart"/>
      <w:r>
        <w:rPr>
          <w:color w:val="1A1A1A"/>
        </w:rPr>
        <w:t>Psychological</w:t>
      </w:r>
      <w:proofErr w:type="spellEnd"/>
      <w:r>
        <w:rPr>
          <w:color w:val="1A1A1A"/>
        </w:rPr>
        <w:t xml:space="preserve"> </w:t>
      </w:r>
      <w:proofErr w:type="spellStart"/>
      <w:r>
        <w:rPr>
          <w:color w:val="1A1A1A"/>
        </w:rPr>
        <w:t>Study</w:t>
      </w:r>
      <w:proofErr w:type="spellEnd"/>
      <w:r>
        <w:rPr>
          <w:color w:val="1A1A1A"/>
        </w:rPr>
        <w:t xml:space="preserve"> </w:t>
      </w:r>
      <w:proofErr w:type="spellStart"/>
      <w:r>
        <w:rPr>
          <w:color w:val="1A1A1A"/>
        </w:rPr>
        <w:t>of</w:t>
      </w:r>
      <w:proofErr w:type="spellEnd"/>
      <w:r>
        <w:rPr>
          <w:color w:val="1A1A1A"/>
        </w:rPr>
        <w:t xml:space="preserve"> </w:t>
      </w:r>
      <w:proofErr w:type="spellStart"/>
      <w:r>
        <w:rPr>
          <w:color w:val="1A1A1A"/>
        </w:rPr>
        <w:t>the</w:t>
      </w:r>
      <w:proofErr w:type="spellEnd"/>
      <w:r>
        <w:rPr>
          <w:color w:val="1A1A1A"/>
        </w:rPr>
        <w:t xml:space="preserve"> </w:t>
      </w:r>
      <w:proofErr w:type="spellStart"/>
      <w:r>
        <w:rPr>
          <w:color w:val="1A1A1A"/>
        </w:rPr>
        <w:t>Strange</w:t>
      </w:r>
      <w:proofErr w:type="spellEnd"/>
      <w:r>
        <w:rPr>
          <w:color w:val="1A1A1A"/>
        </w:rPr>
        <w:t xml:space="preserve"> </w:t>
      </w:r>
      <w:proofErr w:type="spellStart"/>
      <w:r>
        <w:rPr>
          <w:color w:val="1A1A1A"/>
        </w:rPr>
        <w:t>Situation</w:t>
      </w:r>
      <w:proofErr w:type="spellEnd"/>
      <w:r>
        <w:rPr>
          <w:color w:val="1A1A1A"/>
        </w:rPr>
        <w:t xml:space="preserve">. </w:t>
      </w:r>
      <w:proofErr w:type="spellStart"/>
      <w:r>
        <w:rPr>
          <w:color w:val="1A1A1A"/>
        </w:rPr>
        <w:t>Hillsdale</w:t>
      </w:r>
      <w:proofErr w:type="spellEnd"/>
      <w:r>
        <w:rPr>
          <w:color w:val="1A1A1A"/>
        </w:rPr>
        <w:t xml:space="preserve">, NJ: </w:t>
      </w:r>
      <w:proofErr w:type="spellStart"/>
      <w:r>
        <w:rPr>
          <w:color w:val="1A1A1A"/>
        </w:rPr>
        <w:t>Erlbaum</w:t>
      </w:r>
      <w:proofErr w:type="spellEnd"/>
      <w:r>
        <w:rPr>
          <w:color w:val="1A1A1A"/>
        </w:rPr>
        <w:t>.</w:t>
      </w:r>
    </w:p>
    <w:p w14:paraId="7967DA54" w14:textId="77777777" w:rsidR="004C7FA8" w:rsidRDefault="00E86F68">
      <w:pPr>
        <w:spacing w:after="200" w:line="340" w:lineRule="auto"/>
        <w:rPr>
          <w:rFonts w:cs="Arial"/>
        </w:rPr>
      </w:pPr>
      <w:proofErr w:type="spellStart"/>
      <w:r>
        <w:rPr>
          <w:color w:val="1A1A1A"/>
        </w:rPr>
        <w:t>Bowlby</w:t>
      </w:r>
      <w:proofErr w:type="spellEnd"/>
      <w:r>
        <w:rPr>
          <w:color w:val="1A1A1A"/>
        </w:rPr>
        <w:t xml:space="preserve">, J. (1969). </w:t>
      </w:r>
      <w:proofErr w:type="spellStart"/>
      <w:r>
        <w:rPr>
          <w:color w:val="1A1A1A"/>
        </w:rPr>
        <w:t>Attachment</w:t>
      </w:r>
      <w:proofErr w:type="spellEnd"/>
      <w:r>
        <w:rPr>
          <w:color w:val="1A1A1A"/>
        </w:rPr>
        <w:t xml:space="preserve"> </w:t>
      </w:r>
      <w:proofErr w:type="spellStart"/>
      <w:r>
        <w:rPr>
          <w:color w:val="1A1A1A"/>
        </w:rPr>
        <w:t>and</w:t>
      </w:r>
      <w:proofErr w:type="spellEnd"/>
      <w:r>
        <w:rPr>
          <w:color w:val="1A1A1A"/>
        </w:rPr>
        <w:t xml:space="preserve"> </w:t>
      </w:r>
      <w:proofErr w:type="spellStart"/>
      <w:r>
        <w:rPr>
          <w:color w:val="1A1A1A"/>
        </w:rPr>
        <w:t>Loss</w:t>
      </w:r>
      <w:proofErr w:type="spellEnd"/>
      <w:r>
        <w:rPr>
          <w:color w:val="1A1A1A"/>
        </w:rPr>
        <w:t xml:space="preserve">, </w:t>
      </w:r>
      <w:proofErr w:type="spellStart"/>
      <w:r>
        <w:rPr>
          <w:color w:val="1A1A1A"/>
        </w:rPr>
        <w:t>Vol</w:t>
      </w:r>
      <w:proofErr w:type="spellEnd"/>
      <w:r>
        <w:rPr>
          <w:color w:val="1A1A1A"/>
        </w:rPr>
        <w:t xml:space="preserve">. 1: </w:t>
      </w:r>
      <w:proofErr w:type="spellStart"/>
      <w:r>
        <w:rPr>
          <w:color w:val="1A1A1A"/>
        </w:rPr>
        <w:t>Attachment</w:t>
      </w:r>
      <w:proofErr w:type="spellEnd"/>
      <w:r>
        <w:rPr>
          <w:color w:val="1A1A1A"/>
        </w:rPr>
        <w:t xml:space="preserve">. </w:t>
      </w:r>
      <w:proofErr w:type="spellStart"/>
      <w:r>
        <w:rPr>
          <w:color w:val="1A1A1A"/>
        </w:rPr>
        <w:t>London</w:t>
      </w:r>
      <w:proofErr w:type="spellEnd"/>
      <w:r>
        <w:rPr>
          <w:color w:val="1A1A1A"/>
        </w:rPr>
        <w:t xml:space="preserve">: </w:t>
      </w:r>
      <w:proofErr w:type="spellStart"/>
      <w:r>
        <w:rPr>
          <w:color w:val="1A1A1A"/>
        </w:rPr>
        <w:t>Hogarth</w:t>
      </w:r>
      <w:proofErr w:type="spellEnd"/>
      <w:r>
        <w:rPr>
          <w:color w:val="1A1A1A"/>
        </w:rPr>
        <w:t xml:space="preserve"> </w:t>
      </w:r>
      <w:proofErr w:type="spellStart"/>
      <w:r>
        <w:rPr>
          <w:color w:val="1A1A1A"/>
        </w:rPr>
        <w:t>Press</w:t>
      </w:r>
      <w:proofErr w:type="spellEnd"/>
      <w:r>
        <w:rPr>
          <w:color w:val="1A1A1A"/>
        </w:rPr>
        <w:t>.</w:t>
      </w:r>
    </w:p>
    <w:p w14:paraId="202FB29E" w14:textId="77777777" w:rsidR="004C7FA8" w:rsidRDefault="00E86F68">
      <w:pPr>
        <w:spacing w:after="200" w:line="340" w:lineRule="auto"/>
        <w:rPr>
          <w:rFonts w:cs="Arial"/>
        </w:rPr>
      </w:pPr>
      <w:proofErr w:type="spellStart"/>
      <w:r>
        <w:rPr>
          <w:color w:val="1A1A1A"/>
        </w:rPr>
        <w:t>Bowlby</w:t>
      </w:r>
      <w:proofErr w:type="spellEnd"/>
      <w:r>
        <w:rPr>
          <w:color w:val="1A1A1A"/>
        </w:rPr>
        <w:t xml:space="preserve">, J. (1973). </w:t>
      </w:r>
      <w:proofErr w:type="spellStart"/>
      <w:r>
        <w:rPr>
          <w:color w:val="1A1A1A"/>
        </w:rPr>
        <w:t>Attachment</w:t>
      </w:r>
      <w:proofErr w:type="spellEnd"/>
      <w:r>
        <w:rPr>
          <w:color w:val="1A1A1A"/>
        </w:rPr>
        <w:t xml:space="preserve"> </w:t>
      </w:r>
      <w:proofErr w:type="spellStart"/>
      <w:r>
        <w:rPr>
          <w:color w:val="1A1A1A"/>
        </w:rPr>
        <w:t>and</w:t>
      </w:r>
      <w:proofErr w:type="spellEnd"/>
      <w:r>
        <w:rPr>
          <w:color w:val="1A1A1A"/>
        </w:rPr>
        <w:t xml:space="preserve"> </w:t>
      </w:r>
      <w:proofErr w:type="spellStart"/>
      <w:r>
        <w:rPr>
          <w:color w:val="1A1A1A"/>
        </w:rPr>
        <w:t>Loss</w:t>
      </w:r>
      <w:proofErr w:type="spellEnd"/>
      <w:r>
        <w:rPr>
          <w:color w:val="1A1A1A"/>
        </w:rPr>
        <w:t xml:space="preserve">, </w:t>
      </w:r>
      <w:proofErr w:type="spellStart"/>
      <w:r>
        <w:rPr>
          <w:color w:val="1A1A1A"/>
        </w:rPr>
        <w:t>Vol</w:t>
      </w:r>
      <w:proofErr w:type="spellEnd"/>
      <w:r>
        <w:rPr>
          <w:color w:val="1A1A1A"/>
        </w:rPr>
        <w:t xml:space="preserve">. 2: </w:t>
      </w:r>
      <w:proofErr w:type="spellStart"/>
      <w:r>
        <w:rPr>
          <w:color w:val="1A1A1A"/>
        </w:rPr>
        <w:t>Separation</w:t>
      </w:r>
      <w:proofErr w:type="spellEnd"/>
      <w:r>
        <w:rPr>
          <w:color w:val="1A1A1A"/>
        </w:rPr>
        <w:t xml:space="preserve">. </w:t>
      </w:r>
      <w:proofErr w:type="spellStart"/>
      <w:r>
        <w:rPr>
          <w:color w:val="1A1A1A"/>
        </w:rPr>
        <w:t>London</w:t>
      </w:r>
      <w:proofErr w:type="spellEnd"/>
      <w:r>
        <w:rPr>
          <w:color w:val="1A1A1A"/>
        </w:rPr>
        <w:t xml:space="preserve">: </w:t>
      </w:r>
      <w:proofErr w:type="spellStart"/>
      <w:r>
        <w:rPr>
          <w:color w:val="1A1A1A"/>
        </w:rPr>
        <w:t>Hogarth</w:t>
      </w:r>
      <w:proofErr w:type="spellEnd"/>
      <w:r>
        <w:rPr>
          <w:color w:val="1A1A1A"/>
        </w:rPr>
        <w:t xml:space="preserve"> </w:t>
      </w:r>
      <w:proofErr w:type="spellStart"/>
      <w:r>
        <w:rPr>
          <w:color w:val="1A1A1A"/>
        </w:rPr>
        <w:t>Press</w:t>
      </w:r>
      <w:proofErr w:type="spellEnd"/>
      <w:r>
        <w:rPr>
          <w:color w:val="1A1A1A"/>
        </w:rPr>
        <w:t>.</w:t>
      </w:r>
    </w:p>
    <w:p w14:paraId="60E412AA" w14:textId="77777777" w:rsidR="004C7FA8" w:rsidRDefault="00E86F68">
      <w:pPr>
        <w:spacing w:after="200" w:line="340" w:lineRule="auto"/>
        <w:rPr>
          <w:rFonts w:cs="Arial"/>
        </w:rPr>
      </w:pPr>
      <w:proofErr w:type="spellStart"/>
      <w:r>
        <w:rPr>
          <w:color w:val="1A1A1A"/>
        </w:rPr>
        <w:t>Bowlby</w:t>
      </w:r>
      <w:proofErr w:type="spellEnd"/>
      <w:r>
        <w:rPr>
          <w:color w:val="1A1A1A"/>
        </w:rPr>
        <w:t xml:space="preserve">, J. (1988). A </w:t>
      </w:r>
      <w:proofErr w:type="spellStart"/>
      <w:r>
        <w:rPr>
          <w:color w:val="1A1A1A"/>
        </w:rPr>
        <w:t>Secure</w:t>
      </w:r>
      <w:proofErr w:type="spellEnd"/>
      <w:r>
        <w:rPr>
          <w:color w:val="1A1A1A"/>
        </w:rPr>
        <w:t xml:space="preserve"> </w:t>
      </w:r>
      <w:proofErr w:type="spellStart"/>
      <w:r>
        <w:rPr>
          <w:color w:val="1A1A1A"/>
        </w:rPr>
        <w:t>Base</w:t>
      </w:r>
      <w:proofErr w:type="spellEnd"/>
      <w:r>
        <w:rPr>
          <w:color w:val="1A1A1A"/>
        </w:rPr>
        <w:t xml:space="preserve">: </w:t>
      </w:r>
      <w:proofErr w:type="spellStart"/>
      <w:r>
        <w:rPr>
          <w:color w:val="1A1A1A"/>
        </w:rPr>
        <w:t>Parent-Child</w:t>
      </w:r>
      <w:proofErr w:type="spellEnd"/>
      <w:r>
        <w:rPr>
          <w:color w:val="1A1A1A"/>
        </w:rPr>
        <w:t xml:space="preserve"> </w:t>
      </w:r>
      <w:proofErr w:type="spellStart"/>
      <w:r>
        <w:rPr>
          <w:color w:val="1A1A1A"/>
        </w:rPr>
        <w:t>Attachment</w:t>
      </w:r>
      <w:proofErr w:type="spellEnd"/>
      <w:r>
        <w:rPr>
          <w:color w:val="1A1A1A"/>
        </w:rPr>
        <w:t xml:space="preserve"> </w:t>
      </w:r>
      <w:proofErr w:type="spellStart"/>
      <w:r>
        <w:rPr>
          <w:color w:val="1A1A1A"/>
        </w:rPr>
        <w:t>and</w:t>
      </w:r>
      <w:proofErr w:type="spellEnd"/>
      <w:r>
        <w:rPr>
          <w:color w:val="1A1A1A"/>
        </w:rPr>
        <w:t xml:space="preserve"> </w:t>
      </w:r>
      <w:proofErr w:type="spellStart"/>
      <w:r>
        <w:rPr>
          <w:color w:val="1A1A1A"/>
        </w:rPr>
        <w:t>Healthy</w:t>
      </w:r>
      <w:proofErr w:type="spellEnd"/>
      <w:r>
        <w:rPr>
          <w:color w:val="1A1A1A"/>
        </w:rPr>
        <w:t xml:space="preserve"> </w:t>
      </w:r>
      <w:proofErr w:type="spellStart"/>
      <w:r>
        <w:rPr>
          <w:color w:val="1A1A1A"/>
        </w:rPr>
        <w:t>Human</w:t>
      </w:r>
      <w:proofErr w:type="spellEnd"/>
      <w:r>
        <w:rPr>
          <w:color w:val="1A1A1A"/>
        </w:rPr>
        <w:t xml:space="preserve"> </w:t>
      </w:r>
      <w:proofErr w:type="spellStart"/>
      <w:r>
        <w:rPr>
          <w:color w:val="1A1A1A"/>
        </w:rPr>
        <w:t>Development</w:t>
      </w:r>
      <w:proofErr w:type="spellEnd"/>
      <w:r>
        <w:rPr>
          <w:color w:val="1A1A1A"/>
        </w:rPr>
        <w:t xml:space="preserve">. </w:t>
      </w:r>
      <w:proofErr w:type="spellStart"/>
      <w:r>
        <w:rPr>
          <w:color w:val="1A1A1A"/>
        </w:rPr>
        <w:t>New</w:t>
      </w:r>
      <w:proofErr w:type="spellEnd"/>
      <w:r>
        <w:rPr>
          <w:color w:val="1A1A1A"/>
        </w:rPr>
        <w:t xml:space="preserve"> </w:t>
      </w:r>
      <w:proofErr w:type="spellStart"/>
      <w:r>
        <w:rPr>
          <w:color w:val="1A1A1A"/>
        </w:rPr>
        <w:t>York</w:t>
      </w:r>
      <w:proofErr w:type="spellEnd"/>
      <w:r>
        <w:rPr>
          <w:color w:val="1A1A1A"/>
        </w:rPr>
        <w:t xml:space="preserve">: </w:t>
      </w:r>
      <w:proofErr w:type="spellStart"/>
      <w:r>
        <w:rPr>
          <w:color w:val="1A1A1A"/>
        </w:rPr>
        <w:t>Basic</w:t>
      </w:r>
      <w:proofErr w:type="spellEnd"/>
      <w:r>
        <w:rPr>
          <w:color w:val="1A1A1A"/>
        </w:rPr>
        <w:t xml:space="preserve"> </w:t>
      </w:r>
      <w:proofErr w:type="spellStart"/>
      <w:r>
        <w:rPr>
          <w:color w:val="1A1A1A"/>
        </w:rPr>
        <w:t>Books</w:t>
      </w:r>
      <w:proofErr w:type="spellEnd"/>
      <w:r>
        <w:rPr>
          <w:color w:val="1A1A1A"/>
        </w:rPr>
        <w:t>.</w:t>
      </w:r>
    </w:p>
    <w:p w14:paraId="28ACF799" w14:textId="77777777" w:rsidR="004C7FA8" w:rsidRDefault="00E86F68">
      <w:pPr>
        <w:spacing w:after="200" w:line="340" w:lineRule="auto"/>
        <w:rPr>
          <w:rFonts w:cs="Arial"/>
        </w:rPr>
      </w:pPr>
      <w:proofErr w:type="spellStart"/>
      <w:r>
        <w:rPr>
          <w:color w:val="1A1A1A"/>
        </w:rPr>
        <w:t>Bowen</w:t>
      </w:r>
      <w:proofErr w:type="spellEnd"/>
      <w:r>
        <w:rPr>
          <w:color w:val="1A1A1A"/>
        </w:rPr>
        <w:t xml:space="preserve">, M. (1978). </w:t>
      </w:r>
      <w:proofErr w:type="spellStart"/>
      <w:r>
        <w:rPr>
          <w:color w:val="1A1A1A"/>
        </w:rPr>
        <w:t>Family</w:t>
      </w:r>
      <w:proofErr w:type="spellEnd"/>
      <w:r>
        <w:rPr>
          <w:color w:val="1A1A1A"/>
        </w:rPr>
        <w:t xml:space="preserve"> </w:t>
      </w:r>
      <w:proofErr w:type="spellStart"/>
      <w:r>
        <w:rPr>
          <w:color w:val="1A1A1A"/>
        </w:rPr>
        <w:t>Therapy</w:t>
      </w:r>
      <w:proofErr w:type="spellEnd"/>
      <w:r>
        <w:rPr>
          <w:color w:val="1A1A1A"/>
        </w:rPr>
        <w:t xml:space="preserve"> </w:t>
      </w:r>
      <w:proofErr w:type="spellStart"/>
      <w:r>
        <w:rPr>
          <w:color w:val="1A1A1A"/>
        </w:rPr>
        <w:t>in</w:t>
      </w:r>
      <w:proofErr w:type="spellEnd"/>
      <w:r>
        <w:rPr>
          <w:color w:val="1A1A1A"/>
        </w:rPr>
        <w:t xml:space="preserve"> </w:t>
      </w:r>
      <w:proofErr w:type="spellStart"/>
      <w:r>
        <w:rPr>
          <w:color w:val="1A1A1A"/>
        </w:rPr>
        <w:t>Clinical</w:t>
      </w:r>
      <w:proofErr w:type="spellEnd"/>
      <w:r>
        <w:rPr>
          <w:color w:val="1A1A1A"/>
        </w:rPr>
        <w:t xml:space="preserve"> </w:t>
      </w:r>
      <w:proofErr w:type="spellStart"/>
      <w:r>
        <w:rPr>
          <w:color w:val="1A1A1A"/>
        </w:rPr>
        <w:t>Practice</w:t>
      </w:r>
      <w:proofErr w:type="spellEnd"/>
      <w:r>
        <w:rPr>
          <w:color w:val="1A1A1A"/>
        </w:rPr>
        <w:t xml:space="preserve">. </w:t>
      </w:r>
      <w:proofErr w:type="spellStart"/>
      <w:r>
        <w:rPr>
          <w:color w:val="1A1A1A"/>
        </w:rPr>
        <w:t>New</w:t>
      </w:r>
      <w:proofErr w:type="spellEnd"/>
      <w:r>
        <w:rPr>
          <w:color w:val="1A1A1A"/>
        </w:rPr>
        <w:t xml:space="preserve"> </w:t>
      </w:r>
      <w:proofErr w:type="spellStart"/>
      <w:r>
        <w:rPr>
          <w:color w:val="1A1A1A"/>
        </w:rPr>
        <w:t>York</w:t>
      </w:r>
      <w:proofErr w:type="spellEnd"/>
      <w:r>
        <w:rPr>
          <w:color w:val="1A1A1A"/>
        </w:rPr>
        <w:t xml:space="preserve">: </w:t>
      </w:r>
      <w:proofErr w:type="spellStart"/>
      <w:r>
        <w:rPr>
          <w:color w:val="1A1A1A"/>
        </w:rPr>
        <w:t>Jason</w:t>
      </w:r>
      <w:proofErr w:type="spellEnd"/>
      <w:r>
        <w:rPr>
          <w:color w:val="1A1A1A"/>
        </w:rPr>
        <w:t xml:space="preserve"> </w:t>
      </w:r>
      <w:proofErr w:type="spellStart"/>
      <w:r>
        <w:rPr>
          <w:color w:val="1A1A1A"/>
        </w:rPr>
        <w:t>Aronson</w:t>
      </w:r>
      <w:proofErr w:type="spellEnd"/>
      <w:r>
        <w:rPr>
          <w:color w:val="1A1A1A"/>
        </w:rPr>
        <w:t>.</w:t>
      </w:r>
    </w:p>
    <w:p w14:paraId="0EA37B62" w14:textId="77777777" w:rsidR="004C7FA8" w:rsidRDefault="00E86F68">
      <w:pPr>
        <w:spacing w:after="200" w:line="340" w:lineRule="auto"/>
        <w:rPr>
          <w:rFonts w:cs="Arial"/>
        </w:rPr>
      </w:pPr>
      <w:proofErr w:type="spellStart"/>
      <w:r>
        <w:rPr>
          <w:color w:val="1A1A1A"/>
        </w:rPr>
        <w:t>Kernberg</w:t>
      </w:r>
      <w:proofErr w:type="spellEnd"/>
      <w:r>
        <w:rPr>
          <w:color w:val="1A1A1A"/>
        </w:rPr>
        <w:t xml:space="preserve">, O. F. (1975). </w:t>
      </w:r>
      <w:proofErr w:type="spellStart"/>
      <w:r>
        <w:rPr>
          <w:color w:val="1A1A1A"/>
        </w:rPr>
        <w:t>Borderline</w:t>
      </w:r>
      <w:proofErr w:type="spellEnd"/>
      <w:r>
        <w:rPr>
          <w:color w:val="1A1A1A"/>
        </w:rPr>
        <w:t xml:space="preserve"> </w:t>
      </w:r>
      <w:proofErr w:type="spellStart"/>
      <w:r>
        <w:rPr>
          <w:color w:val="1A1A1A"/>
        </w:rPr>
        <w:t>Conditions</w:t>
      </w:r>
      <w:proofErr w:type="spellEnd"/>
      <w:r>
        <w:rPr>
          <w:color w:val="1A1A1A"/>
        </w:rPr>
        <w:t xml:space="preserve"> </w:t>
      </w:r>
      <w:proofErr w:type="spellStart"/>
      <w:r>
        <w:rPr>
          <w:color w:val="1A1A1A"/>
        </w:rPr>
        <w:t>and</w:t>
      </w:r>
      <w:proofErr w:type="spellEnd"/>
      <w:r>
        <w:rPr>
          <w:color w:val="1A1A1A"/>
        </w:rPr>
        <w:t xml:space="preserve"> </w:t>
      </w:r>
      <w:proofErr w:type="spellStart"/>
      <w:r>
        <w:rPr>
          <w:color w:val="1A1A1A"/>
        </w:rPr>
        <w:t>Pathological</w:t>
      </w:r>
      <w:proofErr w:type="spellEnd"/>
      <w:r>
        <w:rPr>
          <w:color w:val="1A1A1A"/>
        </w:rPr>
        <w:t xml:space="preserve"> </w:t>
      </w:r>
      <w:proofErr w:type="spellStart"/>
      <w:r>
        <w:rPr>
          <w:color w:val="1A1A1A"/>
        </w:rPr>
        <w:t>Narcissism</w:t>
      </w:r>
      <w:proofErr w:type="spellEnd"/>
      <w:r>
        <w:rPr>
          <w:color w:val="1A1A1A"/>
        </w:rPr>
        <w:t xml:space="preserve">. </w:t>
      </w:r>
      <w:proofErr w:type="spellStart"/>
      <w:r>
        <w:rPr>
          <w:color w:val="1A1A1A"/>
        </w:rPr>
        <w:t>New</w:t>
      </w:r>
      <w:proofErr w:type="spellEnd"/>
      <w:r>
        <w:rPr>
          <w:color w:val="1A1A1A"/>
        </w:rPr>
        <w:t xml:space="preserve"> </w:t>
      </w:r>
      <w:proofErr w:type="spellStart"/>
      <w:r>
        <w:rPr>
          <w:color w:val="1A1A1A"/>
        </w:rPr>
        <w:t>York</w:t>
      </w:r>
      <w:proofErr w:type="spellEnd"/>
      <w:r>
        <w:rPr>
          <w:color w:val="1A1A1A"/>
        </w:rPr>
        <w:t xml:space="preserve">: </w:t>
      </w:r>
      <w:proofErr w:type="spellStart"/>
      <w:r>
        <w:rPr>
          <w:color w:val="1A1A1A"/>
        </w:rPr>
        <w:t>Jason</w:t>
      </w:r>
      <w:proofErr w:type="spellEnd"/>
      <w:r>
        <w:rPr>
          <w:color w:val="1A1A1A"/>
        </w:rPr>
        <w:t xml:space="preserve"> </w:t>
      </w:r>
      <w:proofErr w:type="spellStart"/>
      <w:r>
        <w:rPr>
          <w:color w:val="1A1A1A"/>
        </w:rPr>
        <w:t>Aronson</w:t>
      </w:r>
      <w:proofErr w:type="spellEnd"/>
      <w:r>
        <w:rPr>
          <w:color w:val="1A1A1A"/>
        </w:rPr>
        <w:t>.</w:t>
      </w:r>
    </w:p>
    <w:p w14:paraId="30C10710" w14:textId="77777777" w:rsidR="004C7FA8" w:rsidRDefault="00E86F68">
      <w:pPr>
        <w:spacing w:after="200" w:line="340" w:lineRule="auto"/>
        <w:rPr>
          <w:rFonts w:cs="Arial"/>
        </w:rPr>
      </w:pPr>
      <w:proofErr w:type="spellStart"/>
      <w:r>
        <w:rPr>
          <w:color w:val="1A1A1A"/>
        </w:rPr>
        <w:t>Kohut</w:t>
      </w:r>
      <w:proofErr w:type="spellEnd"/>
      <w:r>
        <w:rPr>
          <w:color w:val="1A1A1A"/>
        </w:rPr>
        <w:t xml:space="preserve">, H. (1971). </w:t>
      </w:r>
      <w:proofErr w:type="spellStart"/>
      <w:r>
        <w:rPr>
          <w:color w:val="1A1A1A"/>
        </w:rPr>
        <w:t>The</w:t>
      </w:r>
      <w:proofErr w:type="spellEnd"/>
      <w:r>
        <w:rPr>
          <w:color w:val="1A1A1A"/>
        </w:rPr>
        <w:t xml:space="preserve"> </w:t>
      </w:r>
      <w:proofErr w:type="spellStart"/>
      <w:r>
        <w:rPr>
          <w:color w:val="1A1A1A"/>
        </w:rPr>
        <w:t>Analysis</w:t>
      </w:r>
      <w:proofErr w:type="spellEnd"/>
      <w:r>
        <w:rPr>
          <w:color w:val="1A1A1A"/>
        </w:rPr>
        <w:t xml:space="preserve"> </w:t>
      </w:r>
      <w:proofErr w:type="spellStart"/>
      <w:r>
        <w:rPr>
          <w:color w:val="1A1A1A"/>
        </w:rPr>
        <w:t>of</w:t>
      </w:r>
      <w:proofErr w:type="spellEnd"/>
      <w:r>
        <w:rPr>
          <w:color w:val="1A1A1A"/>
        </w:rPr>
        <w:t xml:space="preserve"> </w:t>
      </w:r>
      <w:proofErr w:type="spellStart"/>
      <w:r>
        <w:rPr>
          <w:color w:val="1A1A1A"/>
        </w:rPr>
        <w:t>the</w:t>
      </w:r>
      <w:proofErr w:type="spellEnd"/>
      <w:r>
        <w:rPr>
          <w:color w:val="1A1A1A"/>
        </w:rPr>
        <w:t xml:space="preserve"> </w:t>
      </w:r>
      <w:proofErr w:type="spellStart"/>
      <w:r>
        <w:rPr>
          <w:color w:val="1A1A1A"/>
        </w:rPr>
        <w:t>Self</w:t>
      </w:r>
      <w:proofErr w:type="spellEnd"/>
      <w:r>
        <w:rPr>
          <w:color w:val="1A1A1A"/>
        </w:rPr>
        <w:t xml:space="preserve">. </w:t>
      </w:r>
      <w:proofErr w:type="spellStart"/>
      <w:r>
        <w:rPr>
          <w:color w:val="1A1A1A"/>
        </w:rPr>
        <w:t>New</w:t>
      </w:r>
      <w:proofErr w:type="spellEnd"/>
      <w:r>
        <w:rPr>
          <w:color w:val="1A1A1A"/>
        </w:rPr>
        <w:t xml:space="preserve"> </w:t>
      </w:r>
      <w:proofErr w:type="spellStart"/>
      <w:r>
        <w:rPr>
          <w:color w:val="1A1A1A"/>
        </w:rPr>
        <w:t>York</w:t>
      </w:r>
      <w:proofErr w:type="spellEnd"/>
      <w:r>
        <w:rPr>
          <w:color w:val="1A1A1A"/>
        </w:rPr>
        <w:t xml:space="preserve">: </w:t>
      </w:r>
      <w:proofErr w:type="spellStart"/>
      <w:r>
        <w:rPr>
          <w:color w:val="1A1A1A"/>
        </w:rPr>
        <w:t>International</w:t>
      </w:r>
      <w:proofErr w:type="spellEnd"/>
      <w:r>
        <w:rPr>
          <w:color w:val="1A1A1A"/>
        </w:rPr>
        <w:t xml:space="preserve"> </w:t>
      </w:r>
      <w:proofErr w:type="spellStart"/>
      <w:r>
        <w:rPr>
          <w:color w:val="1A1A1A"/>
        </w:rPr>
        <w:t>Universities</w:t>
      </w:r>
      <w:proofErr w:type="spellEnd"/>
      <w:r>
        <w:rPr>
          <w:color w:val="1A1A1A"/>
        </w:rPr>
        <w:t xml:space="preserve"> </w:t>
      </w:r>
      <w:proofErr w:type="spellStart"/>
      <w:r>
        <w:rPr>
          <w:color w:val="1A1A1A"/>
        </w:rPr>
        <w:t>Press</w:t>
      </w:r>
      <w:proofErr w:type="spellEnd"/>
      <w:r>
        <w:rPr>
          <w:color w:val="1A1A1A"/>
        </w:rPr>
        <w:t>.</w:t>
      </w:r>
    </w:p>
    <w:p w14:paraId="7838CDF2" w14:textId="77777777" w:rsidR="004C7FA8" w:rsidRDefault="00E86F68">
      <w:pPr>
        <w:spacing w:after="200" w:line="340" w:lineRule="auto"/>
        <w:rPr>
          <w:rFonts w:cs="Arial"/>
        </w:rPr>
      </w:pPr>
      <w:proofErr w:type="spellStart"/>
      <w:r>
        <w:rPr>
          <w:color w:val="1A1A1A"/>
        </w:rPr>
        <w:t>Main</w:t>
      </w:r>
      <w:proofErr w:type="spellEnd"/>
      <w:r>
        <w:rPr>
          <w:color w:val="1A1A1A"/>
        </w:rPr>
        <w:t xml:space="preserve">, M., &amp; </w:t>
      </w:r>
      <w:proofErr w:type="spellStart"/>
      <w:r>
        <w:rPr>
          <w:color w:val="1A1A1A"/>
        </w:rPr>
        <w:t>Goldwyn</w:t>
      </w:r>
      <w:proofErr w:type="spellEnd"/>
      <w:r>
        <w:rPr>
          <w:color w:val="1A1A1A"/>
        </w:rPr>
        <w:t xml:space="preserve">, R. (1984). </w:t>
      </w:r>
      <w:proofErr w:type="spellStart"/>
      <w:r>
        <w:rPr>
          <w:color w:val="1A1A1A"/>
        </w:rPr>
        <w:t>Predicting</w:t>
      </w:r>
      <w:proofErr w:type="spellEnd"/>
      <w:r>
        <w:rPr>
          <w:color w:val="1A1A1A"/>
        </w:rPr>
        <w:t xml:space="preserve"> </w:t>
      </w:r>
      <w:proofErr w:type="spellStart"/>
      <w:r>
        <w:rPr>
          <w:color w:val="1A1A1A"/>
        </w:rPr>
        <w:t>Rejection</w:t>
      </w:r>
      <w:proofErr w:type="spellEnd"/>
      <w:r>
        <w:rPr>
          <w:color w:val="1A1A1A"/>
        </w:rPr>
        <w:t xml:space="preserve"> </w:t>
      </w:r>
      <w:proofErr w:type="spellStart"/>
      <w:r>
        <w:rPr>
          <w:color w:val="1A1A1A"/>
        </w:rPr>
        <w:t>of</w:t>
      </w:r>
      <w:proofErr w:type="spellEnd"/>
      <w:r>
        <w:rPr>
          <w:color w:val="1A1A1A"/>
        </w:rPr>
        <w:t xml:space="preserve"> </w:t>
      </w:r>
      <w:proofErr w:type="spellStart"/>
      <w:r>
        <w:rPr>
          <w:color w:val="1A1A1A"/>
        </w:rPr>
        <w:t>Her</w:t>
      </w:r>
      <w:proofErr w:type="spellEnd"/>
      <w:r>
        <w:rPr>
          <w:color w:val="1A1A1A"/>
        </w:rPr>
        <w:t xml:space="preserve"> </w:t>
      </w:r>
      <w:proofErr w:type="spellStart"/>
      <w:r>
        <w:rPr>
          <w:color w:val="1A1A1A"/>
        </w:rPr>
        <w:t>Infant</w:t>
      </w:r>
      <w:proofErr w:type="spellEnd"/>
      <w:r>
        <w:rPr>
          <w:color w:val="1A1A1A"/>
        </w:rPr>
        <w:t xml:space="preserve"> </w:t>
      </w:r>
      <w:proofErr w:type="spellStart"/>
      <w:r>
        <w:rPr>
          <w:color w:val="1A1A1A"/>
        </w:rPr>
        <w:t>from</w:t>
      </w:r>
      <w:proofErr w:type="spellEnd"/>
      <w:r>
        <w:rPr>
          <w:color w:val="1A1A1A"/>
        </w:rPr>
        <w:t xml:space="preserve"> </w:t>
      </w:r>
      <w:proofErr w:type="spellStart"/>
      <w:r>
        <w:rPr>
          <w:color w:val="1A1A1A"/>
        </w:rPr>
        <w:t>Mother's</w:t>
      </w:r>
      <w:proofErr w:type="spellEnd"/>
      <w:r>
        <w:rPr>
          <w:color w:val="1A1A1A"/>
        </w:rPr>
        <w:t xml:space="preserve"> </w:t>
      </w:r>
      <w:proofErr w:type="spellStart"/>
      <w:r>
        <w:rPr>
          <w:color w:val="1A1A1A"/>
        </w:rPr>
        <w:t>Representation</w:t>
      </w:r>
      <w:proofErr w:type="spellEnd"/>
      <w:r>
        <w:rPr>
          <w:color w:val="1A1A1A"/>
        </w:rPr>
        <w:t xml:space="preserve"> </w:t>
      </w:r>
      <w:proofErr w:type="spellStart"/>
      <w:r>
        <w:rPr>
          <w:color w:val="1A1A1A"/>
        </w:rPr>
        <w:t>of</w:t>
      </w:r>
      <w:proofErr w:type="spellEnd"/>
      <w:r>
        <w:rPr>
          <w:color w:val="1A1A1A"/>
        </w:rPr>
        <w:t xml:space="preserve"> </w:t>
      </w:r>
      <w:proofErr w:type="spellStart"/>
      <w:r>
        <w:rPr>
          <w:color w:val="1A1A1A"/>
        </w:rPr>
        <w:t>Her</w:t>
      </w:r>
      <w:proofErr w:type="spellEnd"/>
      <w:r>
        <w:rPr>
          <w:color w:val="1A1A1A"/>
        </w:rPr>
        <w:t xml:space="preserve"> </w:t>
      </w:r>
      <w:proofErr w:type="spellStart"/>
      <w:r>
        <w:rPr>
          <w:color w:val="1A1A1A"/>
        </w:rPr>
        <w:t>Own</w:t>
      </w:r>
      <w:proofErr w:type="spellEnd"/>
      <w:r>
        <w:rPr>
          <w:color w:val="1A1A1A"/>
        </w:rPr>
        <w:t xml:space="preserve"> </w:t>
      </w:r>
      <w:proofErr w:type="spellStart"/>
      <w:r>
        <w:rPr>
          <w:color w:val="1A1A1A"/>
        </w:rPr>
        <w:t>Experience</w:t>
      </w:r>
      <w:proofErr w:type="spellEnd"/>
      <w:r>
        <w:rPr>
          <w:color w:val="1A1A1A"/>
        </w:rPr>
        <w:t xml:space="preserve">. </w:t>
      </w:r>
      <w:proofErr w:type="spellStart"/>
      <w:r>
        <w:rPr>
          <w:color w:val="1A1A1A"/>
        </w:rPr>
        <w:t>Child</w:t>
      </w:r>
      <w:proofErr w:type="spellEnd"/>
      <w:r>
        <w:rPr>
          <w:color w:val="1A1A1A"/>
        </w:rPr>
        <w:t xml:space="preserve"> </w:t>
      </w:r>
      <w:proofErr w:type="spellStart"/>
      <w:r>
        <w:rPr>
          <w:color w:val="1A1A1A"/>
        </w:rPr>
        <w:t>Abuse</w:t>
      </w:r>
      <w:proofErr w:type="spellEnd"/>
      <w:r>
        <w:rPr>
          <w:color w:val="1A1A1A"/>
        </w:rPr>
        <w:t xml:space="preserve"> &amp; </w:t>
      </w:r>
      <w:proofErr w:type="spellStart"/>
      <w:r>
        <w:rPr>
          <w:color w:val="1A1A1A"/>
        </w:rPr>
        <w:t>Neglect</w:t>
      </w:r>
      <w:proofErr w:type="spellEnd"/>
      <w:r>
        <w:rPr>
          <w:color w:val="1A1A1A"/>
        </w:rPr>
        <w:t>, 8(2), 203-217.</w:t>
      </w:r>
    </w:p>
    <w:p w14:paraId="3641B4A6" w14:textId="77777777" w:rsidR="004C7FA8" w:rsidRDefault="00E86F68">
      <w:pPr>
        <w:spacing w:after="200" w:line="340" w:lineRule="auto"/>
        <w:rPr>
          <w:rFonts w:cs="Arial"/>
        </w:rPr>
      </w:pPr>
      <w:proofErr w:type="spellStart"/>
      <w:r>
        <w:rPr>
          <w:color w:val="1A1A1A"/>
        </w:rPr>
        <w:t>Minuchin</w:t>
      </w:r>
      <w:proofErr w:type="spellEnd"/>
      <w:r>
        <w:rPr>
          <w:color w:val="1A1A1A"/>
        </w:rPr>
        <w:t xml:space="preserve">, S. (1974). </w:t>
      </w:r>
      <w:proofErr w:type="spellStart"/>
      <w:r>
        <w:rPr>
          <w:color w:val="1A1A1A"/>
        </w:rPr>
        <w:t>Families</w:t>
      </w:r>
      <w:proofErr w:type="spellEnd"/>
      <w:r>
        <w:rPr>
          <w:color w:val="1A1A1A"/>
        </w:rPr>
        <w:t xml:space="preserve"> </w:t>
      </w:r>
      <w:proofErr w:type="spellStart"/>
      <w:r>
        <w:rPr>
          <w:color w:val="1A1A1A"/>
        </w:rPr>
        <w:t>and</w:t>
      </w:r>
      <w:proofErr w:type="spellEnd"/>
      <w:r>
        <w:rPr>
          <w:color w:val="1A1A1A"/>
        </w:rPr>
        <w:t xml:space="preserve"> </w:t>
      </w:r>
      <w:proofErr w:type="spellStart"/>
      <w:r>
        <w:rPr>
          <w:color w:val="1A1A1A"/>
        </w:rPr>
        <w:t>Family</w:t>
      </w:r>
      <w:proofErr w:type="spellEnd"/>
      <w:r>
        <w:rPr>
          <w:color w:val="1A1A1A"/>
        </w:rPr>
        <w:t xml:space="preserve"> </w:t>
      </w:r>
      <w:proofErr w:type="spellStart"/>
      <w:r>
        <w:rPr>
          <w:color w:val="1A1A1A"/>
        </w:rPr>
        <w:t>Therapy</w:t>
      </w:r>
      <w:proofErr w:type="spellEnd"/>
      <w:r>
        <w:rPr>
          <w:color w:val="1A1A1A"/>
        </w:rPr>
        <w:t xml:space="preserve">. </w:t>
      </w:r>
      <w:proofErr w:type="spellStart"/>
      <w:r>
        <w:rPr>
          <w:color w:val="1A1A1A"/>
        </w:rPr>
        <w:t>Cambridge</w:t>
      </w:r>
      <w:proofErr w:type="spellEnd"/>
      <w:r>
        <w:rPr>
          <w:color w:val="1A1A1A"/>
        </w:rPr>
        <w:t xml:space="preserve">, MA: </w:t>
      </w:r>
      <w:proofErr w:type="spellStart"/>
      <w:r>
        <w:rPr>
          <w:color w:val="1A1A1A"/>
        </w:rPr>
        <w:t>Harvard</w:t>
      </w:r>
      <w:proofErr w:type="spellEnd"/>
      <w:r>
        <w:rPr>
          <w:color w:val="1A1A1A"/>
        </w:rPr>
        <w:t xml:space="preserve"> </w:t>
      </w:r>
      <w:proofErr w:type="spellStart"/>
      <w:r>
        <w:rPr>
          <w:color w:val="1A1A1A"/>
        </w:rPr>
        <w:t>University</w:t>
      </w:r>
      <w:proofErr w:type="spellEnd"/>
      <w:r>
        <w:rPr>
          <w:color w:val="1A1A1A"/>
        </w:rPr>
        <w:t xml:space="preserve"> </w:t>
      </w:r>
      <w:proofErr w:type="spellStart"/>
      <w:r>
        <w:rPr>
          <w:color w:val="1A1A1A"/>
        </w:rPr>
        <w:t>Press</w:t>
      </w:r>
      <w:proofErr w:type="spellEnd"/>
      <w:r>
        <w:rPr>
          <w:color w:val="1A1A1A"/>
        </w:rPr>
        <w:t>.</w:t>
      </w:r>
    </w:p>
    <w:p w14:paraId="11BC2830" w14:textId="77777777" w:rsidR="004C7FA8" w:rsidRDefault="00E86F68">
      <w:pPr>
        <w:spacing w:after="200" w:line="340" w:lineRule="auto"/>
        <w:rPr>
          <w:rFonts w:cs="Arial"/>
        </w:rPr>
      </w:pPr>
      <w:proofErr w:type="spellStart"/>
      <w:r>
        <w:rPr>
          <w:color w:val="1A1A1A"/>
        </w:rPr>
        <w:t>Popper</w:t>
      </w:r>
      <w:proofErr w:type="spellEnd"/>
      <w:r>
        <w:rPr>
          <w:color w:val="1A1A1A"/>
        </w:rPr>
        <w:t xml:space="preserve">, K. (1959). </w:t>
      </w:r>
      <w:proofErr w:type="spellStart"/>
      <w:r>
        <w:rPr>
          <w:color w:val="1A1A1A"/>
        </w:rPr>
        <w:t>The</w:t>
      </w:r>
      <w:proofErr w:type="spellEnd"/>
      <w:r>
        <w:rPr>
          <w:color w:val="1A1A1A"/>
        </w:rPr>
        <w:t xml:space="preserve"> </w:t>
      </w:r>
      <w:proofErr w:type="spellStart"/>
      <w:r>
        <w:rPr>
          <w:color w:val="1A1A1A"/>
        </w:rPr>
        <w:t>Logic</w:t>
      </w:r>
      <w:proofErr w:type="spellEnd"/>
      <w:r>
        <w:rPr>
          <w:color w:val="1A1A1A"/>
        </w:rPr>
        <w:t xml:space="preserve"> </w:t>
      </w:r>
      <w:proofErr w:type="spellStart"/>
      <w:r>
        <w:rPr>
          <w:color w:val="1A1A1A"/>
        </w:rPr>
        <w:t>of</w:t>
      </w:r>
      <w:proofErr w:type="spellEnd"/>
      <w:r>
        <w:rPr>
          <w:color w:val="1A1A1A"/>
        </w:rPr>
        <w:t xml:space="preserve"> </w:t>
      </w:r>
      <w:proofErr w:type="spellStart"/>
      <w:r>
        <w:rPr>
          <w:color w:val="1A1A1A"/>
        </w:rPr>
        <w:t>Scientific</w:t>
      </w:r>
      <w:proofErr w:type="spellEnd"/>
      <w:r>
        <w:rPr>
          <w:color w:val="1A1A1A"/>
        </w:rPr>
        <w:t xml:space="preserve"> </w:t>
      </w:r>
      <w:proofErr w:type="spellStart"/>
      <w:r>
        <w:rPr>
          <w:color w:val="1A1A1A"/>
        </w:rPr>
        <w:t>Discovery</w:t>
      </w:r>
      <w:proofErr w:type="spellEnd"/>
      <w:r>
        <w:rPr>
          <w:color w:val="1A1A1A"/>
        </w:rPr>
        <w:t xml:space="preserve">. </w:t>
      </w:r>
      <w:proofErr w:type="spellStart"/>
      <w:r>
        <w:rPr>
          <w:color w:val="1A1A1A"/>
        </w:rPr>
        <w:t>London</w:t>
      </w:r>
      <w:proofErr w:type="spellEnd"/>
      <w:r>
        <w:rPr>
          <w:color w:val="1A1A1A"/>
        </w:rPr>
        <w:t xml:space="preserve">: </w:t>
      </w:r>
      <w:proofErr w:type="spellStart"/>
      <w:r>
        <w:rPr>
          <w:color w:val="1A1A1A"/>
        </w:rPr>
        <w:t>Hutchinson</w:t>
      </w:r>
      <w:proofErr w:type="spellEnd"/>
      <w:r>
        <w:rPr>
          <w:color w:val="1A1A1A"/>
        </w:rPr>
        <w:t>.</w:t>
      </w:r>
    </w:p>
    <w:p w14:paraId="7A5E71C8" w14:textId="77777777" w:rsidR="004C7FA8" w:rsidRDefault="00E86F68">
      <w:pPr>
        <w:spacing w:after="200" w:line="340" w:lineRule="auto"/>
        <w:rPr>
          <w:rFonts w:cs="Arial"/>
        </w:rPr>
      </w:pPr>
      <w:proofErr w:type="spellStart"/>
      <w:r>
        <w:rPr>
          <w:color w:val="1A1A1A"/>
        </w:rPr>
        <w:t>Seligman</w:t>
      </w:r>
      <w:proofErr w:type="spellEnd"/>
      <w:r>
        <w:rPr>
          <w:color w:val="1A1A1A"/>
        </w:rPr>
        <w:t xml:space="preserve">, M. E. P. (1972). </w:t>
      </w:r>
      <w:proofErr w:type="spellStart"/>
      <w:r>
        <w:rPr>
          <w:color w:val="1A1A1A"/>
        </w:rPr>
        <w:t>Learned</w:t>
      </w:r>
      <w:proofErr w:type="spellEnd"/>
      <w:r>
        <w:rPr>
          <w:color w:val="1A1A1A"/>
        </w:rPr>
        <w:t xml:space="preserve"> </w:t>
      </w:r>
      <w:proofErr w:type="spellStart"/>
      <w:r>
        <w:rPr>
          <w:color w:val="1A1A1A"/>
        </w:rPr>
        <w:t>Helplessness</w:t>
      </w:r>
      <w:proofErr w:type="spellEnd"/>
      <w:r>
        <w:rPr>
          <w:color w:val="1A1A1A"/>
        </w:rPr>
        <w:t xml:space="preserve">. </w:t>
      </w:r>
      <w:proofErr w:type="spellStart"/>
      <w:r>
        <w:rPr>
          <w:color w:val="1A1A1A"/>
        </w:rPr>
        <w:t>Annual</w:t>
      </w:r>
      <w:proofErr w:type="spellEnd"/>
      <w:r>
        <w:rPr>
          <w:color w:val="1A1A1A"/>
        </w:rPr>
        <w:t xml:space="preserve"> </w:t>
      </w:r>
      <w:proofErr w:type="spellStart"/>
      <w:r>
        <w:rPr>
          <w:color w:val="1A1A1A"/>
        </w:rPr>
        <w:t>Review</w:t>
      </w:r>
      <w:proofErr w:type="spellEnd"/>
      <w:r>
        <w:rPr>
          <w:color w:val="1A1A1A"/>
        </w:rPr>
        <w:t xml:space="preserve"> </w:t>
      </w:r>
      <w:proofErr w:type="spellStart"/>
      <w:r>
        <w:rPr>
          <w:color w:val="1A1A1A"/>
        </w:rPr>
        <w:t>of</w:t>
      </w:r>
      <w:proofErr w:type="spellEnd"/>
      <w:r>
        <w:rPr>
          <w:color w:val="1A1A1A"/>
        </w:rPr>
        <w:t xml:space="preserve"> </w:t>
      </w:r>
      <w:proofErr w:type="spellStart"/>
      <w:r>
        <w:rPr>
          <w:color w:val="1A1A1A"/>
        </w:rPr>
        <w:t>Medicine</w:t>
      </w:r>
      <w:proofErr w:type="spellEnd"/>
      <w:r>
        <w:rPr>
          <w:color w:val="1A1A1A"/>
        </w:rPr>
        <w:t>, 23(1), 407-412.</w:t>
      </w:r>
    </w:p>
    <w:p w14:paraId="143FF647" w14:textId="77777777" w:rsidR="004C7FA8" w:rsidRDefault="00E86F68">
      <w:pPr>
        <w:spacing w:after="200" w:line="340" w:lineRule="auto"/>
        <w:rPr>
          <w:rFonts w:cs="Arial"/>
        </w:rPr>
      </w:pPr>
      <w:proofErr w:type="spellStart"/>
      <w:r>
        <w:rPr>
          <w:color w:val="1A1A1A"/>
        </w:rPr>
        <w:t>Tedeschi</w:t>
      </w:r>
      <w:proofErr w:type="spellEnd"/>
      <w:r>
        <w:rPr>
          <w:color w:val="1A1A1A"/>
        </w:rPr>
        <w:t xml:space="preserve">, R. G., &amp; </w:t>
      </w:r>
      <w:proofErr w:type="spellStart"/>
      <w:r>
        <w:rPr>
          <w:color w:val="1A1A1A"/>
        </w:rPr>
        <w:t>Calhoun</w:t>
      </w:r>
      <w:proofErr w:type="spellEnd"/>
      <w:r>
        <w:rPr>
          <w:color w:val="1A1A1A"/>
        </w:rPr>
        <w:t xml:space="preserve">, L. G. (1996). </w:t>
      </w:r>
      <w:proofErr w:type="spellStart"/>
      <w:r>
        <w:rPr>
          <w:color w:val="1A1A1A"/>
        </w:rPr>
        <w:t>The</w:t>
      </w:r>
      <w:proofErr w:type="spellEnd"/>
      <w:r>
        <w:rPr>
          <w:color w:val="1A1A1A"/>
        </w:rPr>
        <w:t xml:space="preserve"> </w:t>
      </w:r>
      <w:proofErr w:type="spellStart"/>
      <w:r>
        <w:rPr>
          <w:color w:val="1A1A1A"/>
        </w:rPr>
        <w:t>Posttraumatic</w:t>
      </w:r>
      <w:proofErr w:type="spellEnd"/>
      <w:r>
        <w:rPr>
          <w:color w:val="1A1A1A"/>
        </w:rPr>
        <w:t xml:space="preserve"> </w:t>
      </w:r>
      <w:proofErr w:type="spellStart"/>
      <w:r>
        <w:rPr>
          <w:color w:val="1A1A1A"/>
        </w:rPr>
        <w:t>Growth</w:t>
      </w:r>
      <w:proofErr w:type="spellEnd"/>
      <w:r>
        <w:rPr>
          <w:color w:val="1A1A1A"/>
        </w:rPr>
        <w:t xml:space="preserve"> </w:t>
      </w:r>
      <w:proofErr w:type="spellStart"/>
      <w:r>
        <w:rPr>
          <w:color w:val="1A1A1A"/>
        </w:rPr>
        <w:t>Inventory</w:t>
      </w:r>
      <w:proofErr w:type="spellEnd"/>
      <w:r>
        <w:rPr>
          <w:color w:val="1A1A1A"/>
        </w:rPr>
        <w:t xml:space="preserve">: </w:t>
      </w:r>
      <w:proofErr w:type="spellStart"/>
      <w:r>
        <w:rPr>
          <w:color w:val="1A1A1A"/>
        </w:rPr>
        <w:t>Measuring</w:t>
      </w:r>
      <w:proofErr w:type="spellEnd"/>
      <w:r>
        <w:rPr>
          <w:color w:val="1A1A1A"/>
        </w:rPr>
        <w:t xml:space="preserve"> </w:t>
      </w:r>
      <w:proofErr w:type="spellStart"/>
      <w:r>
        <w:rPr>
          <w:color w:val="1A1A1A"/>
        </w:rPr>
        <w:t>the</w:t>
      </w:r>
      <w:proofErr w:type="spellEnd"/>
      <w:r>
        <w:rPr>
          <w:color w:val="1A1A1A"/>
        </w:rPr>
        <w:t xml:space="preserve"> </w:t>
      </w:r>
      <w:proofErr w:type="spellStart"/>
      <w:r>
        <w:rPr>
          <w:color w:val="1A1A1A"/>
        </w:rPr>
        <w:t>Positive</w:t>
      </w:r>
      <w:proofErr w:type="spellEnd"/>
      <w:r>
        <w:rPr>
          <w:color w:val="1A1A1A"/>
        </w:rPr>
        <w:t xml:space="preserve"> </w:t>
      </w:r>
      <w:proofErr w:type="spellStart"/>
      <w:r>
        <w:rPr>
          <w:color w:val="1A1A1A"/>
        </w:rPr>
        <w:t>Legacy</w:t>
      </w:r>
      <w:proofErr w:type="spellEnd"/>
      <w:r>
        <w:rPr>
          <w:color w:val="1A1A1A"/>
        </w:rPr>
        <w:t xml:space="preserve"> </w:t>
      </w:r>
      <w:proofErr w:type="spellStart"/>
      <w:r>
        <w:rPr>
          <w:color w:val="1A1A1A"/>
        </w:rPr>
        <w:t>of</w:t>
      </w:r>
      <w:proofErr w:type="spellEnd"/>
      <w:r>
        <w:rPr>
          <w:color w:val="1A1A1A"/>
        </w:rPr>
        <w:t xml:space="preserve"> </w:t>
      </w:r>
      <w:proofErr w:type="spellStart"/>
      <w:r>
        <w:rPr>
          <w:color w:val="1A1A1A"/>
        </w:rPr>
        <w:t>Trauma</w:t>
      </w:r>
      <w:proofErr w:type="spellEnd"/>
      <w:r>
        <w:rPr>
          <w:color w:val="1A1A1A"/>
        </w:rPr>
        <w:t xml:space="preserve">. </w:t>
      </w:r>
      <w:proofErr w:type="spellStart"/>
      <w:r>
        <w:rPr>
          <w:color w:val="1A1A1A"/>
        </w:rPr>
        <w:t>Journal</w:t>
      </w:r>
      <w:proofErr w:type="spellEnd"/>
      <w:r>
        <w:rPr>
          <w:color w:val="1A1A1A"/>
        </w:rPr>
        <w:t xml:space="preserve"> </w:t>
      </w:r>
      <w:proofErr w:type="spellStart"/>
      <w:r>
        <w:rPr>
          <w:color w:val="1A1A1A"/>
        </w:rPr>
        <w:t>of</w:t>
      </w:r>
      <w:proofErr w:type="spellEnd"/>
      <w:r>
        <w:rPr>
          <w:color w:val="1A1A1A"/>
        </w:rPr>
        <w:t xml:space="preserve"> </w:t>
      </w:r>
      <w:proofErr w:type="spellStart"/>
      <w:r>
        <w:rPr>
          <w:color w:val="1A1A1A"/>
        </w:rPr>
        <w:t>Traumatic</w:t>
      </w:r>
      <w:proofErr w:type="spellEnd"/>
      <w:r>
        <w:rPr>
          <w:color w:val="1A1A1A"/>
        </w:rPr>
        <w:t xml:space="preserve"> </w:t>
      </w:r>
      <w:proofErr w:type="spellStart"/>
      <w:r>
        <w:rPr>
          <w:color w:val="1A1A1A"/>
        </w:rPr>
        <w:t>Stress</w:t>
      </w:r>
      <w:proofErr w:type="spellEnd"/>
      <w:r>
        <w:rPr>
          <w:color w:val="1A1A1A"/>
        </w:rPr>
        <w:t>, 9(3), 455-471.</w:t>
      </w:r>
    </w:p>
    <w:sectPr w:rsidR="004C7FA8">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8060B" w14:textId="77777777" w:rsidR="0044524A" w:rsidRDefault="0044524A">
      <w:pPr>
        <w:rPr>
          <w:rFonts w:cs="Arial"/>
        </w:rPr>
      </w:pPr>
      <w:r>
        <w:separator/>
      </w:r>
    </w:p>
  </w:endnote>
  <w:endnote w:type="continuationSeparator" w:id="0">
    <w:p w14:paraId="1E4E0B29" w14:textId="77777777" w:rsidR="0044524A" w:rsidRDefault="0044524A">
      <w:pPr>
        <w:rPr>
          <w:rFonts w:cs="Aria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81AAA" w14:textId="77777777" w:rsidR="004C7FA8" w:rsidRDefault="00E86F68">
    <w:pPr>
      <w:jc w:val="center"/>
      <w:rPr>
        <w:rFonts w:cs="Arial"/>
      </w:rPr>
    </w:pPr>
    <w:r>
      <w:rPr>
        <w:color w:val="1B2A4A"/>
        <w:sz w:val="18"/>
        <w:szCs w:val="18"/>
      </w:rPr>
      <w:t xml:space="preserve">صفحة </w:t>
    </w:r>
    <w:r>
      <w:rPr>
        <w:color w:val="1B2A4A"/>
        <w:sz w:val="18"/>
        <w:szCs w:val="18"/>
      </w:rPr>
      <w:fldChar w:fldCharType="begin"/>
    </w:r>
    <w:r>
      <w:rPr>
        <w:color w:val="1B2A4A"/>
        <w:sz w:val="18"/>
        <w:szCs w:val="18"/>
      </w:rPr>
      <w:instrText>PAGE</w:instrText>
    </w:r>
    <w:r>
      <w:rPr>
        <w:color w:val="1B2A4A"/>
        <w:sz w:val="18"/>
        <w:szCs w:val="18"/>
      </w:rPr>
      <w:fldChar w:fldCharType="separate"/>
    </w:r>
    <w:r>
      <w:rPr>
        <w:color w:val="1B2A4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4E59B" w14:textId="77777777" w:rsidR="0044524A" w:rsidRDefault="0044524A">
      <w:pPr>
        <w:rPr>
          <w:rFonts w:cs="Arial"/>
        </w:rPr>
      </w:pPr>
      <w:r>
        <w:separator/>
      </w:r>
    </w:p>
  </w:footnote>
  <w:footnote w:type="continuationSeparator" w:id="0">
    <w:p w14:paraId="10E79143" w14:textId="77777777" w:rsidR="0044524A" w:rsidRDefault="0044524A">
      <w:pPr>
        <w:rPr>
          <w:rFonts w:cs="Aria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90144" w14:textId="77777777" w:rsidR="004C7FA8" w:rsidRDefault="00E86F68">
    <w:pPr>
      <w:jc w:val="center"/>
      <w:rPr>
        <w:rFonts w:cs="Arial"/>
      </w:rPr>
    </w:pPr>
    <w:r>
      <w:rPr>
        <w:color w:val="1F6F6F"/>
        <w:sz w:val="18"/>
        <w:szCs w:val="18"/>
      </w:rPr>
      <w:t>علم النفس الاستخلافي — سلسلة الدراسات الأسرية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2329AA"/>
    <w:multiLevelType w:val="hybridMultilevel"/>
    <w:tmpl w:val="FFFFFFFF"/>
    <w:lvl w:ilvl="0" w:tplc="3C505C9C">
      <w:start w:val="1"/>
      <w:numFmt w:val="bullet"/>
      <w:lvlText w:val="●"/>
      <w:lvlJc w:val="left"/>
      <w:pPr>
        <w:ind w:left="720" w:hanging="360"/>
      </w:pPr>
    </w:lvl>
    <w:lvl w:ilvl="1" w:tplc="4F6EC598">
      <w:start w:val="1"/>
      <w:numFmt w:val="bullet"/>
      <w:lvlText w:val="○"/>
      <w:lvlJc w:val="left"/>
      <w:pPr>
        <w:ind w:left="1440" w:hanging="360"/>
      </w:pPr>
    </w:lvl>
    <w:lvl w:ilvl="2" w:tplc="0916D6AA">
      <w:start w:val="1"/>
      <w:numFmt w:val="bullet"/>
      <w:lvlText w:val="■"/>
      <w:lvlJc w:val="left"/>
      <w:pPr>
        <w:ind w:left="2160" w:hanging="360"/>
      </w:pPr>
    </w:lvl>
    <w:lvl w:ilvl="3" w:tplc="D534A574">
      <w:start w:val="1"/>
      <w:numFmt w:val="bullet"/>
      <w:lvlText w:val="●"/>
      <w:lvlJc w:val="left"/>
      <w:pPr>
        <w:ind w:left="2880" w:hanging="360"/>
      </w:pPr>
    </w:lvl>
    <w:lvl w:ilvl="4" w:tplc="C3181FF0">
      <w:start w:val="1"/>
      <w:numFmt w:val="bullet"/>
      <w:lvlText w:val="○"/>
      <w:lvlJc w:val="left"/>
      <w:pPr>
        <w:ind w:left="3600" w:hanging="360"/>
      </w:pPr>
    </w:lvl>
    <w:lvl w:ilvl="5" w:tplc="A978F9F0">
      <w:start w:val="1"/>
      <w:numFmt w:val="bullet"/>
      <w:lvlText w:val="■"/>
      <w:lvlJc w:val="left"/>
      <w:pPr>
        <w:ind w:left="4320" w:hanging="360"/>
      </w:pPr>
    </w:lvl>
    <w:lvl w:ilvl="6" w:tplc="1130BEB2">
      <w:start w:val="1"/>
      <w:numFmt w:val="bullet"/>
      <w:lvlText w:val="●"/>
      <w:lvlJc w:val="left"/>
      <w:pPr>
        <w:ind w:left="5040" w:hanging="360"/>
      </w:pPr>
    </w:lvl>
    <w:lvl w:ilvl="7" w:tplc="5E986F62">
      <w:start w:val="1"/>
      <w:numFmt w:val="bullet"/>
      <w:lvlText w:val="●"/>
      <w:lvlJc w:val="left"/>
      <w:pPr>
        <w:ind w:left="5760" w:hanging="360"/>
      </w:pPr>
    </w:lvl>
    <w:lvl w:ilvl="8" w:tplc="6414B724">
      <w:start w:val="1"/>
      <w:numFmt w:val="bullet"/>
      <w:lvlText w:val="●"/>
      <w:lvlJc w:val="left"/>
      <w:pPr>
        <w:ind w:left="6480" w:hanging="360"/>
      </w:pPr>
    </w:lvl>
  </w:abstractNum>
  <w:num w:numId="1" w16cid:durableId="11717924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FA8"/>
    <w:rsid w:val="00137C79"/>
    <w:rsid w:val="003115CD"/>
    <w:rsid w:val="0044524A"/>
    <w:rsid w:val="004C7FA8"/>
    <w:rsid w:val="007E7726"/>
    <w:rsid w:val="0090597D"/>
    <w:rsid w:val="00A80B78"/>
    <w:rsid w:val="00E61F6F"/>
    <w:rsid w:val="00E86F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5E7D0693"/>
  <w15:docId w15:val="{73399185-1A46-A34B-8ECD-43A4847BC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4"/>
        <w:szCs w:val="24"/>
        <w:rt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4434</Words>
  <Characters>25279</Characters>
  <Application>Microsoft Office Word</Application>
  <DocSecurity>0</DocSecurity>
  <Lines>210</Lines>
  <Paragraphs>59</Paragraphs>
  <ScaleCrop>false</ScaleCrop>
  <Company/>
  <LinksUpToDate>false</LinksUpToDate>
  <CharactersWithSpaces>29654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4</cp:revision>
  <dcterms:created xsi:type="dcterms:W3CDTF">2026-08-22T01:38:00Z</dcterms:created>
  <dcterms:modified xsi:type="dcterms:W3CDTF">2026-08-22T10:17:00Z</dcterms:modified>
</cp:coreProperties>
</file>