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181AD" w14:textId="77777777" w:rsidR="008E708C" w:rsidRDefault="005463D3">
      <w:pPr>
        <w:spacing w:after="160"/>
        <w:jc w:val="center"/>
      </w:pPr>
      <w:r>
        <w:rPr>
          <w:rFonts w:ascii="Traditional Arabic" w:eastAsia="Traditional Arabic" w:hAnsi="Traditional Arabic" w:cs="Traditional Arabic"/>
          <w:b/>
          <w:bCs/>
          <w:color w:val="1B2A4A"/>
          <w:sz w:val="44"/>
          <w:szCs w:val="44"/>
          <w:rtl/>
        </w:rPr>
        <w:t xml:space="preserve">السيطرة القسرية المُقنَّعة دينيًا: دراسة نظرية معمّقة في بنية الشخصية </w:t>
      </w:r>
      <w:proofErr w:type="spellStart"/>
      <w:r>
        <w:rPr>
          <w:rFonts w:ascii="Traditional Arabic" w:eastAsia="Traditional Arabic" w:hAnsi="Traditional Arabic" w:cs="Traditional Arabic"/>
          <w:b/>
          <w:bCs/>
          <w:color w:val="1B2A4A"/>
          <w:sz w:val="44"/>
          <w:szCs w:val="44"/>
          <w:rtl/>
        </w:rPr>
        <w:t>الانسحابية-السيطرية</w:t>
      </w:r>
      <w:proofErr w:type="spellEnd"/>
      <w:r>
        <w:rPr>
          <w:rFonts w:ascii="Traditional Arabic" w:eastAsia="Traditional Arabic" w:hAnsi="Traditional Arabic" w:cs="Traditional Arabic"/>
          <w:b/>
          <w:bCs/>
          <w:color w:val="1B2A4A"/>
          <w:sz w:val="44"/>
          <w:szCs w:val="44"/>
          <w:rtl/>
        </w:rPr>
        <w:t xml:space="preserve"> ضمن إطار علم النفس الاستخلافي</w:t>
      </w:r>
    </w:p>
    <w:p w14:paraId="0C48AF61" w14:textId="77777777" w:rsidR="008E708C" w:rsidRDefault="005463D3">
      <w:pPr>
        <w:spacing w:after="500"/>
        <w:jc w:val="center"/>
        <w:rPr>
          <w:rtl/>
        </w:rPr>
      </w:pPr>
      <w:r>
        <w:rPr>
          <w:rFonts w:ascii="Traditional Arabic" w:eastAsia="Traditional Arabic" w:hAnsi="Traditional Arabic" w:cs="Traditional Arabic"/>
          <w:i/>
          <w:iCs/>
          <w:color w:val="0E6B6B"/>
          <w:sz w:val="28"/>
          <w:szCs w:val="28"/>
          <w:rtl/>
        </w:rPr>
        <w:t>قراءة نقدية في آليات توظيف الخطاب الديني الانتقائي لإنتاج الهيمنة داخل الحيّز الأسري — سلسلة علم النفس الاستخلافي</w:t>
      </w:r>
    </w:p>
    <w:p w14:paraId="0349D0C0" w14:textId="3027C316" w:rsidR="00CE3C0D" w:rsidRDefault="00CE3C0D" w:rsidP="00CE3C0D">
      <w:pPr>
        <w:spacing w:after="500"/>
        <w:jc w:val="center"/>
      </w:pPr>
      <w:r>
        <w:rPr>
          <w:rFonts w:hint="cs"/>
          <w:rtl/>
        </w:rPr>
        <w:t>بقلم : عبد السلام ا</w:t>
      </w:r>
      <w:r w:rsidR="00DB4C45">
        <w:rPr>
          <w:rFonts w:hint="cs"/>
          <w:rtl/>
        </w:rPr>
        <w:t>لزراع</w:t>
      </w:r>
    </w:p>
    <w:p w14:paraId="5B7CD46F"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مقدمة منهجية: من الحالة الفردية إلى النموذج النظري</w:t>
      </w:r>
    </w:p>
    <w:p w14:paraId="5EEE8901"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تنطلق هذه الدراسة من ملاحظة إكلينيكية متكررة في الممارسة الإرشادية والبحثية داخل الفضاء الأسري المسلم، مفادها أن ثمة نمطًا سلوكيًا-نفسيًا متكررًا يمكن تسميته اصطلاحًا بـ«الشخصية </w:t>
      </w:r>
      <w:proofErr w:type="spellStart"/>
      <w:r>
        <w:rPr>
          <w:rFonts w:ascii="Traditional Arabic" w:eastAsia="Traditional Arabic" w:hAnsi="Traditional Arabic" w:cs="Traditional Arabic"/>
          <w:color w:val="1A1A1A"/>
          <w:sz w:val="26"/>
          <w:szCs w:val="26"/>
          <w:rtl/>
        </w:rPr>
        <w:t>الانسحابية-السيطرية</w:t>
      </w:r>
      <w:proofErr w:type="spellEnd"/>
      <w:r>
        <w:rPr>
          <w:rFonts w:ascii="Traditional Arabic" w:eastAsia="Traditional Arabic" w:hAnsi="Traditional Arabic" w:cs="Traditional Arabic"/>
          <w:color w:val="1A1A1A"/>
          <w:sz w:val="26"/>
          <w:szCs w:val="26"/>
          <w:rtl/>
        </w:rPr>
        <w:t>»، وهو نمط لا يخص فردًا بعينه، بل يتكرر بدرجات متفاوتة عبر سياقات ثقافية ودينية متعددة، ويستحق تأطيرًا نظريًا مستقلًا ضمن علم النفس الاستخلافي. والمنهج المتبع هنا هو منهج بناء النموذج (</w:t>
      </w:r>
      <w:proofErr w:type="spellStart"/>
      <w:r>
        <w:rPr>
          <w:rFonts w:ascii="Traditional Arabic" w:eastAsia="Traditional Arabic" w:hAnsi="Traditional Arabic" w:cs="Traditional Arabic"/>
          <w:color w:val="1A1A1A"/>
          <w:sz w:val="26"/>
          <w:szCs w:val="26"/>
          <w:rtl/>
        </w:rPr>
        <w:t>Model-Building</w:t>
      </w:r>
      <w:proofErr w:type="spellEnd"/>
      <w:r>
        <w:rPr>
          <w:rFonts w:ascii="Traditional Arabic" w:eastAsia="Traditional Arabic" w:hAnsi="Traditional Arabic" w:cs="Traditional Arabic"/>
          <w:color w:val="1A1A1A"/>
          <w:sz w:val="26"/>
          <w:szCs w:val="26"/>
          <w:rtl/>
        </w:rPr>
        <w:t>) لا التشخيص الفردي: أي استخلاص البنية العامة للظاهرة من مجموعة الملاحظات السريرية المتكررة، مع تجريدها من أي إسقاط على حالة بعينها، بحيث تصبح أداة تحليلية صالحة للتطبيق العام في البحث والإرشاد الأسري.</w:t>
      </w:r>
    </w:p>
    <w:p w14:paraId="000ACDAC"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تكمن أهمية هذا التمييز المنهجي في أن التشخيص النفسي حين يُسقَط على فرد غائب لم يخضع لتقييم إكلينيكي مباشر، فإنه يفقد شرعيته العلمية ويتحول إلى حكم قيمي متنكر في ثوب علمي؛ وهو ما ينبه إليه علم النفس الاستخلافي بوصفه نقدًا جوهريًا </w:t>
      </w:r>
      <w:proofErr w:type="spellStart"/>
      <w:r>
        <w:rPr>
          <w:rFonts w:ascii="Traditional Arabic" w:eastAsia="Traditional Arabic" w:hAnsi="Traditional Arabic" w:cs="Traditional Arabic"/>
          <w:color w:val="1A1A1A"/>
          <w:sz w:val="26"/>
          <w:szCs w:val="26"/>
          <w:rtl/>
        </w:rPr>
        <w:t>لتسييس</w:t>
      </w:r>
      <w:proofErr w:type="spellEnd"/>
      <w:r>
        <w:rPr>
          <w:rFonts w:ascii="Traditional Arabic" w:eastAsia="Traditional Arabic" w:hAnsi="Traditional Arabic" w:cs="Traditional Arabic"/>
          <w:color w:val="1A1A1A"/>
          <w:sz w:val="26"/>
          <w:szCs w:val="26"/>
          <w:rtl/>
        </w:rPr>
        <w:t xml:space="preserve"> الخطاب النفسي الغربي حين يُستخدم كأداة تصنيف واتهام بدل أن يكون أداة فهم وتحرير. لذلك فإن هذه الدراسة تتعامل مع النمط السلوكي بوصفه ظاهرة اجتماعية-نفسية عامة قابلة للرصد في سياقات متعددة، لا وصفًا لشخص محدد.</w:t>
      </w:r>
    </w:p>
    <w:p w14:paraId="3980FEF3"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وتتوزع الدراسة على محاور ستة: البنية الدفاعية للنمط، الاقتصاد النفسي للعلاقات داخل هذا النمط، آليات توظيف الخطاب الديني في خدمة السيطرة، ديناميكيات السلطة والهوية الذكورية من منظور استخلافي نقدي، الفرضيات التكوينية العامة، وأخيرًا مسارات التدخل الإرشادي والعلاجي والوقائي.</w:t>
      </w:r>
    </w:p>
    <w:p w14:paraId="24C1845A"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أولًا: الانسحاب الاجتماعي كبنية دفاعية — تأصيل نظري</w:t>
      </w:r>
    </w:p>
    <w:p w14:paraId="2EFF2A2B"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يُعرَّف الانسحاب الانفعالي (</w:t>
      </w:r>
      <w:proofErr w:type="spellStart"/>
      <w:r>
        <w:rPr>
          <w:rFonts w:ascii="Traditional Arabic" w:eastAsia="Traditional Arabic" w:hAnsi="Traditional Arabic" w:cs="Traditional Arabic"/>
          <w:color w:val="1A1A1A"/>
          <w:sz w:val="26"/>
          <w:szCs w:val="26"/>
          <w:rtl/>
        </w:rPr>
        <w:t>Emotional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Withdrawal</w:t>
      </w:r>
      <w:proofErr w:type="spellEnd"/>
      <w:r>
        <w:rPr>
          <w:rFonts w:ascii="Traditional Arabic" w:eastAsia="Traditional Arabic" w:hAnsi="Traditional Arabic" w:cs="Traditional Arabic"/>
          <w:color w:val="1A1A1A"/>
          <w:sz w:val="26"/>
          <w:szCs w:val="26"/>
          <w:rtl/>
        </w:rPr>
        <w:t xml:space="preserve">) في الأدبيات الإكلينيكية الغربية بوصفه استراتيجية </w:t>
      </w:r>
      <w:proofErr w:type="spellStart"/>
      <w:r>
        <w:rPr>
          <w:rFonts w:ascii="Traditional Arabic" w:eastAsia="Traditional Arabic" w:hAnsi="Traditional Arabic" w:cs="Traditional Arabic"/>
          <w:color w:val="1A1A1A"/>
          <w:sz w:val="26"/>
          <w:szCs w:val="26"/>
          <w:rtl/>
        </w:rPr>
        <w:t>تجنبية</w:t>
      </w:r>
      <w:proofErr w:type="spellEnd"/>
      <w:r>
        <w:rPr>
          <w:rFonts w:ascii="Traditional Arabic" w:eastAsia="Traditional Arabic" w:hAnsi="Traditional Arabic" w:cs="Traditional Arabic"/>
          <w:color w:val="1A1A1A"/>
          <w:sz w:val="26"/>
          <w:szCs w:val="26"/>
          <w:rtl/>
        </w:rPr>
        <w:t xml:space="preserve"> تحمي الذات من التعرض للتقييم أو الرفض، وهي استراتيجية موصوفة أصلًا ضمن معايير اضطراب الشخصية </w:t>
      </w:r>
      <w:proofErr w:type="spellStart"/>
      <w:r>
        <w:rPr>
          <w:rFonts w:ascii="Traditional Arabic" w:eastAsia="Traditional Arabic" w:hAnsi="Traditional Arabic" w:cs="Traditional Arabic"/>
          <w:color w:val="1A1A1A"/>
          <w:sz w:val="26"/>
          <w:szCs w:val="26"/>
          <w:rtl/>
        </w:rPr>
        <w:t>التجنبية</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Avoidant</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Personality</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Disorder</w:t>
      </w:r>
      <w:proofErr w:type="spellEnd"/>
      <w:r>
        <w:rPr>
          <w:rFonts w:ascii="Traditional Arabic" w:eastAsia="Traditional Arabic" w:hAnsi="Traditional Arabic" w:cs="Traditional Arabic"/>
          <w:color w:val="1A1A1A"/>
          <w:sz w:val="26"/>
          <w:szCs w:val="26"/>
          <w:rtl/>
        </w:rPr>
        <w:t>) في الدليل التشخيصي الأمريكي. غير أن علم النفس الاستخلافي يضيف بُعدًا لا يلتفت إليه التصنيف الغربي، وهو البُعد الوجودي-الإيماني للانسحاب: فحين يُختزل الانسحاب في تصنيف عرَضي بحت، يغيب السؤال عن علاقة الذات المنسحبة بمفهوم الاستخلاف ذاته — أي بمسؤوليتها التكوينية عن العمار والتواصل والبناء الأسري بوصفها أمانة، لا خيارًا مزاجيًا.</w:t>
      </w:r>
    </w:p>
    <w:p w14:paraId="0E017350"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من زاوية استخلافية، الانسحاب ليس مجرد آلية دفاع نفسي فحسب، بل هو أيضًا تعطيل لوظيفة الاستخلاف داخل النطاق الأسري، حين يتحول رب الأسرة من فاعل مسؤول عن «القوامة» بمعناها القرآني القائم على الرعاية والعدل، إلى كيان غائب حاضر: حاضر جسديًا، غائب انفعاليًا ومعرفيًا عن أهله. وهذا التناقض بين الحضور الشكلي والغياب الوظيفي هو جوهر الأزمة التي يعالجها هذا النموذج.</w:t>
      </w:r>
    </w:p>
    <w:p w14:paraId="68B186AC"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ويمكن تفصيل الوظائف الدفاعية الثلاث لهذا الانسحاب كما يلي: أولًا، تجنّب الكشف النفسي، بحيث يحمي الصمت الذات من احتمال التقييم السلبي؛ ثانيًا، الحفاظ على الإحساس بالسيطرة، إذ إن عدم الإفصاح يحرم الآخرين من أي مادة يمكن توظيفها، وهو ما يعكس قلقًا </w:t>
      </w:r>
      <w:proofErr w:type="spellStart"/>
      <w:r>
        <w:rPr>
          <w:rFonts w:ascii="Traditional Arabic" w:eastAsia="Traditional Arabic" w:hAnsi="Traditional Arabic" w:cs="Traditional Arabic"/>
          <w:color w:val="1A1A1A"/>
          <w:sz w:val="26"/>
          <w:szCs w:val="26"/>
          <w:rtl/>
        </w:rPr>
        <w:t>اضطهاديًا</w:t>
      </w:r>
      <w:proofErr w:type="spellEnd"/>
      <w:r>
        <w:rPr>
          <w:rFonts w:ascii="Traditional Arabic" w:eastAsia="Traditional Arabic" w:hAnsi="Traditional Arabic" w:cs="Traditional Arabic"/>
          <w:color w:val="1A1A1A"/>
          <w:sz w:val="26"/>
          <w:szCs w:val="26"/>
          <w:rtl/>
        </w:rPr>
        <w:t xml:space="preserve"> كامنًا (</w:t>
      </w:r>
      <w:proofErr w:type="spellStart"/>
      <w:r>
        <w:rPr>
          <w:rFonts w:ascii="Traditional Arabic" w:eastAsia="Traditional Arabic" w:hAnsi="Traditional Arabic" w:cs="Traditional Arabic"/>
          <w:color w:val="1A1A1A"/>
          <w:sz w:val="26"/>
          <w:szCs w:val="26"/>
          <w:rtl/>
        </w:rPr>
        <w:t>Paranoid</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Anxiety</w:t>
      </w:r>
      <w:proofErr w:type="spellEnd"/>
      <w:r>
        <w:rPr>
          <w:rFonts w:ascii="Traditional Arabic" w:eastAsia="Traditional Arabic" w:hAnsi="Traditional Arabic" w:cs="Traditional Arabic"/>
          <w:color w:val="1A1A1A"/>
          <w:sz w:val="26"/>
          <w:szCs w:val="26"/>
          <w:rtl/>
        </w:rPr>
        <w:t>) من الاستغلال أو النقد؛ ثالثًا، الاقتصاد في الطاقة النفسية، حيث يمثّل التفاعل الاجتماعي استنزافًا لا إثراءً، وهو ما يشير غالبًا إلى بنية نرجسية هشة تجد في الانسحاب ملاذًا من مواجهة محدودية الذات.</w:t>
      </w:r>
    </w:p>
    <w:p w14:paraId="7D8860AD"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ويُلاحَظ في هذا النمط أيضًا انشطار (</w:t>
      </w:r>
      <w:proofErr w:type="spellStart"/>
      <w:r>
        <w:rPr>
          <w:rFonts w:ascii="Traditional Arabic" w:eastAsia="Traditional Arabic" w:hAnsi="Traditional Arabic" w:cs="Traditional Arabic"/>
          <w:color w:val="1A1A1A"/>
          <w:sz w:val="26"/>
          <w:szCs w:val="26"/>
          <w:rtl/>
        </w:rPr>
        <w:t>Splitting</w:t>
      </w:r>
      <w:proofErr w:type="spellEnd"/>
      <w:r>
        <w:rPr>
          <w:rFonts w:ascii="Traditional Arabic" w:eastAsia="Traditional Arabic" w:hAnsi="Traditional Arabic" w:cs="Traditional Arabic"/>
          <w:color w:val="1A1A1A"/>
          <w:sz w:val="26"/>
          <w:szCs w:val="26"/>
          <w:rtl/>
        </w:rPr>
        <w:t xml:space="preserve">) بين ذات اجتماعية مُقدَّمة — هادئة منضبطة، </w:t>
      </w:r>
      <w:proofErr w:type="spellStart"/>
      <w:r>
        <w:rPr>
          <w:rFonts w:ascii="Traditional Arabic" w:eastAsia="Traditional Arabic" w:hAnsi="Traditional Arabic" w:cs="Traditional Arabic"/>
          <w:color w:val="1A1A1A"/>
          <w:sz w:val="26"/>
          <w:szCs w:val="26"/>
          <w:rtl/>
        </w:rPr>
        <w:t>تتزيّا</w:t>
      </w:r>
      <w:proofErr w:type="spellEnd"/>
      <w:r>
        <w:rPr>
          <w:rFonts w:ascii="Traditional Arabic" w:eastAsia="Traditional Arabic" w:hAnsi="Traditional Arabic" w:cs="Traditional Arabic"/>
          <w:color w:val="1A1A1A"/>
          <w:sz w:val="26"/>
          <w:szCs w:val="26"/>
          <w:rtl/>
        </w:rPr>
        <w:t xml:space="preserve"> أحيانًا بمظهر التدين — وذات علائقية حميمة مغايرة تمامًا، تتسم بالسيطرة والعقاب والمطالبة المفرطة. هذا الانشطار ليس نفاقًا اجتماعيًا بالمعنى الأخلاقي البسيط، بل آلية دفاعية بدائية تحافظ على تماسك الأنا عبر عزل الجوانب العدوانية عن سياق الأداء الاجتماعي الآمن.</w:t>
      </w:r>
    </w:p>
    <w:p w14:paraId="73F1D823" w14:textId="77777777" w:rsidR="008E708C" w:rsidRDefault="008E708C">
      <w:pPr>
        <w:spacing w:before="100" w:after="1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6"/>
      </w:tblGrid>
      <w:tr w:rsidR="008E708C" w14:paraId="76370C9F" w14:textId="77777777">
        <w:tc>
          <w:tcPr>
            <w:tcW w:w="9000" w:type="dxa"/>
            <w:tcBorders>
              <w:top w:val="single" w:sz="12" w:space="0" w:color="B8912F"/>
              <w:left w:val="single" w:sz="12" w:space="0" w:color="B8912F"/>
              <w:bottom w:val="single" w:sz="12" w:space="0" w:color="B8912F"/>
              <w:right w:val="single" w:sz="12" w:space="0" w:color="B8912F"/>
            </w:tcBorders>
            <w:shd w:val="clear" w:color="auto" w:fill="F6EFDD"/>
            <w:tcMar>
              <w:top w:w="200" w:type="dxa"/>
              <w:left w:w="300" w:type="dxa"/>
              <w:bottom w:w="200" w:type="dxa"/>
              <w:right w:w="300" w:type="dxa"/>
            </w:tcMar>
          </w:tcPr>
          <w:p w14:paraId="1FFDAA55" w14:textId="77777777" w:rsidR="008E708C" w:rsidRDefault="005463D3">
            <w:pPr>
              <w:spacing w:after="100"/>
              <w:jc w:val="center"/>
            </w:pPr>
            <w:r>
              <w:rPr>
                <w:rFonts w:ascii="Traditional Arabic" w:eastAsia="Traditional Arabic" w:hAnsi="Traditional Arabic" w:cs="Traditional Arabic"/>
                <w:b/>
                <w:bCs/>
                <w:color w:val="1B2A4A"/>
                <w:sz w:val="28"/>
                <w:szCs w:val="28"/>
                <w:rtl/>
              </w:rPr>
              <w:t>﴿هُوَ الَّذِي جَعَلَكُم خَلَائِفَ فِي الْأَرْضِ﴾</w:t>
            </w:r>
          </w:p>
          <w:p w14:paraId="617C3CD8" w14:textId="77777777" w:rsidR="008E708C" w:rsidRDefault="005463D3">
            <w:pPr>
              <w:jc w:val="center"/>
            </w:pPr>
            <w:r>
              <w:rPr>
                <w:rFonts w:ascii="Traditional Arabic" w:eastAsia="Traditional Arabic" w:hAnsi="Traditional Arabic" w:cs="Traditional Arabic"/>
                <w:i/>
                <w:iCs/>
                <w:color w:val="0E6B6B"/>
                <w:rtl/>
              </w:rPr>
              <w:t>سورة فاطر، الآية 39</w:t>
            </w:r>
          </w:p>
        </w:tc>
      </w:tr>
    </w:tbl>
    <w:p w14:paraId="38EC2E04" w14:textId="77777777" w:rsidR="008E708C" w:rsidRDefault="008E708C">
      <w:pPr>
        <w:spacing w:before="100" w:after="100"/>
      </w:pPr>
    </w:p>
    <w:p w14:paraId="57AE2BD7"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ثانيًا: الإزاحة والتكوين العكسي — إزاحة القلق الجنسي نحو الجسد الأنثوي</w:t>
      </w:r>
    </w:p>
    <w:p w14:paraId="4FD4AF85"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من أبرز السمات المتكررة في هذا النمط هو توظيف خطاب أخلاقي أو ديني انتقائي كغطاء لإزاحة (</w:t>
      </w:r>
      <w:proofErr w:type="spellStart"/>
      <w:r>
        <w:rPr>
          <w:rFonts w:ascii="Traditional Arabic" w:eastAsia="Traditional Arabic" w:hAnsi="Traditional Arabic" w:cs="Traditional Arabic"/>
          <w:color w:val="1A1A1A"/>
          <w:sz w:val="26"/>
          <w:szCs w:val="26"/>
          <w:rtl/>
        </w:rPr>
        <w:t>Displacement</w:t>
      </w:r>
      <w:proofErr w:type="spellEnd"/>
      <w:r>
        <w:rPr>
          <w:rFonts w:ascii="Traditional Arabic" w:eastAsia="Traditional Arabic" w:hAnsi="Traditional Arabic" w:cs="Traditional Arabic"/>
          <w:color w:val="1A1A1A"/>
          <w:sz w:val="26"/>
          <w:szCs w:val="26"/>
          <w:rtl/>
        </w:rPr>
        <w:t>) عدوانية أو قلق جنسي كامن تجاه الجسد الأنثوي، إذ يُعاد تأطير أي مظهر جمالي أو تعبير جسدي أنثوي — مهما كان بسيطًا أو مشروعًا شرعًا — بوصفه تهديدًا أخلاقيًا يستدعي ردًا صارمًا. والإزاحة هنا آلية دفاعية كلاسيكية تنقل الانفعال من مصدره الحقيقي (القلق الجنسي، الشعور بفقدان السيطرة على الرغبة) إلى موضوع بديل آمن ظاهريًا (الحكم الشرعي المُستدعى بانتقائية).</w:t>
      </w:r>
    </w:p>
    <w:p w14:paraId="2D5E680B"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ويرافق هذه الإزاحة غالبًا تكوين عكسي (</w:t>
      </w:r>
      <w:proofErr w:type="spellStart"/>
      <w:r>
        <w:rPr>
          <w:rFonts w:ascii="Traditional Arabic" w:eastAsia="Traditional Arabic" w:hAnsi="Traditional Arabic" w:cs="Traditional Arabic"/>
          <w:color w:val="1A1A1A"/>
          <w:sz w:val="26"/>
          <w:szCs w:val="26"/>
          <w:rtl/>
        </w:rPr>
        <w:t>Reaction</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Formation</w:t>
      </w:r>
      <w:proofErr w:type="spellEnd"/>
      <w:r>
        <w:rPr>
          <w:rFonts w:ascii="Traditional Arabic" w:eastAsia="Traditional Arabic" w:hAnsi="Traditional Arabic" w:cs="Traditional Arabic"/>
          <w:color w:val="1A1A1A"/>
          <w:sz w:val="26"/>
          <w:szCs w:val="26"/>
          <w:rtl/>
        </w:rPr>
        <w:t xml:space="preserve">): إذ يتحول القلق الجنسي أو الرغبة المكبوتة إلى تشدد أخلاقي ظاهري تجاه الشريكة، بينما تجد الرغبة ذاتها منفذًا خفيًا في سلوكيات أخرى أقل وضوحًا وأكثر قابلية للإنكار الذاتي، مثل التلصص البصري أو الانشغال المفرط بمراقبة تفاصيل جسد الآخرين. وهذا التناقض بين الصرامة المعلنة والسلوك الخفي هو مؤشر تشخيصي جوهري يميز التديّن </w:t>
      </w:r>
      <w:proofErr w:type="spellStart"/>
      <w:r>
        <w:rPr>
          <w:rFonts w:ascii="Traditional Arabic" w:eastAsia="Traditional Arabic" w:hAnsi="Traditional Arabic" w:cs="Traditional Arabic"/>
          <w:color w:val="1A1A1A"/>
          <w:sz w:val="26"/>
          <w:szCs w:val="26"/>
          <w:rtl/>
        </w:rPr>
        <w:t>الأداتي</w:t>
      </w:r>
      <w:proofErr w:type="spellEnd"/>
      <w:r>
        <w:rPr>
          <w:rFonts w:ascii="Traditional Arabic" w:eastAsia="Traditional Arabic" w:hAnsi="Traditional Arabic" w:cs="Traditional Arabic"/>
          <w:color w:val="1A1A1A"/>
          <w:sz w:val="26"/>
          <w:szCs w:val="26"/>
          <w:rtl/>
        </w:rPr>
        <w:t xml:space="preserve"> عن التديّن الأصيل المتّسق.</w:t>
      </w:r>
    </w:p>
    <w:p w14:paraId="19CA48F6"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إن علم النفس الاستخلافي يقدّم هنا نقدًا مزدوجًا: فمن جهة، هو يرفض الاختزال </w:t>
      </w:r>
      <w:proofErr w:type="spellStart"/>
      <w:r>
        <w:rPr>
          <w:rFonts w:ascii="Traditional Arabic" w:eastAsia="Traditional Arabic" w:hAnsi="Traditional Arabic" w:cs="Traditional Arabic"/>
          <w:color w:val="1A1A1A"/>
          <w:sz w:val="26"/>
          <w:szCs w:val="26"/>
          <w:rtl/>
        </w:rPr>
        <w:t>الفرويدي</w:t>
      </w:r>
      <w:proofErr w:type="spellEnd"/>
      <w:r>
        <w:rPr>
          <w:rFonts w:ascii="Traditional Arabic" w:eastAsia="Traditional Arabic" w:hAnsi="Traditional Arabic" w:cs="Traditional Arabic"/>
          <w:color w:val="1A1A1A"/>
          <w:sz w:val="26"/>
          <w:szCs w:val="26"/>
          <w:rtl/>
        </w:rPr>
        <w:t xml:space="preserve"> الذي يرد كل تديّن إلى كبت جنسي متنكر، لأن هذا الرد يُسقط شرعية أي التزام ديني أصيل. ومن جهة أخرى، هو لا يمنح التديّن حصانة تلقائية من التحليل النفسي، بل يميّز بدقة بين التديّن بوصفه استجابة وجودية متسقة لأمانة الاستخلاف، والتديّن </w:t>
      </w:r>
      <w:proofErr w:type="spellStart"/>
      <w:r>
        <w:rPr>
          <w:rFonts w:ascii="Traditional Arabic" w:eastAsia="Traditional Arabic" w:hAnsi="Traditional Arabic" w:cs="Traditional Arabic"/>
          <w:color w:val="1A1A1A"/>
          <w:sz w:val="26"/>
          <w:szCs w:val="26"/>
          <w:rtl/>
        </w:rPr>
        <w:t>الأداتي</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Instrumental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Religiosity</w:t>
      </w:r>
      <w:proofErr w:type="spellEnd"/>
      <w:r>
        <w:rPr>
          <w:rFonts w:ascii="Traditional Arabic" w:eastAsia="Traditional Arabic" w:hAnsi="Traditional Arabic" w:cs="Traditional Arabic"/>
          <w:color w:val="1A1A1A"/>
          <w:sz w:val="26"/>
          <w:szCs w:val="26"/>
          <w:rtl/>
        </w:rPr>
        <w:t xml:space="preserve">) الذي يُستدعى انتقائيًا لخدمة حاجة نفسية أو سلطوية غير معلنة. والمعيار الفارق بين النمطين هو الاتساق: فالمتديّن الأصيل يطبّق المعيار الأخلاقي على نفسه أولًا وبصرامة أكبر مما يطبّقه على غيره، بينما يتميز التديّن </w:t>
      </w:r>
      <w:proofErr w:type="spellStart"/>
      <w:r>
        <w:rPr>
          <w:rFonts w:ascii="Traditional Arabic" w:eastAsia="Traditional Arabic" w:hAnsi="Traditional Arabic" w:cs="Traditional Arabic"/>
          <w:color w:val="1A1A1A"/>
          <w:sz w:val="26"/>
          <w:szCs w:val="26"/>
          <w:rtl/>
        </w:rPr>
        <w:t>الأداتي</w:t>
      </w:r>
      <w:proofErr w:type="spellEnd"/>
      <w:r>
        <w:rPr>
          <w:rFonts w:ascii="Traditional Arabic" w:eastAsia="Traditional Arabic" w:hAnsi="Traditional Arabic" w:cs="Traditional Arabic"/>
          <w:color w:val="1A1A1A"/>
          <w:sz w:val="26"/>
          <w:szCs w:val="26"/>
          <w:rtl/>
        </w:rPr>
        <w:t xml:space="preserve"> بازدواجية بنيوية بين الصرامة الموجَّهة للخارج والتساهل الموجَّه للذات.</w:t>
      </w:r>
    </w:p>
    <w:p w14:paraId="005DCC7A"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 xml:space="preserve">ثالثًا: الاقتصاد النفسي للعلاقات داخل النمط </w:t>
      </w:r>
      <w:proofErr w:type="spellStart"/>
      <w:r>
        <w:rPr>
          <w:rFonts w:ascii="Traditional Arabic" w:eastAsia="Traditional Arabic" w:hAnsi="Traditional Arabic" w:cs="Traditional Arabic"/>
          <w:b/>
          <w:bCs/>
          <w:color w:val="1B2A4A"/>
          <w:sz w:val="32"/>
          <w:szCs w:val="32"/>
          <w:rtl/>
        </w:rPr>
        <w:t>الانسحابي-السيطري</w:t>
      </w:r>
      <w:proofErr w:type="spellEnd"/>
    </w:p>
    <w:p w14:paraId="297A2642"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يقوم هذا النمط على توزيع غير متكافئ للاستثمار العاطفي بين أفراد الأسرة، بحيث يوجَّه الحنان والقرب الجسدي نحو موضوعات لا تشكّل تهديدًا للبنية الدفاعية (كالأبناء الصغار)، بينما يُحرَم الشريك البالغ من التعبير العاطفي المماثل. وهذا التفاوت ليس اعتباطيًا، بل هو نتاج منطق دفاعي دقيق: فإظهار الحنان تجاه شريك بالغ ينطوي على مخاطرة حقيقية — مخاطرة الاعتماد المتبادل، والضعف الظاهر، واحتمال فقدان موقع السيطرة — بينما لا يحمل التعبير العاطفي تجاه طفل صغير المخاطرة ذاتها، لأن العلاقة به علاقة سلطة هرمية آمنة أصلًا.</w:t>
      </w:r>
    </w:p>
    <w:p w14:paraId="4E1A85D2"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وبهذا المعنى، تتحول العلاقة بالطفل إلى ما يمكن وصفه بـ«الموضوع الانتقالي» (بمعنى مُعدَّل عن </w:t>
      </w:r>
      <w:proofErr w:type="spellStart"/>
      <w:r>
        <w:rPr>
          <w:rFonts w:ascii="Traditional Arabic" w:eastAsia="Traditional Arabic" w:hAnsi="Traditional Arabic" w:cs="Traditional Arabic"/>
          <w:color w:val="1A1A1A"/>
          <w:sz w:val="26"/>
          <w:szCs w:val="26"/>
          <w:rtl/>
        </w:rPr>
        <w:t>وينيكوت</w:t>
      </w:r>
      <w:proofErr w:type="spellEnd"/>
      <w:r>
        <w:rPr>
          <w:rFonts w:ascii="Traditional Arabic" w:eastAsia="Traditional Arabic" w:hAnsi="Traditional Arabic" w:cs="Traditional Arabic"/>
          <w:color w:val="1A1A1A"/>
          <w:sz w:val="26"/>
          <w:szCs w:val="26"/>
          <w:rtl/>
        </w:rPr>
        <w:t>)، الذي يخفف القلق في المواقف الاجتماعية المهددة، ويمنح الفاعل هوية ظرفية آمنة (صورة الوالد الحنون) تعفيه من مواجهة متطلبات العلاقة الزوجية الأكثر تعقيدًا وتبادلية. وهذا لا يعني بالضرورة انعدام المحبة الأبوية، لكنه يعني أن وظيفتها النفسية تتجاوز المحبة ذاتها إلى كونها آلية تعويضية عن فشل أو خوف من الانخراط العاطفي الناضج مع الشريك البالغ.</w:t>
      </w:r>
    </w:p>
    <w:p w14:paraId="6A8CBB54"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أما العلاقة بالشريك، فتتسم في هذا النمط بما تصفه أدبيات العنف الأسري بـ«السيطرة القسرية» (</w:t>
      </w:r>
      <w:proofErr w:type="spellStart"/>
      <w:r>
        <w:rPr>
          <w:rFonts w:ascii="Traditional Arabic" w:eastAsia="Traditional Arabic" w:hAnsi="Traditional Arabic" w:cs="Traditional Arabic"/>
          <w:color w:val="1A1A1A"/>
          <w:sz w:val="26"/>
          <w:szCs w:val="26"/>
          <w:rtl/>
        </w:rPr>
        <w:t>Coercive</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Control</w:t>
      </w:r>
      <w:proofErr w:type="spellEnd"/>
      <w:r>
        <w:rPr>
          <w:rFonts w:ascii="Traditional Arabic" w:eastAsia="Traditional Arabic" w:hAnsi="Traditional Arabic" w:cs="Traditional Arabic"/>
          <w:color w:val="1A1A1A"/>
          <w:sz w:val="26"/>
          <w:szCs w:val="26"/>
          <w:rtl/>
        </w:rPr>
        <w:t>)، وهي نمط سيطرة يتجاوز حوادث العنف المنفردة إلى منظومة متصلة من التقييد والعزل والمراقبة تهدف إلى إخضاع الإرادة المستقلة للشريك. ومن أبرز آليات هذه السيطرة: العزل العاطفي عبر الصمت العقابي الممتد، الذي يخلق حالة من الاعتماد النفسي حيث تصبح استعادة التواصل مرهونة بالامتثال الكامل؛ والمراقبة التفصيلية لمظهر الجسد وسلوكه، والتي تعكس حاجة إلى امتلاك الجسد الأنثوي بوصفه موضوعًا خاضعًا للإرادة لا شريكًا في علاقة تعاقدية قائمة على المودة والرحمة كما تصفها الآية الكريمة.</w:t>
      </w:r>
    </w:p>
    <w:p w14:paraId="33FB70E4" w14:textId="77777777" w:rsidR="008E708C" w:rsidRDefault="008E708C">
      <w:pPr>
        <w:spacing w:before="100" w:after="1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6"/>
      </w:tblGrid>
      <w:tr w:rsidR="008E708C" w14:paraId="1C577FD4" w14:textId="77777777">
        <w:tc>
          <w:tcPr>
            <w:tcW w:w="9000" w:type="dxa"/>
            <w:tcBorders>
              <w:top w:val="single" w:sz="12" w:space="0" w:color="B8912F"/>
              <w:left w:val="single" w:sz="12" w:space="0" w:color="B8912F"/>
              <w:bottom w:val="single" w:sz="12" w:space="0" w:color="B8912F"/>
              <w:right w:val="single" w:sz="12" w:space="0" w:color="B8912F"/>
            </w:tcBorders>
            <w:shd w:val="clear" w:color="auto" w:fill="F6EFDD"/>
            <w:tcMar>
              <w:top w:w="200" w:type="dxa"/>
              <w:left w:w="300" w:type="dxa"/>
              <w:bottom w:w="200" w:type="dxa"/>
              <w:right w:w="300" w:type="dxa"/>
            </w:tcMar>
          </w:tcPr>
          <w:p w14:paraId="50269978" w14:textId="77777777" w:rsidR="008E708C" w:rsidRDefault="005463D3">
            <w:pPr>
              <w:spacing w:after="100"/>
              <w:jc w:val="center"/>
            </w:pPr>
            <w:r>
              <w:rPr>
                <w:rFonts w:ascii="Traditional Arabic" w:eastAsia="Traditional Arabic" w:hAnsi="Traditional Arabic" w:cs="Traditional Arabic"/>
                <w:b/>
                <w:bCs/>
                <w:color w:val="1B2A4A"/>
                <w:sz w:val="28"/>
                <w:szCs w:val="28"/>
                <w:rtl/>
              </w:rPr>
              <w:t>﴿وَمِنْ آيَاتِهِ أَنْ خَلَقَ لَكُم مِّنْ أَنفُسِكُمْ أَزْوَاجًا لِّتَسْكُنُوا إِلَيْهَا وَجَعَلَ بَيْنَكُم مَّوَدَّةً وَرَحْمَةً﴾</w:t>
            </w:r>
          </w:p>
          <w:p w14:paraId="73DA64BC" w14:textId="77777777" w:rsidR="008E708C" w:rsidRDefault="005463D3">
            <w:pPr>
              <w:jc w:val="center"/>
            </w:pPr>
            <w:r>
              <w:rPr>
                <w:rFonts w:ascii="Traditional Arabic" w:eastAsia="Traditional Arabic" w:hAnsi="Traditional Arabic" w:cs="Traditional Arabic"/>
                <w:i/>
                <w:iCs/>
                <w:color w:val="0E6B6B"/>
                <w:rtl/>
              </w:rPr>
              <w:t>سورة الروم، الآية 21</w:t>
            </w:r>
          </w:p>
        </w:tc>
      </w:tr>
    </w:tbl>
    <w:p w14:paraId="63CFA155" w14:textId="77777777" w:rsidR="008E708C" w:rsidRDefault="008E708C">
      <w:pPr>
        <w:spacing w:before="100" w:after="100"/>
      </w:pPr>
    </w:p>
    <w:p w14:paraId="2F6D385C"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 xml:space="preserve">رابعًا: الدين كرأس مال رمزي — قراءة استخلافية نقدية لمفهوم </w:t>
      </w:r>
      <w:proofErr w:type="spellStart"/>
      <w:r>
        <w:rPr>
          <w:rFonts w:ascii="Traditional Arabic" w:eastAsia="Traditional Arabic" w:hAnsi="Traditional Arabic" w:cs="Traditional Arabic"/>
          <w:b/>
          <w:bCs/>
          <w:color w:val="1B2A4A"/>
          <w:sz w:val="32"/>
          <w:szCs w:val="32"/>
          <w:rtl/>
        </w:rPr>
        <w:t>بورديو</w:t>
      </w:r>
      <w:proofErr w:type="spellEnd"/>
    </w:p>
    <w:p w14:paraId="0C17EC47"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يقدّم عالم الاجتماع بيير </w:t>
      </w:r>
      <w:proofErr w:type="spellStart"/>
      <w:r>
        <w:rPr>
          <w:rFonts w:ascii="Traditional Arabic" w:eastAsia="Traditional Arabic" w:hAnsi="Traditional Arabic" w:cs="Traditional Arabic"/>
          <w:color w:val="1A1A1A"/>
          <w:sz w:val="26"/>
          <w:szCs w:val="26"/>
          <w:rtl/>
        </w:rPr>
        <w:t>بورديو</w:t>
      </w:r>
      <w:proofErr w:type="spellEnd"/>
      <w:r>
        <w:rPr>
          <w:rFonts w:ascii="Traditional Arabic" w:eastAsia="Traditional Arabic" w:hAnsi="Traditional Arabic" w:cs="Traditional Arabic"/>
          <w:color w:val="1A1A1A"/>
          <w:sz w:val="26"/>
          <w:szCs w:val="26"/>
          <w:rtl/>
        </w:rPr>
        <w:t xml:space="preserve"> مفهوم «العنف الرمزي» (</w:t>
      </w:r>
      <w:proofErr w:type="spellStart"/>
      <w:r>
        <w:rPr>
          <w:rFonts w:ascii="Traditional Arabic" w:eastAsia="Traditional Arabic" w:hAnsi="Traditional Arabic" w:cs="Traditional Arabic"/>
          <w:color w:val="1A1A1A"/>
          <w:sz w:val="26"/>
          <w:szCs w:val="26"/>
          <w:rtl/>
        </w:rPr>
        <w:t>Symbolic</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Violence</w:t>
      </w:r>
      <w:proofErr w:type="spellEnd"/>
      <w:r>
        <w:rPr>
          <w:rFonts w:ascii="Traditional Arabic" w:eastAsia="Traditional Arabic" w:hAnsi="Traditional Arabic" w:cs="Traditional Arabic"/>
          <w:color w:val="1A1A1A"/>
          <w:sz w:val="26"/>
          <w:szCs w:val="26"/>
          <w:rtl/>
        </w:rPr>
        <w:t>) لوصف الآلية التي تُمارَس بها الهيمنة دون حاجة إلى إكراه مادي مباشر، عبر جعل الفئة المهيمَن عليها تدرك علاقات الهيمنة ذاتها كأمر طبيعي أو مشروع. ويصلح هذا المفهوم أداةً تحليلية دقيقة لفهم كيف يمكن لخطاب ديني منتقًى بعناية أن يتحول إلى «رأس مال رمزي» يُستدعى فقط حين يخدم موقع السيطرة، بحيث تبدو مقاومة الشريكة لسلطة الزوج وكأنها تمرد على الشريعة ذاتها، لا على تأويل فردي انتقائي لها.</w:t>
      </w:r>
    </w:p>
    <w:p w14:paraId="0CD024E1"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غير أن علم النفس الاستخلافي، إذ يستعير أداة </w:t>
      </w:r>
      <w:proofErr w:type="spellStart"/>
      <w:r>
        <w:rPr>
          <w:rFonts w:ascii="Traditional Arabic" w:eastAsia="Traditional Arabic" w:hAnsi="Traditional Arabic" w:cs="Traditional Arabic"/>
          <w:color w:val="1A1A1A"/>
          <w:sz w:val="26"/>
          <w:szCs w:val="26"/>
          <w:rtl/>
        </w:rPr>
        <w:t>بورديو</w:t>
      </w:r>
      <w:proofErr w:type="spellEnd"/>
      <w:r>
        <w:rPr>
          <w:rFonts w:ascii="Traditional Arabic" w:eastAsia="Traditional Arabic" w:hAnsi="Traditional Arabic" w:cs="Traditional Arabic"/>
          <w:color w:val="1A1A1A"/>
          <w:sz w:val="26"/>
          <w:szCs w:val="26"/>
          <w:rtl/>
        </w:rPr>
        <w:t xml:space="preserve"> التحليلية، يرفض الوقوف عند نقدها البنيوي المحض الذي يخلو من أي معيار معياري (</w:t>
      </w:r>
      <w:proofErr w:type="spellStart"/>
      <w:r>
        <w:rPr>
          <w:rFonts w:ascii="Traditional Arabic" w:eastAsia="Traditional Arabic" w:hAnsi="Traditional Arabic" w:cs="Traditional Arabic"/>
          <w:color w:val="1A1A1A"/>
          <w:sz w:val="26"/>
          <w:szCs w:val="26"/>
          <w:rtl/>
        </w:rPr>
        <w:t>Normative</w:t>
      </w:r>
      <w:proofErr w:type="spellEnd"/>
      <w:r>
        <w:rPr>
          <w:rFonts w:ascii="Traditional Arabic" w:eastAsia="Traditional Arabic" w:hAnsi="Traditional Arabic" w:cs="Traditional Arabic"/>
          <w:color w:val="1A1A1A"/>
          <w:sz w:val="26"/>
          <w:szCs w:val="26"/>
          <w:rtl/>
        </w:rPr>
        <w:t xml:space="preserve">) يميّز بين التوظيف المشروع للنص الديني والتوظيف </w:t>
      </w:r>
      <w:proofErr w:type="spellStart"/>
      <w:r>
        <w:rPr>
          <w:rFonts w:ascii="Traditional Arabic" w:eastAsia="Traditional Arabic" w:hAnsi="Traditional Arabic" w:cs="Traditional Arabic"/>
          <w:color w:val="1A1A1A"/>
          <w:sz w:val="26"/>
          <w:szCs w:val="26"/>
          <w:rtl/>
        </w:rPr>
        <w:t>الأداتي</w:t>
      </w:r>
      <w:proofErr w:type="spellEnd"/>
      <w:r>
        <w:rPr>
          <w:rFonts w:ascii="Traditional Arabic" w:eastAsia="Traditional Arabic" w:hAnsi="Traditional Arabic" w:cs="Traditional Arabic"/>
          <w:color w:val="1A1A1A"/>
          <w:sz w:val="26"/>
          <w:szCs w:val="26"/>
          <w:rtl/>
        </w:rPr>
        <w:t xml:space="preserve"> المشوَّه له. فالنص القرآني في وصفه للعلاقة الزوجية يقرنها بالمودة والرحمة والسكن، ويصف القوامة بوصفها مسؤولية رعاية وإنفاق لا تسلطًا مطلقًا؛ وبذلك فإن أي خطاب يستدعي «القوامة» لتبرير العزل والعقاب النفسي والمراقبة القسرية إنما يمارس تحريفًا وظيفيًا للنص، لا تطبيقًا له. وهذا التمييز هو ما يمنح النقد الاستخلافي قوة تفسيرية إضافية على النقد السوسيولوجي الغربي المجرد من أي مرجعية معيارية.</w:t>
      </w:r>
    </w:p>
    <w:p w14:paraId="28239159"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ويذهب الغزالي في كلامه عن آفات النفس إلى أن استخدام الدين لتبرير هوى النفس هو من أخطر أنواع الرياء الخفي، لأنه يُلبس حظ النفس لباس الطاعة فيغدو صاحبه مطمئنًا إلى فعله وهو في حقيقته منقاد لهواه لا لأمر ربه. وهذا التحليل الغزالي المبكر يتقاطع تقاطعًا لافتًا مع مفهوم «التكوين العكسي» في التحليل النفسي الحديث، إذ كلاهما يصف آلية تُخفي الدافع الحقيقي خلف قناع معاكس له في الظاهر.</w:t>
      </w:r>
    </w:p>
    <w:p w14:paraId="778BD35A"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خامسًا: الجسد الأنثوي كساحة صراع على المعنى</w:t>
      </w:r>
    </w:p>
    <w:p w14:paraId="4A382399"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لا يُختزل الجسد الأنثوي في هذا النمط التحليلي إلى معطى بيولوجي محايد، بل يتحول إلى ما يمكن تسميته بالنص الثقافي (</w:t>
      </w:r>
      <w:proofErr w:type="spellStart"/>
      <w:r>
        <w:rPr>
          <w:rFonts w:ascii="Traditional Arabic" w:eastAsia="Traditional Arabic" w:hAnsi="Traditional Arabic" w:cs="Traditional Arabic"/>
          <w:color w:val="1A1A1A"/>
          <w:sz w:val="26"/>
          <w:szCs w:val="26"/>
          <w:rtl/>
        </w:rPr>
        <w:t>Cultural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Text</w:t>
      </w:r>
      <w:proofErr w:type="spellEnd"/>
      <w:r>
        <w:rPr>
          <w:rFonts w:ascii="Traditional Arabic" w:eastAsia="Traditional Arabic" w:hAnsi="Traditional Arabic" w:cs="Traditional Arabic"/>
          <w:color w:val="1A1A1A"/>
          <w:sz w:val="26"/>
          <w:szCs w:val="26"/>
          <w:rtl/>
        </w:rPr>
        <w:t>) الذي تُكتب عليه معاني الطاعة والتمرد، والعفة والإغواء، والانتماء والخروج عن السيطرة. وحين تتحول الشريكة من لباس معين إلى آخر، أو حين ترفض قيدًا مفروضًا عليها دون سند شرعي واضح، فإن هذا التحول يُقرأ من قبل الطرف المسيطر لا كخيار شخصي محايد، بل كتهديد رمزي لمنظومة السيطرة بأكملها، لأن الجسد هنا هو الميدان الذي يُختبر فيه استمرار الهيمنة أو تصدّعها.</w:t>
      </w:r>
    </w:p>
    <w:p w14:paraId="66BA80D1"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ومن هنا فإن الصراع الظاهري حول تفصيل جسدي أو جمالي محدد ليس صراعًا حول ذلك التفصيل ذاته، بل هو صراع مُزاح على ملكية المعنى الذي يحمله جسد الشريكة: من يملك حق تحديد ما تعنيه أنوثتها، وما تعنيه حريتها في التصرف بجسدها ضمن الحدود الشرعية؟ وحين يُفرَض جواب أحادي على هذا السؤال بالقوة النفسية والعقاب الرمزي، تتحول العلاقة الزوجية من عقد تعاقدي قائم على التراضي والمودة إلى علاقة تبعية تُذكّر ببنية الهيمنة التي وصفها ميشيل فوكو في تحليله لعلاقات المعرفة-السلطة، حيث تُنتج السلطة معرفتها الخاصة عن الجسد الخاضع لها وتُشرعن هذه المعرفة بأدوات خطابية متعددة.</w:t>
      </w:r>
    </w:p>
    <w:p w14:paraId="1BECC2C5"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سادسًا: التلصص البصري والمراقبة كأسلوب وجود</w:t>
      </w:r>
    </w:p>
    <w:p w14:paraId="64F8C82C"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يمثّل التلصص البصري (</w:t>
      </w:r>
      <w:proofErr w:type="spellStart"/>
      <w:r>
        <w:rPr>
          <w:rFonts w:ascii="Traditional Arabic" w:eastAsia="Traditional Arabic" w:hAnsi="Traditional Arabic" w:cs="Traditional Arabic"/>
          <w:color w:val="1A1A1A"/>
          <w:sz w:val="26"/>
          <w:szCs w:val="26"/>
          <w:rtl/>
        </w:rPr>
        <w:t>Scopophilia</w:t>
      </w:r>
      <w:proofErr w:type="spellEnd"/>
      <w:r>
        <w:rPr>
          <w:rFonts w:ascii="Traditional Arabic" w:eastAsia="Traditional Arabic" w:hAnsi="Traditional Arabic" w:cs="Traditional Arabic"/>
          <w:color w:val="1A1A1A"/>
          <w:sz w:val="26"/>
          <w:szCs w:val="26"/>
          <w:rtl/>
        </w:rPr>
        <w:t>) في هذا النمط حلًا وسطًا نفسيًا بين رغبة مرفوضة ومنع صارم مُعلَن؛ فالعين تتحول إلى العضو الوحيد المسموح له بالنشاط الجنسي المُزاح، بينما يُحظَر أي اقتراب فعلي أو تعبير مباشر عن الرغبة. وهذا النمط من التفريغ الرمزي للطاقة الجنسية يكشف عن صراع غير محلول بين الرغبة والكبت، ويُنتج سلوكًا متناقضًا ظاهريًا يجمع بين التشدد الأخلاقي المعلن والانجذاب الخفي.</w:t>
      </w:r>
    </w:p>
    <w:p w14:paraId="37241A33"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وعلى المستوى الأوسع، فإن الفاعل في هذا النمط لا يشارك الحياة الاجتماعية بقدر ما يراقبها من موقع خفي، وهو موقع يمنحه شعورًا بالمعرفة دون التزام المشاركة، وبالسيطرة دون مخاطرة الانكشاف. وهذا الموقع «المشرف الخفي» يتقاطع مع ما وصفه فوكو بمفهوم «العين </w:t>
      </w:r>
      <w:proofErr w:type="spellStart"/>
      <w:r>
        <w:rPr>
          <w:rFonts w:ascii="Traditional Arabic" w:eastAsia="Traditional Arabic" w:hAnsi="Traditional Arabic" w:cs="Traditional Arabic"/>
          <w:color w:val="1A1A1A"/>
          <w:sz w:val="26"/>
          <w:szCs w:val="26"/>
          <w:rtl/>
        </w:rPr>
        <w:t>البانوبتيكونية</w:t>
      </w:r>
      <w:proofErr w:type="spellEnd"/>
      <w:r>
        <w:rPr>
          <w:rFonts w:ascii="Traditional Arabic" w:eastAsia="Traditional Arabic" w:hAnsi="Traditional Arabic" w:cs="Traditional Arabic"/>
          <w:color w:val="1A1A1A"/>
          <w:sz w:val="26"/>
          <w:szCs w:val="26"/>
          <w:rtl/>
        </w:rPr>
        <w:t>» التي تراقب دون أن تُرى، إذ يستمد صاحبها إحساسًا بالسلطة من موقع المراقبة ذاته، لا من أي فعل إيجابي مباشر.</w:t>
      </w:r>
    </w:p>
    <w:p w14:paraId="7F0DE4AD"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سابعًا: أزمة الهوية الذكورية والتضخم التعويضي</w:t>
      </w:r>
    </w:p>
    <w:p w14:paraId="530AABFF"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يمكن قراءة السلوك المسيطر في هذا النمط بوصفه استجابة تعويضية لأزمة هوية ذكورية مهددة، إذ إن الفاعل الذي يشعر بعدم الكفاءة في السياقات الاجتماعية العامة (الخجل، قلة المبادرة، تجنّب التفاعل) يعوّض هذا الشعور بالعجز عبر تضخيم سلطته داخل الحيّز المنزلي، حيث يمكنه أن يشغل موقع «السيد» المطلق دون منافسة أو تحدٍّ. وهذا النمط من التعويض موثّق نفسيًا في أدبيات كارين هورني حول القلق الأساسي (</w:t>
      </w:r>
      <w:proofErr w:type="spellStart"/>
      <w:r>
        <w:rPr>
          <w:rFonts w:ascii="Traditional Arabic" w:eastAsia="Traditional Arabic" w:hAnsi="Traditional Arabic" w:cs="Traditional Arabic"/>
          <w:color w:val="1A1A1A"/>
          <w:sz w:val="26"/>
          <w:szCs w:val="26"/>
          <w:rtl/>
        </w:rPr>
        <w:t>Basic</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Anxiety</w:t>
      </w:r>
      <w:proofErr w:type="spellEnd"/>
      <w:r>
        <w:rPr>
          <w:rFonts w:ascii="Traditional Arabic" w:eastAsia="Traditional Arabic" w:hAnsi="Traditional Arabic" w:cs="Traditional Arabic"/>
          <w:color w:val="1A1A1A"/>
          <w:sz w:val="26"/>
          <w:szCs w:val="26"/>
          <w:rtl/>
        </w:rPr>
        <w:t>) والحركة نحو السيطرة كاستجابة دفاعية للعجز المُدرَك.</w:t>
      </w:r>
    </w:p>
    <w:p w14:paraId="5B7525BC"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غير أن علم النفس الاستخلافي يضيف هنا بُعدًا يتجاوز التفسير النفسي الفردي إلى نقد بنيوي للنموذج الثقافي الذي يُعرِّف الذكورة بوصفها أداءً للسيطرة لا هوية ناضجة قائمة على المسؤولية والرعاية. فحين تُختزل الرجولة في مجتمعات معينة إلى قدرة الفرد على فرض إرادته داخل بيته، بمعزل عن أي معيار أخلاقي للرعاية والعدل، فإن هذا النموذج الثقافي ذاته يوفر بيئة خصبة لظهور النمط </w:t>
      </w:r>
      <w:proofErr w:type="spellStart"/>
      <w:r>
        <w:rPr>
          <w:rFonts w:ascii="Traditional Arabic" w:eastAsia="Traditional Arabic" w:hAnsi="Traditional Arabic" w:cs="Traditional Arabic"/>
          <w:color w:val="1A1A1A"/>
          <w:sz w:val="26"/>
          <w:szCs w:val="26"/>
          <w:rtl/>
        </w:rPr>
        <w:t>الانسحابي-السيطري</w:t>
      </w:r>
      <w:proofErr w:type="spellEnd"/>
      <w:r>
        <w:rPr>
          <w:rFonts w:ascii="Traditional Arabic" w:eastAsia="Traditional Arabic" w:hAnsi="Traditional Arabic" w:cs="Traditional Arabic"/>
          <w:color w:val="1A1A1A"/>
          <w:sz w:val="26"/>
          <w:szCs w:val="26"/>
          <w:rtl/>
        </w:rPr>
        <w:t xml:space="preserve"> ويكافئه اجتماعيًا، بدل أن يردعه.</w:t>
      </w:r>
    </w:p>
    <w:p w14:paraId="38357DCE"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ثامنًا: الفرضيات التكوينية العامة — بين نظرية التعلق والتنشئة الدينية</w:t>
      </w:r>
    </w:p>
    <w:p w14:paraId="77281FE0"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دون إسقاط هذه الفرضيات على أي حالة فردية، تشير الأدبيات النظرية العامة حول نمط التعلق (</w:t>
      </w:r>
      <w:proofErr w:type="spellStart"/>
      <w:r>
        <w:rPr>
          <w:rFonts w:ascii="Traditional Arabic" w:eastAsia="Traditional Arabic" w:hAnsi="Traditional Arabic" w:cs="Traditional Arabic"/>
          <w:color w:val="1A1A1A"/>
          <w:sz w:val="26"/>
          <w:szCs w:val="26"/>
          <w:rtl/>
        </w:rPr>
        <w:t>Attachment</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Theory</w:t>
      </w:r>
      <w:proofErr w:type="spellEnd"/>
      <w:r>
        <w:rPr>
          <w:rFonts w:ascii="Traditional Arabic" w:eastAsia="Traditional Arabic" w:hAnsi="Traditional Arabic" w:cs="Traditional Arabic"/>
          <w:color w:val="1A1A1A"/>
          <w:sz w:val="26"/>
          <w:szCs w:val="26"/>
          <w:rtl/>
        </w:rPr>
        <w:t xml:space="preserve">) إلى أن الأنماط </w:t>
      </w:r>
      <w:proofErr w:type="spellStart"/>
      <w:r>
        <w:rPr>
          <w:rFonts w:ascii="Traditional Arabic" w:eastAsia="Traditional Arabic" w:hAnsi="Traditional Arabic" w:cs="Traditional Arabic"/>
          <w:color w:val="1A1A1A"/>
          <w:sz w:val="26"/>
          <w:szCs w:val="26"/>
          <w:rtl/>
        </w:rPr>
        <w:t>التجنبية</w:t>
      </w:r>
      <w:proofErr w:type="spellEnd"/>
      <w:r>
        <w:rPr>
          <w:rFonts w:ascii="Traditional Arabic" w:eastAsia="Traditional Arabic" w:hAnsi="Traditional Arabic" w:cs="Traditional Arabic"/>
          <w:color w:val="1A1A1A"/>
          <w:sz w:val="26"/>
          <w:szCs w:val="26"/>
          <w:rtl/>
        </w:rPr>
        <w:t xml:space="preserve"> والقهرية في العلاقات البالغة غالبًا ما ترتبط بتاريخ تعلق مبكر غير آمن، سواء عبر تجربة أم مسيطرة أو غير متجاوبة عاطفيًا، أو أب غائب أو صارم لم يقدّم نموذجًا متوازنًا للذكورة الناضجة. وفي كلتا الحالتين، يتعلم الطفل أن العلاقات الحميمة إما مصدر تهديد يستوجب الحذر، أو ساحة يجب فيها فرض السيطرة </w:t>
      </w:r>
      <w:proofErr w:type="spellStart"/>
      <w:r>
        <w:rPr>
          <w:rFonts w:ascii="Traditional Arabic" w:eastAsia="Traditional Arabic" w:hAnsi="Traditional Arabic" w:cs="Traditional Arabic"/>
          <w:color w:val="1A1A1A"/>
          <w:sz w:val="26"/>
          <w:szCs w:val="26"/>
          <w:rtl/>
        </w:rPr>
        <w:t>استباقيًا</w:t>
      </w:r>
      <w:proofErr w:type="spellEnd"/>
      <w:r>
        <w:rPr>
          <w:rFonts w:ascii="Traditional Arabic" w:eastAsia="Traditional Arabic" w:hAnsi="Traditional Arabic" w:cs="Traditional Arabic"/>
          <w:color w:val="1A1A1A"/>
          <w:sz w:val="26"/>
          <w:szCs w:val="26"/>
          <w:rtl/>
        </w:rPr>
        <w:t xml:space="preserve"> لتجنّب الجرح النفسي.</w:t>
      </w:r>
    </w:p>
    <w:p w14:paraId="595BBE9F"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ويضيف علم النفس الاستخلافي بُعدًا ثالثًا غالبًا ما يُغفَل في النظريات الغربية، وهو بيئة التنشئة الدينية ذاتها: فحين تُبنى التربية الدينية على منظومة </w:t>
      </w:r>
      <w:proofErr w:type="spellStart"/>
      <w:r>
        <w:rPr>
          <w:rFonts w:ascii="Traditional Arabic" w:eastAsia="Traditional Arabic" w:hAnsi="Traditional Arabic" w:cs="Traditional Arabic"/>
          <w:color w:val="1A1A1A"/>
          <w:sz w:val="26"/>
          <w:szCs w:val="26"/>
          <w:rtl/>
        </w:rPr>
        <w:t>تحريمات</w:t>
      </w:r>
      <w:proofErr w:type="spellEnd"/>
      <w:r>
        <w:rPr>
          <w:rFonts w:ascii="Traditional Arabic" w:eastAsia="Traditional Arabic" w:hAnsi="Traditional Arabic" w:cs="Traditional Arabic"/>
          <w:color w:val="1A1A1A"/>
          <w:sz w:val="26"/>
          <w:szCs w:val="26"/>
          <w:rtl/>
        </w:rPr>
        <w:t xml:space="preserve"> جسدية صارمة دون تأسيس مواز لروحانية داخلية متجذرة قائمة على محبة الله ومراقبته الباطنة، فإن الناتج غالبًا علاقة مشوهة مع الجسد والرغبة، تتأرجح بين الكبت الحاد والانفلات الخفي، وتُستبدَل فيها الرقابة الذاتية النابعة من الإيمان برقابة خارجية قسرية يُمارسها الفرد لاحقًا على من حوله، تعويضًا عن غياب تلك الرقابة الداخلية المتجذرة.</w:t>
      </w:r>
    </w:p>
    <w:p w14:paraId="2FACC955"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تاسعًا: التداعيات الأسرية والإنذار طويل المدى</w:t>
      </w:r>
    </w:p>
    <w:p w14:paraId="12B4871E"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على مستوى الشريك الخاضع لهذا النمط، تشير الأدبيات الإكلينيكية إلى أن استمرار العيش تحت سيطرة قسرية ممتدة يُفضي تدريجيًا إلى تآكل الإحساس بالهوية المستقلة، وإلى أشكال من الاكتئاب الخفي غير المُشخَّص، لأن الضحية غالبًا ما تُعيد تفسير معاناتها ضمن إطار الواجب الديني أو الأسري فتُؤخِّر طلب المساعدة. وقد يبدأ التمرد الصامت — عبر تغييرات سلوكية أو مظهرية طفيفة — بوصفه أولى إشارات المقاومة الداخلية، وقد يتصاعد لاحقًا إما إلى مواجهة مفتوحة أو إلى انسحاب عاطفي كامل يُنذر بتفكك الرابطة الزوجية من الداخل قبل انفصالها الشكلي.</w:t>
      </w:r>
    </w:p>
    <w:p w14:paraId="32B03715"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أما على مستوى الأبناء، فإن </w:t>
      </w:r>
      <w:proofErr w:type="spellStart"/>
      <w:r>
        <w:rPr>
          <w:rFonts w:ascii="Traditional Arabic" w:eastAsia="Traditional Arabic" w:hAnsi="Traditional Arabic" w:cs="Traditional Arabic"/>
          <w:color w:val="1A1A1A"/>
          <w:sz w:val="26"/>
          <w:szCs w:val="26"/>
          <w:rtl/>
        </w:rPr>
        <w:t>النمذجة</w:t>
      </w:r>
      <w:proofErr w:type="spellEnd"/>
      <w:r>
        <w:rPr>
          <w:rFonts w:ascii="Traditional Arabic" w:eastAsia="Traditional Arabic" w:hAnsi="Traditional Arabic" w:cs="Traditional Arabic"/>
          <w:color w:val="1A1A1A"/>
          <w:sz w:val="26"/>
          <w:szCs w:val="26"/>
          <w:rtl/>
        </w:rPr>
        <w:t xml:space="preserve"> السلوكية تلعب دورًا حاسمًا: إذ يتعلم الطفل من ملاحظة العلاقة الوالدية أن المحبة مشروطة بالطاعة، وأن التعبير الذاتي للأنثى محكوم برقابة خارجية دائمة، وهو تعلّم ضمني يُعيد إنتاج النمط ذاته جيليًا ما لم يحدث تدخل واعٍ يكسر هذه الحلقة. وإذا لم يُتَح تدخل إرشادي أو علاجي مبكر، فإن الإنذار طويل المدى يشير إلى تصاعد محتمل في شدة السلوك القسري مع تقدّم العمر وتناقص مصادر السيطرة الخارجية الأخرى، وإلى احتمال أزمة وجودية حادة عند انهيار البنية الدفاعية بأكملها، كحدوث الطلاق أو استقلال الأبناء.</w:t>
      </w:r>
    </w:p>
    <w:p w14:paraId="2D3DE869"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عاشرًا: نحو نموذج تدخل استخلافي — من التشخيص إلى الإصلاح</w:t>
      </w:r>
    </w:p>
    <w:p w14:paraId="3B09DE6F"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يميّز علم النفس الاستخلافي بين مستويين من التدخل الضروريين في مواجهة هذا النمط: مستوى حماية الطرف المُستضعَف داخل العلاقة، ومستوى إصلاح البنية الدفاعية لدى الطرف المسيطر ذاته، وكلاهما واجب شرعي وأخلاقي متزامن لا يجوز تأجيل أحدهما لصالح الآخر. فعلى مستوى الحماية، يقتضي الأمر تمكين الطرف المتضرر من إدراك أن السيطرة القسرية ليست التزامًا دينيًا بل تحريف له، وتزويده بأدوات عملية للتمييز بين النصيحة الشرعية الصادقة والتوظيف </w:t>
      </w:r>
      <w:proofErr w:type="spellStart"/>
      <w:r>
        <w:rPr>
          <w:rFonts w:ascii="Traditional Arabic" w:eastAsia="Traditional Arabic" w:hAnsi="Traditional Arabic" w:cs="Traditional Arabic"/>
          <w:color w:val="1A1A1A"/>
          <w:sz w:val="26"/>
          <w:szCs w:val="26"/>
          <w:rtl/>
        </w:rPr>
        <w:t>الأداتي</w:t>
      </w:r>
      <w:proofErr w:type="spellEnd"/>
      <w:r>
        <w:rPr>
          <w:rFonts w:ascii="Traditional Arabic" w:eastAsia="Traditional Arabic" w:hAnsi="Traditional Arabic" w:cs="Traditional Arabic"/>
          <w:color w:val="1A1A1A"/>
          <w:sz w:val="26"/>
          <w:szCs w:val="26"/>
          <w:rtl/>
        </w:rPr>
        <w:t xml:space="preserve"> للنص الديني، إلى جانب بناء شبكة دعم اجتماعية وأسرية تكسر عزلته المفروضة.</w:t>
      </w:r>
    </w:p>
    <w:p w14:paraId="04A71D72"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أما على مستوى إصلاح البنية الدفاعية لدى الطرف المسيطر، فإن المدخل العلاجي المناسب لا يبدأ بالمواجهة الأخلاقية المباشرة التي تُستقبَل غالبًا بمزيد من الدفاعية والانغلاق، بل بمساعدة الفرد تدريجيًا على إدراك الفجوة بين صورته الذاتية المثالية (الملتزم دينيًا، الحريص على أسرته) وبين الأثر الفعلي لسلوكه على من حوله، مع إعادة بناء علاقته بمفهوم القوامة ذاته على أساس الرعاية والعدل لا التسلط، وهو تحوّل يتطلب عادة مرافقة إرشادية ممتدة تجمع بين الوعي النفسي والتأصيل الشرعي المتّزن.</w:t>
      </w:r>
    </w:p>
    <w:p w14:paraId="1A215F14"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ويخلص هذا النموذج إلى أن الوقاية الحقيقية من هذا النمط تبدأ من مستوى التنشئة المبكرة، عبر بناء تربية دينية متوازنة تجمع بين الالتزام بالحدود الشرعية وتنمية الروحانية الداخلية القائمة على المراقبة الذاتية، بدل الاكتفاء بمنظومة </w:t>
      </w:r>
      <w:proofErr w:type="spellStart"/>
      <w:r>
        <w:rPr>
          <w:rFonts w:ascii="Traditional Arabic" w:eastAsia="Traditional Arabic" w:hAnsi="Traditional Arabic" w:cs="Traditional Arabic"/>
          <w:color w:val="1A1A1A"/>
          <w:sz w:val="26"/>
          <w:szCs w:val="26"/>
          <w:rtl/>
        </w:rPr>
        <w:t>تحريمات</w:t>
      </w:r>
      <w:proofErr w:type="spellEnd"/>
      <w:r>
        <w:rPr>
          <w:rFonts w:ascii="Traditional Arabic" w:eastAsia="Traditional Arabic" w:hAnsi="Traditional Arabic" w:cs="Traditional Arabic"/>
          <w:color w:val="1A1A1A"/>
          <w:sz w:val="26"/>
          <w:szCs w:val="26"/>
          <w:rtl/>
        </w:rPr>
        <w:t xml:space="preserve"> مجردة من التأصيل الوجداني، وهو ما يشكّل جوهر الرؤية الاستخلافية للتربية الأسرية السليمة.</w:t>
      </w:r>
    </w:p>
    <w:p w14:paraId="0D4952BE" w14:textId="77777777" w:rsidR="008E708C" w:rsidRDefault="005463D3">
      <w:pPr>
        <w:pBdr>
          <w:bottom w:val="single" w:sz="8" w:space="6" w:color="B8912F"/>
        </w:pBdr>
        <w:spacing w:before="420" w:after="220"/>
        <w:jc w:val="right"/>
      </w:pPr>
      <w:r>
        <w:rPr>
          <w:rFonts w:ascii="Traditional Arabic" w:eastAsia="Traditional Arabic" w:hAnsi="Traditional Arabic" w:cs="Traditional Arabic"/>
          <w:b/>
          <w:bCs/>
          <w:color w:val="1B2A4A"/>
          <w:sz w:val="32"/>
          <w:szCs w:val="32"/>
          <w:rtl/>
        </w:rPr>
        <w:t>خلاصة تركيبية</w:t>
      </w:r>
    </w:p>
    <w:p w14:paraId="50F7F9A5"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تكشف هذه الدراسة عن نموذج نظري متكرر يمكن تسميته بـ«الشخصية </w:t>
      </w:r>
      <w:proofErr w:type="spellStart"/>
      <w:r>
        <w:rPr>
          <w:rFonts w:ascii="Traditional Arabic" w:eastAsia="Traditional Arabic" w:hAnsi="Traditional Arabic" w:cs="Traditional Arabic"/>
          <w:color w:val="1A1A1A"/>
          <w:sz w:val="26"/>
          <w:szCs w:val="26"/>
          <w:rtl/>
        </w:rPr>
        <w:t>الانسحابية-السيطرية</w:t>
      </w:r>
      <w:proofErr w:type="spellEnd"/>
      <w:r>
        <w:rPr>
          <w:rFonts w:ascii="Traditional Arabic" w:eastAsia="Traditional Arabic" w:hAnsi="Traditional Arabic" w:cs="Traditional Arabic"/>
          <w:color w:val="1A1A1A"/>
          <w:sz w:val="26"/>
          <w:szCs w:val="26"/>
          <w:rtl/>
        </w:rPr>
        <w:t xml:space="preserve">»، حيث يتحد القلق الاجتماعي </w:t>
      </w:r>
      <w:proofErr w:type="spellStart"/>
      <w:r>
        <w:rPr>
          <w:rFonts w:ascii="Traditional Arabic" w:eastAsia="Traditional Arabic" w:hAnsi="Traditional Arabic" w:cs="Traditional Arabic"/>
          <w:color w:val="1A1A1A"/>
          <w:sz w:val="26"/>
          <w:szCs w:val="26"/>
          <w:rtl/>
        </w:rPr>
        <w:t>التجنبي</w:t>
      </w:r>
      <w:proofErr w:type="spellEnd"/>
      <w:r>
        <w:rPr>
          <w:rFonts w:ascii="Traditional Arabic" w:eastAsia="Traditional Arabic" w:hAnsi="Traditional Arabic" w:cs="Traditional Arabic"/>
          <w:color w:val="1A1A1A"/>
          <w:sz w:val="26"/>
          <w:szCs w:val="26"/>
          <w:rtl/>
        </w:rPr>
        <w:t xml:space="preserve"> مع حاجة تعويضية إلى السيطرة داخل الحيّز الخاص، ويتحول الخطاب الديني فيه — حين يُوظَّف انتقائيًا — من مصدر تحرر وطمأنينة وجودية إلى أداة سلطوية تمنح الشرعية للهيمنة. وقد سعت الدراسة إلى تجاوز التفسيرات الأخلاقية السطحية (النفاق، القسوة الفردية) نحو فهم بنيوي أعمق للآليات الدفاعية التي تحمي ذاتًا هشة من التفكك عبر تحويل القلق إلى سيطرة، والرغبة إلى مراقبة، والشعور بالعجز إلى سلطة منزلية مطلقة.</w:t>
      </w:r>
    </w:p>
    <w:p w14:paraId="543118BD" w14:textId="77777777" w:rsidR="008E708C" w:rsidRDefault="005463D3">
      <w:pPr>
        <w:spacing w:after="200" w:line="340" w:lineRule="auto"/>
        <w:jc w:val="both"/>
      </w:pPr>
      <w:r>
        <w:rPr>
          <w:rFonts w:ascii="Traditional Arabic" w:eastAsia="Traditional Arabic" w:hAnsi="Traditional Arabic" w:cs="Traditional Arabic"/>
          <w:color w:val="1A1A1A"/>
          <w:sz w:val="26"/>
          <w:szCs w:val="26"/>
          <w:rtl/>
        </w:rPr>
        <w:t xml:space="preserve">وتبقى القيمة المضافة لعلم النفس الاستخلافي في هذا التحليل كامنة في رفضه المزدوج: رفض الاختزال النفسي الغربي الذي يُسقط شرعية أي التزام ديني أصيل، ورفض التوظيف </w:t>
      </w:r>
      <w:proofErr w:type="spellStart"/>
      <w:r>
        <w:rPr>
          <w:rFonts w:ascii="Traditional Arabic" w:eastAsia="Traditional Arabic" w:hAnsi="Traditional Arabic" w:cs="Traditional Arabic"/>
          <w:color w:val="1A1A1A"/>
          <w:sz w:val="26"/>
          <w:szCs w:val="26"/>
          <w:rtl/>
        </w:rPr>
        <w:t>الأداتي</w:t>
      </w:r>
      <w:proofErr w:type="spellEnd"/>
      <w:r>
        <w:rPr>
          <w:rFonts w:ascii="Traditional Arabic" w:eastAsia="Traditional Arabic" w:hAnsi="Traditional Arabic" w:cs="Traditional Arabic"/>
          <w:color w:val="1A1A1A"/>
          <w:sz w:val="26"/>
          <w:szCs w:val="26"/>
          <w:rtl/>
        </w:rPr>
        <w:t xml:space="preserve"> للدين الذي يُسقط شرعية أي نقد نفسي للسلوك المتسلط المتستر بلباس الالتزام. وبين هذين الرفضين، يقترح هذا الإطار معيارًا معياريًا-وظيفيًا للتمييز بين التديّن الأصيل والتديّن </w:t>
      </w:r>
      <w:proofErr w:type="spellStart"/>
      <w:r>
        <w:rPr>
          <w:rFonts w:ascii="Traditional Arabic" w:eastAsia="Traditional Arabic" w:hAnsi="Traditional Arabic" w:cs="Traditional Arabic"/>
          <w:color w:val="1A1A1A"/>
          <w:sz w:val="26"/>
          <w:szCs w:val="26"/>
          <w:rtl/>
        </w:rPr>
        <w:t>الأداتي</w:t>
      </w:r>
      <w:proofErr w:type="spellEnd"/>
      <w:r>
        <w:rPr>
          <w:rFonts w:ascii="Traditional Arabic" w:eastAsia="Traditional Arabic" w:hAnsi="Traditional Arabic" w:cs="Traditional Arabic"/>
          <w:color w:val="1A1A1A"/>
          <w:sz w:val="26"/>
          <w:szCs w:val="26"/>
          <w:rtl/>
        </w:rPr>
        <w:t>، هو معيار الاتساق بين الصرامة الموجَّهة للذات والصرامة الموجَّهة للغير، بوصفه أداة تشخيصية وإرشادية عملية قابلة للتطبيق في السياقات الأسرية والعلاجية على حد سواء.</w:t>
      </w:r>
    </w:p>
    <w:sectPr w:rsidR="008E708C">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44AE" w14:textId="77777777" w:rsidR="005463D3" w:rsidRDefault="005463D3">
      <w:r>
        <w:separator/>
      </w:r>
    </w:p>
  </w:endnote>
  <w:endnote w:type="continuationSeparator" w:id="0">
    <w:p w14:paraId="4B1D3D25" w14:textId="77777777" w:rsidR="005463D3" w:rsidRDefault="00546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DB44" w14:textId="77777777" w:rsidR="008E708C" w:rsidRDefault="005463D3">
    <w:pPr>
      <w:jc w:val="center"/>
    </w:pPr>
    <w:r>
      <w:rPr>
        <w:rFonts w:ascii="Traditional Arabic" w:eastAsia="Traditional Arabic" w:hAnsi="Traditional Arabic" w:cs="Traditional Arabic"/>
        <w:color w:val="1B2A4A"/>
        <w:sz w:val="18"/>
        <w:szCs w:val="18"/>
      </w:rPr>
      <w:fldChar w:fldCharType="begin"/>
    </w:r>
    <w:r>
      <w:rPr>
        <w:rFonts w:ascii="Traditional Arabic" w:eastAsia="Traditional Arabic" w:hAnsi="Traditional Arabic" w:cs="Traditional Arabic"/>
        <w:color w:val="1B2A4A"/>
        <w:sz w:val="18"/>
        <w:szCs w:val="18"/>
      </w:rPr>
      <w:instrText>PAGE</w:instrText>
    </w:r>
    <w:r>
      <w:rPr>
        <w:rFonts w:ascii="Traditional Arabic" w:eastAsia="Traditional Arabic" w:hAnsi="Traditional Arabic" w:cs="Traditional Arabic"/>
        <w:color w:val="1B2A4A"/>
        <w:sz w:val="18"/>
        <w:szCs w:val="18"/>
      </w:rPr>
      <w:fldChar w:fldCharType="separate"/>
    </w:r>
    <w:r>
      <w:rPr>
        <w:rFonts w:ascii="Traditional Arabic" w:eastAsia="Traditional Arabic" w:hAnsi="Traditional Arabic" w:cs="Traditional Arabic"/>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E349D" w14:textId="77777777" w:rsidR="005463D3" w:rsidRDefault="005463D3">
      <w:r>
        <w:separator/>
      </w:r>
    </w:p>
  </w:footnote>
  <w:footnote w:type="continuationSeparator" w:id="0">
    <w:p w14:paraId="57B82393" w14:textId="77777777" w:rsidR="005463D3" w:rsidRDefault="00546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CB2D" w14:textId="77777777" w:rsidR="008E708C" w:rsidRDefault="005463D3">
    <w:pPr>
      <w:pBdr>
        <w:bottom w:val="single" w:sz="4" w:space="4" w:color="0E6B6B"/>
      </w:pBdr>
      <w:jc w:val="center"/>
    </w:pPr>
    <w:r>
      <w:rPr>
        <w:rFonts w:ascii="Traditional Arabic" w:eastAsia="Traditional Arabic" w:hAnsi="Traditional Arabic" w:cs="Traditional Arabic"/>
        <w:color w:val="0E6B6B"/>
        <w:sz w:val="16"/>
        <w:szCs w:val="16"/>
        <w:rtl/>
      </w:rPr>
      <w:t>علم النفس الاستخلافي — عبد السلام الزراع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0B"/>
    <w:multiLevelType w:val="hybridMultilevel"/>
    <w:tmpl w:val="FFFFFFFF"/>
    <w:lvl w:ilvl="0" w:tplc="6714E9D4">
      <w:start w:val="1"/>
      <w:numFmt w:val="bullet"/>
      <w:lvlText w:val="●"/>
      <w:lvlJc w:val="left"/>
      <w:pPr>
        <w:ind w:left="720" w:hanging="360"/>
      </w:pPr>
    </w:lvl>
    <w:lvl w:ilvl="1" w:tplc="0800523A">
      <w:start w:val="1"/>
      <w:numFmt w:val="bullet"/>
      <w:lvlText w:val="○"/>
      <w:lvlJc w:val="left"/>
      <w:pPr>
        <w:ind w:left="1440" w:hanging="360"/>
      </w:pPr>
    </w:lvl>
    <w:lvl w:ilvl="2" w:tplc="E65273A6">
      <w:start w:val="1"/>
      <w:numFmt w:val="bullet"/>
      <w:lvlText w:val="■"/>
      <w:lvlJc w:val="left"/>
      <w:pPr>
        <w:ind w:left="2160" w:hanging="360"/>
      </w:pPr>
    </w:lvl>
    <w:lvl w:ilvl="3" w:tplc="17242DD4">
      <w:start w:val="1"/>
      <w:numFmt w:val="bullet"/>
      <w:lvlText w:val="●"/>
      <w:lvlJc w:val="left"/>
      <w:pPr>
        <w:ind w:left="2880" w:hanging="360"/>
      </w:pPr>
    </w:lvl>
    <w:lvl w:ilvl="4" w:tplc="67BAA97C">
      <w:start w:val="1"/>
      <w:numFmt w:val="bullet"/>
      <w:lvlText w:val="○"/>
      <w:lvlJc w:val="left"/>
      <w:pPr>
        <w:ind w:left="3600" w:hanging="360"/>
      </w:pPr>
    </w:lvl>
    <w:lvl w:ilvl="5" w:tplc="8BEEC51A">
      <w:start w:val="1"/>
      <w:numFmt w:val="bullet"/>
      <w:lvlText w:val="■"/>
      <w:lvlJc w:val="left"/>
      <w:pPr>
        <w:ind w:left="4320" w:hanging="360"/>
      </w:pPr>
    </w:lvl>
    <w:lvl w:ilvl="6" w:tplc="ECA64824">
      <w:start w:val="1"/>
      <w:numFmt w:val="bullet"/>
      <w:lvlText w:val="●"/>
      <w:lvlJc w:val="left"/>
      <w:pPr>
        <w:ind w:left="5040" w:hanging="360"/>
      </w:pPr>
    </w:lvl>
    <w:lvl w:ilvl="7" w:tplc="E39C5B2A">
      <w:start w:val="1"/>
      <w:numFmt w:val="bullet"/>
      <w:lvlText w:val="●"/>
      <w:lvlJc w:val="left"/>
      <w:pPr>
        <w:ind w:left="5760" w:hanging="360"/>
      </w:pPr>
    </w:lvl>
    <w:lvl w:ilvl="8" w:tplc="F16C597E">
      <w:start w:val="1"/>
      <w:numFmt w:val="bullet"/>
      <w:lvlText w:val="●"/>
      <w:lvlJc w:val="left"/>
      <w:pPr>
        <w:ind w:left="6480" w:hanging="360"/>
      </w:pPr>
    </w:lvl>
  </w:abstractNum>
  <w:num w:numId="1" w16cid:durableId="3670992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08C"/>
    <w:rsid w:val="00286D36"/>
    <w:rsid w:val="005463D3"/>
    <w:rsid w:val="006A4A62"/>
    <w:rsid w:val="0071371D"/>
    <w:rsid w:val="008E708C"/>
    <w:rsid w:val="00CE3C0D"/>
    <w:rsid w:val="00DB4C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18EAC63"/>
  <w15:docId w15:val="{D3188D2D-7C72-454B-BBBA-B88DBC9ED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2324</Words>
  <Characters>13251</Characters>
  <Application>Microsoft Office Word</Application>
  <DocSecurity>0</DocSecurity>
  <Lines>110</Lines>
  <Paragraphs>31</Paragraphs>
  <ScaleCrop>false</ScaleCrop>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5</cp:revision>
  <dcterms:created xsi:type="dcterms:W3CDTF">2026-08-12T22:18:00Z</dcterms:created>
  <dcterms:modified xsi:type="dcterms:W3CDTF">2026-08-12T22:56:00Z</dcterms:modified>
</cp:coreProperties>
</file>