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D1F93" w14:textId="77777777" w:rsidR="005A6F55" w:rsidRDefault="00000000">
      <w:pPr>
        <w:spacing w:before="1200"/>
        <w:jc w:val="center"/>
      </w:pPr>
      <w:r>
        <w:rPr>
          <w:b/>
          <w:bCs/>
          <w:color w:val="1B3A5C"/>
          <w:sz w:val="44"/>
          <w:szCs w:val="44"/>
        </w:rPr>
        <w:t>من الصياغة السريرية إلى التشخيص الوجودي</w:t>
      </w:r>
    </w:p>
    <w:p w14:paraId="054111D0" w14:textId="77777777" w:rsidR="005A6F55" w:rsidRDefault="00000000">
      <w:pPr>
        <w:spacing w:after="200"/>
        <w:jc w:val="center"/>
      </w:pPr>
      <w:r>
        <w:rPr>
          <w:b/>
          <w:bCs/>
          <w:color w:val="0F6674"/>
          <w:sz w:val="32"/>
          <w:szCs w:val="32"/>
        </w:rPr>
        <w:t>دراسة استخلافية موسّعة في تحليل حالة الرجل المتحرّش الساذج</w:t>
      </w:r>
    </w:p>
    <w:p w14:paraId="2C551003" w14:textId="77777777" w:rsidR="005A6F55" w:rsidRDefault="00000000">
      <w:pPr>
        <w:spacing w:before="400" w:after="100"/>
        <w:jc w:val="center"/>
      </w:pPr>
      <w:r>
        <w:rPr>
          <w:i/>
          <w:iCs/>
          <w:color w:val="222222"/>
          <w:sz w:val="26"/>
          <w:szCs w:val="26"/>
        </w:rPr>
        <w:t>قراءة معمّقة في ضوء علم النفس الاستخلافي</w:t>
      </w:r>
    </w:p>
    <w:p w14:paraId="56540673" w14:textId="77777777" w:rsidR="005A6F55" w:rsidRDefault="00000000">
      <w:pPr>
        <w:spacing w:before="900"/>
        <w:jc w:val="center"/>
      </w:pPr>
      <w:r>
        <w:rPr>
          <w:color w:val="1B3A5C"/>
          <w:sz w:val="24"/>
          <w:szCs w:val="24"/>
        </w:rPr>
        <w:t>في إطار المشروع الفكري للباحث عبد السلام الزراع</w:t>
      </w:r>
    </w:p>
    <w:p w14:paraId="70884EEE" w14:textId="77777777" w:rsidR="005A6F55" w:rsidRDefault="00000000">
      <w:pPr>
        <w:spacing w:before="200"/>
        <w:jc w:val="center"/>
      </w:pPr>
      <w:r>
        <w:rPr>
          <w:color w:val="555555"/>
          <w:sz w:val="22"/>
          <w:szCs w:val="22"/>
        </w:rPr>
        <w:t>الطبعة الموسّعة والمُنقَّحة، 2026</w:t>
      </w:r>
    </w:p>
    <w:p w14:paraId="3848E28B" w14:textId="77777777" w:rsidR="005A6F55" w:rsidRDefault="00000000">
      <w:r>
        <w:br w:type="page"/>
      </w:r>
    </w:p>
    <w:p w14:paraId="5F27BF7E" w14:textId="77777777" w:rsidR="005A6F55" w:rsidRDefault="00000000" w:rsidP="007C3FB0">
      <w:pPr>
        <w:pStyle w:val="1"/>
        <w:pBdr>
          <w:bottom w:val="single" w:sz="8" w:space="6" w:color="B8860B"/>
        </w:pBdr>
        <w:bidi/>
        <w:spacing w:before="420" w:after="220"/>
      </w:pPr>
      <w:r>
        <w:rPr>
          <w:b/>
          <w:bCs/>
          <w:color w:val="1B3A5C"/>
          <w:sz w:val="34"/>
          <w:szCs w:val="34"/>
        </w:rPr>
        <w:t>فهرس المحتويات</w:t>
      </w:r>
    </w:p>
    <w:sdt>
      <w:sdtPr>
        <w:alias w:val="فهرس"/>
        <w:id w:val="1330798269"/>
      </w:sdtPr>
      <w:sdtContent>
        <w:p w14:paraId="12EA2C2D" w14:textId="77777777" w:rsidR="005A6F55" w:rsidRDefault="00000000" w:rsidP="007C3FB0">
          <w:r>
            <w:fldChar w:fldCharType="begin"/>
          </w:r>
          <w:r>
            <w:instrText>TOC \h \o "1-2"</w:instrText>
          </w:r>
          <w:r>
            <w:fldChar w:fldCharType="separate"/>
          </w:r>
        </w:p>
        <w:p w14:paraId="3CAD874D" w14:textId="77777777" w:rsidR="005A6F55" w:rsidRDefault="00000000" w:rsidP="007C3FB0">
          <w:r>
            <w:fldChar w:fldCharType="end"/>
          </w:r>
        </w:p>
      </w:sdtContent>
    </w:sdt>
    <w:p w14:paraId="682C5D5A" w14:textId="77777777" w:rsidR="005A6F55" w:rsidRDefault="00000000" w:rsidP="007C3FB0">
      <w:r>
        <w:br w:type="page"/>
      </w:r>
    </w:p>
    <w:p w14:paraId="0906315F" w14:textId="77777777" w:rsidR="005A6F55" w:rsidRDefault="00000000" w:rsidP="007C3FB0">
      <w:pPr>
        <w:pStyle w:val="1"/>
        <w:pBdr>
          <w:bottom w:val="single" w:sz="8" w:space="6" w:color="B8860B"/>
        </w:pBdr>
        <w:bidi/>
        <w:spacing w:before="420" w:after="220"/>
      </w:pPr>
      <w:r>
        <w:rPr>
          <w:b/>
          <w:bCs/>
          <w:color w:val="1B3A5C"/>
          <w:sz w:val="34"/>
          <w:szCs w:val="34"/>
        </w:rPr>
        <w:t>تنبيه منهجي تأسيسي</w:t>
      </w:r>
    </w:p>
    <w:p w14:paraId="4DA0BDA9" w14:textId="77777777" w:rsidR="005A6F55" w:rsidRDefault="00000000" w:rsidP="007C3FB0">
      <w:pPr>
        <w:spacing w:after="160" w:line="300" w:lineRule="auto"/>
      </w:pPr>
      <w:r>
        <w:rPr>
          <w:color w:val="222222"/>
        </w:rPr>
        <w:t xml:space="preserve">تُقدَّم هذه الدراسة بوصفها قراءة استخلافية للحالة الموصوفة، لا تشخيصاً سريرياً بالمعنى الطبي أو النفسي الرسمي. والتشخيص الدقيق، كما </w:t>
      </w:r>
      <w:proofErr w:type="spellStart"/>
      <w:r>
        <w:rPr>
          <w:color w:val="222222"/>
        </w:rPr>
        <w:t>تقتضيه</w:t>
      </w:r>
      <w:proofErr w:type="spellEnd"/>
      <w:r>
        <w:rPr>
          <w:color w:val="222222"/>
        </w:rPr>
        <w:t xml:space="preserve"> المعايير الإكلينيكية المعتمدة، يستلزم تقييماً مباشراً متعدد الأبعاد: مقابلة إكلينيكية منظّمة، اختبارات ذكاء ووظائف تنفيذية، تقييماً للسلوك التكيّفي وفق معايير الإعاقة الذهنية المعتمدة في التصنيف الدولي الحادي عشر للأمراض (منظمة الصحة العالمية، 2019)، فحصاً طبياً وعصبياً، وشهادات محيطية موثوقة.</w:t>
      </w:r>
    </w:p>
    <w:p w14:paraId="2A98E66B" w14:textId="77777777" w:rsidR="005A6F55" w:rsidRDefault="00000000" w:rsidP="007C3FB0">
      <w:pPr>
        <w:spacing w:after="160" w:line="300" w:lineRule="auto"/>
      </w:pPr>
      <w:r>
        <w:rPr>
          <w:color w:val="222222"/>
        </w:rPr>
        <w:t>والفهم التحليلي المعروض هنا لا يبرر التحرش بأي درجة، ولا يخفف من وطأة ضرره على من تعرّضن له، ولا يحل محل المساءلة القانونية والاجتماعية الواجبة. غايته تمكين التدخل والحماية والتأهيل، لا التماس الأعذار أو تبرئة الفاعل من مسؤوليته.</w:t>
      </w:r>
    </w:p>
    <w:p w14:paraId="46CC7189" w14:textId="77777777" w:rsidR="005A6F55" w:rsidRDefault="00000000" w:rsidP="007C3FB0">
      <w:pPr>
        <w:spacing w:after="160" w:line="300" w:lineRule="auto"/>
      </w:pPr>
      <w:r>
        <w:rPr>
          <w:color w:val="222222"/>
        </w:rPr>
        <w:t>وتضيف هذه الدراسة إلى هذا الشرط المنهجي شرطاً خاصاً بها: القراءة الاستخلافية ليست بديلاً عن التقييم الإكلينيكي، بل طبقة تفسيرية مكمّلة تحاول الكشف عمّا تُسمّيه هذه المدرسة الجذور الوجودية للسلوك المنحرف، والطاقة النفسية المحتجزة داخله، والأضلاع الوظيفية المعطَّلة في بنية النفس، وذلك دون أن تُسقط أياً من ضوابط الحذر المنهجي المذكورة أعلاه.</w:t>
      </w:r>
    </w:p>
    <w:p w14:paraId="2C2C665E" w14:textId="77777777" w:rsidR="005A6F55" w:rsidRDefault="00000000" w:rsidP="007C3FB0">
      <w:pPr>
        <w:pStyle w:val="1"/>
        <w:pBdr>
          <w:bottom w:val="single" w:sz="8" w:space="6" w:color="B8860B"/>
        </w:pBdr>
        <w:bidi/>
        <w:spacing w:before="420" w:after="220"/>
      </w:pPr>
      <w:r>
        <w:rPr>
          <w:b/>
          <w:bCs/>
          <w:color w:val="1B3A5C"/>
          <w:sz w:val="34"/>
          <w:szCs w:val="34"/>
        </w:rPr>
        <w:t>تمهيد: من التحليل النفسي إلى التشخيص الوجودي</w:t>
      </w:r>
    </w:p>
    <w:p w14:paraId="3E5FF692" w14:textId="77777777" w:rsidR="005A6F55" w:rsidRDefault="00000000" w:rsidP="007C3FB0">
      <w:pPr>
        <w:spacing w:after="160" w:line="300" w:lineRule="auto"/>
      </w:pPr>
      <w:r>
        <w:rPr>
          <w:color w:val="222222"/>
        </w:rPr>
        <w:t xml:space="preserve">يعرض النص الأصلي موضوع هذه الدراسة صياغة </w:t>
      </w:r>
      <w:proofErr w:type="spellStart"/>
      <w:r>
        <w:rPr>
          <w:color w:val="222222"/>
        </w:rPr>
        <w:t>مفاهيمية</w:t>
      </w:r>
      <w:proofErr w:type="spellEnd"/>
      <w:r>
        <w:rPr>
          <w:color w:val="222222"/>
        </w:rPr>
        <w:t xml:space="preserve"> غير تشخيصية، بالمعنى الذي حدده </w:t>
      </w:r>
      <w:proofErr w:type="spellStart"/>
      <w:r>
        <w:rPr>
          <w:color w:val="222222"/>
        </w:rPr>
        <w:t>سبيري</w:t>
      </w:r>
      <w:proofErr w:type="spellEnd"/>
      <w:r>
        <w:rPr>
          <w:color w:val="222222"/>
        </w:rPr>
        <w:t xml:space="preserve"> </w:t>
      </w:r>
      <w:proofErr w:type="spellStart"/>
      <w:r>
        <w:rPr>
          <w:color w:val="222222"/>
        </w:rPr>
        <w:t>وسبيري</w:t>
      </w:r>
      <w:proofErr w:type="spellEnd"/>
      <w:r>
        <w:rPr>
          <w:color w:val="222222"/>
        </w:rPr>
        <w:t xml:space="preserve"> (</w:t>
      </w:r>
      <w:proofErr w:type="spellStart"/>
      <w:r>
        <w:rPr>
          <w:color w:val="222222"/>
        </w:rPr>
        <w:t>Sperry</w:t>
      </w:r>
      <w:proofErr w:type="spellEnd"/>
      <w:r>
        <w:rPr>
          <w:color w:val="222222"/>
        </w:rPr>
        <w:t xml:space="preserve"> &amp; </w:t>
      </w:r>
      <w:proofErr w:type="spellStart"/>
      <w:r>
        <w:rPr>
          <w:color w:val="222222"/>
        </w:rPr>
        <w:t>Sperry</w:t>
      </w:r>
      <w:proofErr w:type="spellEnd"/>
      <w:r>
        <w:rPr>
          <w:color w:val="222222"/>
        </w:rPr>
        <w:t xml:space="preserve">, 2012) لمفهوم صياغة الحالة </w:t>
      </w:r>
      <w:proofErr w:type="spellStart"/>
      <w:r>
        <w:rPr>
          <w:color w:val="222222"/>
        </w:rPr>
        <w:t>Case</w:t>
      </w:r>
      <w:proofErr w:type="spellEnd"/>
      <w:r>
        <w:rPr>
          <w:color w:val="222222"/>
        </w:rPr>
        <w:t xml:space="preserve"> </w:t>
      </w:r>
      <w:proofErr w:type="spellStart"/>
      <w:r>
        <w:rPr>
          <w:color w:val="222222"/>
        </w:rPr>
        <w:t>Formulation</w:t>
      </w:r>
      <w:proofErr w:type="spellEnd"/>
      <w:r>
        <w:rPr>
          <w:color w:val="222222"/>
        </w:rPr>
        <w:t xml:space="preserve">، لرجل في العقد الخامس من عمره، غير متزوج، يعمل عملاً يدوياً بسيطاً، ويكرر التحرش اللفظي بنساء متزوجات. واعتمد النص منهجية الصياغة الخماسية المعروفة اختصاراً بـ5Ps، وهي من أكثر أطر الصياغة السريرية استخداماً في التدريب الإكلينيكي المعاصر، إذ تُحلَّل الحالة عبر خمسة محاور: العوامل </w:t>
      </w:r>
      <w:proofErr w:type="spellStart"/>
      <w:r>
        <w:rPr>
          <w:color w:val="222222"/>
        </w:rPr>
        <w:t>المهيّئة</w:t>
      </w:r>
      <w:proofErr w:type="spellEnd"/>
      <w:r>
        <w:rPr>
          <w:color w:val="222222"/>
        </w:rPr>
        <w:t>، والعوامل المطلقة أو المفجّرة، والعوامل المُستمِرّة، والعوامل الواقية، وعوامل الخطر.</w:t>
      </w:r>
    </w:p>
    <w:p w14:paraId="02831164" w14:textId="77777777" w:rsidR="005A6F55" w:rsidRDefault="00000000" w:rsidP="007C3FB0">
      <w:pPr>
        <w:spacing w:after="160" w:line="300" w:lineRule="auto"/>
      </w:pPr>
      <w:r>
        <w:rPr>
          <w:color w:val="222222"/>
        </w:rPr>
        <w:t>هذا التحليل، على دقته المنهجية، يبقى في منظور علم النفس الاستخلافي، كما صاغه الباحث عبد السلام الزراع، تحليلاً أفقياً بالدرجة الأولى؛ فهو يصف مستويات الأداء النفسي والمعرفي والسلوكي، لكنه لا ينفذ بالضرورة إلى ما يسميه هذا الإطار البنية الأنطولوجية للشخصية، ولا يحدد بدقة أي الأضلاع الوظيفية الثمانية في النفس قد تعطّل، ولا يقترح مساراً تحويلياً يتجاوز الوصف إلى إعادة البناء.</w:t>
      </w:r>
    </w:p>
    <w:p w14:paraId="793ECE57" w14:textId="77777777" w:rsidR="005A6F55" w:rsidRDefault="00000000" w:rsidP="007C3FB0">
      <w:pPr>
        <w:spacing w:after="160" w:line="300" w:lineRule="auto"/>
      </w:pPr>
      <w:r>
        <w:rPr>
          <w:color w:val="222222"/>
        </w:rPr>
        <w:t>تسعى هذه الدراسة الموسّعة إذن إلى ثلاثة أهداف متكاملة: أولاً، تعميق الصياغة الخماسية الأصلية بإضافة طبقة تفسيرية استخلافية عليها دون إلغائها؛ وثانياً، مقابلة هذه القراءة بأدبيات غربية معاصرة في علم النفس المعرفي والسلوكي والإكلينيكي للتحقق من اتساقها ومن حدودها؛ وثالثاً، اقتراح مسار علاجي استخلافي يهدف إلى التحويل لا مجرد التصنيف، مع الإبقاء الصريح على أولوية حماية الضحايا ومساءلة الفاعل في كل خطوة من خطواته.</w:t>
      </w:r>
    </w:p>
    <w:p w14:paraId="797ED578" w14:textId="77777777" w:rsidR="005A6F55" w:rsidRDefault="00000000" w:rsidP="007C3FB0">
      <w:pPr>
        <w:pStyle w:val="1"/>
        <w:pBdr>
          <w:bottom w:val="single" w:sz="8" w:space="6" w:color="B8860B"/>
        </w:pBdr>
        <w:bidi/>
        <w:spacing w:before="420" w:after="220"/>
      </w:pPr>
      <w:r>
        <w:rPr>
          <w:b/>
          <w:bCs/>
          <w:color w:val="1B3A5C"/>
          <w:sz w:val="34"/>
          <w:szCs w:val="34"/>
        </w:rPr>
        <w:t>الفصل الأول: الصياغة الخماسية (5Ps) — تحليل نقدي موسّع</w:t>
      </w:r>
    </w:p>
    <w:p w14:paraId="11D042B9" w14:textId="77777777" w:rsidR="005A6F55" w:rsidRDefault="00000000" w:rsidP="007C3FB0">
      <w:pPr>
        <w:pStyle w:val="2"/>
        <w:bidi/>
        <w:spacing w:before="300" w:after="160"/>
      </w:pPr>
      <w:r>
        <w:rPr>
          <w:b/>
          <w:bCs/>
          <w:color w:val="0F6674"/>
          <w:sz w:val="28"/>
          <w:szCs w:val="28"/>
        </w:rPr>
        <w:t xml:space="preserve">1.1 العوامل </w:t>
      </w:r>
      <w:proofErr w:type="spellStart"/>
      <w:r>
        <w:rPr>
          <w:b/>
          <w:bCs/>
          <w:color w:val="0F6674"/>
          <w:sz w:val="28"/>
          <w:szCs w:val="28"/>
        </w:rPr>
        <w:t>المهيّئة</w:t>
      </w:r>
      <w:proofErr w:type="spellEnd"/>
      <w:r>
        <w:rPr>
          <w:b/>
          <w:bCs/>
          <w:color w:val="0F6674"/>
          <w:sz w:val="28"/>
          <w:szCs w:val="28"/>
        </w:rPr>
        <w:t>: القصور المعرفي المحتمل والبيئة الأسرية</w:t>
      </w:r>
    </w:p>
    <w:p w14:paraId="7D9C7CDC" w14:textId="77777777" w:rsidR="005A6F55" w:rsidRDefault="00000000" w:rsidP="007C3FB0">
      <w:pPr>
        <w:spacing w:after="160" w:line="300" w:lineRule="auto"/>
      </w:pPr>
      <w:r>
        <w:rPr>
          <w:color w:val="222222"/>
        </w:rPr>
        <w:t xml:space="preserve">يشير النص الأصلي إلى محدودية معرفية محتملة، وبيئة أسرية بسيطة، وضعف في المهارات الاجتماعية، وعزلة مبكرة، بوصفها عوامل </w:t>
      </w:r>
      <w:proofErr w:type="spellStart"/>
      <w:r>
        <w:rPr>
          <w:color w:val="222222"/>
        </w:rPr>
        <w:t>مهيِّئة</w:t>
      </w:r>
      <w:proofErr w:type="spellEnd"/>
      <w:r>
        <w:rPr>
          <w:color w:val="222222"/>
        </w:rPr>
        <w:t xml:space="preserve"> للسلوك. في التحليل الاستخلافي، هذه العوامل، التي تُصنَّف في النموذج الطبي عوامل خطر </w:t>
      </w:r>
      <w:proofErr w:type="spellStart"/>
      <w:r>
        <w:rPr>
          <w:color w:val="222222"/>
        </w:rPr>
        <w:t>Risk</w:t>
      </w:r>
      <w:proofErr w:type="spellEnd"/>
      <w:r>
        <w:rPr>
          <w:color w:val="222222"/>
        </w:rPr>
        <w:t xml:space="preserve"> </w:t>
      </w:r>
      <w:proofErr w:type="spellStart"/>
      <w:r>
        <w:rPr>
          <w:color w:val="222222"/>
        </w:rPr>
        <w:t>Factors</w:t>
      </w:r>
      <w:proofErr w:type="spellEnd"/>
      <w:r>
        <w:rPr>
          <w:color w:val="222222"/>
        </w:rPr>
        <w:t>، تمثّل من منظور النموذج الهرمي القرآني تشوّهات مبكرة في القاعدة الفطرية للشخصية، وهو ما يسميه الزراع البنية الأخلاقية التأسيسية للنفس. فالقصور المعرفي، إن ثبت لاحقاً بتقييم مقنّن، ليس مجرد نقص كمّي في معامل الذكاء، بل هو في العمق الاستخلافي عجز في أدوات الاستخلاف ذاتها: العقل بوصفه أداة التمييز والتدبر والتخطيط الزمني، عندما يضعف أداؤه التنفيذي، يصبح غير قادر على القيام بوظيفته التمييزية بين المباح والممنوع في المواقف الاجتماعية الدقيقة.</w:t>
      </w:r>
    </w:p>
    <w:p w14:paraId="776EF2F6" w14:textId="77777777" w:rsidR="005A6F55" w:rsidRDefault="00000000" w:rsidP="007C3FB0">
      <w:pPr>
        <w:spacing w:after="160" w:line="300" w:lineRule="auto"/>
      </w:pPr>
      <w:r>
        <w:rPr>
          <w:color w:val="222222"/>
        </w:rPr>
        <w:t xml:space="preserve">ويلتقي هذا التوصيف مع ما فصّله </w:t>
      </w:r>
      <w:proofErr w:type="spellStart"/>
      <w:r>
        <w:rPr>
          <w:color w:val="222222"/>
        </w:rPr>
        <w:t>باركلي</w:t>
      </w:r>
      <w:proofErr w:type="spellEnd"/>
      <w:r>
        <w:rPr>
          <w:color w:val="222222"/>
        </w:rPr>
        <w:t xml:space="preserve"> (</w:t>
      </w:r>
      <w:proofErr w:type="spellStart"/>
      <w:r>
        <w:rPr>
          <w:color w:val="222222"/>
        </w:rPr>
        <w:t>Barkley</w:t>
      </w:r>
      <w:proofErr w:type="spellEnd"/>
      <w:r>
        <w:rPr>
          <w:color w:val="222222"/>
        </w:rPr>
        <w:t xml:space="preserve">, 2012) في نموذجه عن الوظائف التنفيذية، حيث يربط الكفّ </w:t>
      </w:r>
      <w:proofErr w:type="spellStart"/>
      <w:r>
        <w:rPr>
          <w:color w:val="222222"/>
        </w:rPr>
        <w:t>الاستجابي</w:t>
      </w:r>
      <w:proofErr w:type="spellEnd"/>
      <w:r>
        <w:rPr>
          <w:color w:val="222222"/>
        </w:rPr>
        <w:t xml:space="preserve"> وضبط الانفعال والتخطيط المستقبلي بمنظومة معرفية واحدة تتأثر تأثراً مباشراً بأي قصور نمائي أو عصبي. أما البيئة الأسرية البسيطة التي لم تضع حدوداً فعّالة، فهي في القراءة الاستخلافية بيئة تُعطِّل تفعيل الضلع الأول من الأضلاع الثمانية، أي الانتقال من الفطرة إلى النفس اللوّامة: فالفطرة التي كان ينبغي أن تُستحث بالتربية والقدوة والتوجيه المبكر، ظلّت في حالة كمون بسبب غياب الإشراف الأبوي الفاعل، وهو غياب توثّقه أيضاً أدبيات نظرية التعلق منذ أعمال </w:t>
      </w:r>
      <w:proofErr w:type="spellStart"/>
      <w:r>
        <w:rPr>
          <w:color w:val="222222"/>
        </w:rPr>
        <w:t>بولبي</w:t>
      </w:r>
      <w:proofErr w:type="spellEnd"/>
      <w:r>
        <w:rPr>
          <w:color w:val="222222"/>
        </w:rPr>
        <w:t xml:space="preserve"> </w:t>
      </w:r>
      <w:proofErr w:type="spellStart"/>
      <w:r>
        <w:rPr>
          <w:color w:val="222222"/>
        </w:rPr>
        <w:t>وأينسورث</w:t>
      </w:r>
      <w:proofErr w:type="spellEnd"/>
      <w:r>
        <w:rPr>
          <w:color w:val="222222"/>
        </w:rPr>
        <w:t xml:space="preserve"> حول أثر غياب قاعدة أمان أسرية مستقرة على تنظيم السلوك الاجتماعي في مراحل لاحقة من الحياة.</w:t>
      </w:r>
    </w:p>
    <w:p w14:paraId="766BCEE9" w14:textId="77777777" w:rsidR="005A6F55" w:rsidRDefault="00000000" w:rsidP="007C3FB0">
      <w:pPr>
        <w:pStyle w:val="2"/>
        <w:bidi/>
        <w:spacing w:before="300" w:after="160"/>
      </w:pPr>
      <w:r>
        <w:rPr>
          <w:b/>
          <w:bCs/>
          <w:color w:val="0F6674"/>
          <w:sz w:val="28"/>
          <w:szCs w:val="28"/>
        </w:rPr>
        <w:t>1.2 العوامل المطلقة: الفراغ الوجودي والوحدة واضطراب إيقاع العمل</w:t>
      </w:r>
    </w:p>
    <w:p w14:paraId="20EDB11D" w14:textId="77777777" w:rsidR="005A6F55" w:rsidRDefault="00000000" w:rsidP="007C3FB0">
      <w:pPr>
        <w:spacing w:after="160" w:line="300" w:lineRule="auto"/>
      </w:pPr>
      <w:r>
        <w:rPr>
          <w:color w:val="222222"/>
        </w:rPr>
        <w:t>يشير النص إلى الفراغ والوحدة والحاجة العاطفية أو الجنسية غير المُشبَعة واضطراب انتظام العمل بوصفها عوامل مُطلِقة أو مُفجِّرة للسلوك. في التحليل الاستخلافي، هذه العوامل تمثّل تفعيلاً مباشراً للضلع الثالث، أي انتقال النفس من حالة سكون نسبي إلى هيمنة النفس الأمّارة بالسوء: فالفراغ والوحدة يضخّمان الحاجة النفسية إلى الاعتراف والانتماء إلى الحد الذي يصبح فيه أي شكل من أشكال التفاعل، ولو كان مؤذياً للطرف الآخر، مصدراً للتنشيط الانفعالي الذي يفتقر إليه الفاعل في حياته اليومية.</w:t>
      </w:r>
    </w:p>
    <w:p w14:paraId="59B071BC" w14:textId="77777777" w:rsidR="005A6F55" w:rsidRDefault="00000000" w:rsidP="007C3FB0">
      <w:pPr>
        <w:spacing w:after="160" w:line="300" w:lineRule="auto"/>
      </w:pPr>
      <w:r>
        <w:rPr>
          <w:color w:val="222222"/>
        </w:rPr>
        <w:t xml:space="preserve">أما اضطراب إيقاع العمل، وما يرافقه من مغادرة مفاجئة وغير مفسَّرة، فيُقرأ في هذا الإطار بوصفه علامة على هشاشة البناء الوجودي للفرد؛ فحين يفتقر النشاط اليومي إلى معنى مستقر وهدف واضح، يضعف ما تسميه أدبيات علم النفس الوجودي، منذ </w:t>
      </w:r>
      <w:proofErr w:type="spellStart"/>
      <w:r>
        <w:rPr>
          <w:color w:val="222222"/>
        </w:rPr>
        <w:t>فرانكل</w:t>
      </w:r>
      <w:proofErr w:type="spellEnd"/>
      <w:r>
        <w:rPr>
          <w:color w:val="222222"/>
        </w:rPr>
        <w:t xml:space="preserve"> (</w:t>
      </w:r>
      <w:proofErr w:type="spellStart"/>
      <w:r>
        <w:rPr>
          <w:color w:val="222222"/>
        </w:rPr>
        <w:t>Frankl</w:t>
      </w:r>
      <w:proofErr w:type="spellEnd"/>
      <w:r>
        <w:rPr>
          <w:color w:val="222222"/>
        </w:rPr>
        <w:t>) في بحثه عن المعنى، القدرة على احتمال الفراغ الوجودي، فيصبح الفرد أكثر عرضة للاندفاع نحو سلوكيات تعويضية سريعة الإشباع، منخفضة الكلفة الظاهرة، مرتفعة الكلفة الفعلية على الآخرين.</w:t>
      </w:r>
    </w:p>
    <w:p w14:paraId="61082F15" w14:textId="77777777" w:rsidR="005A6F55" w:rsidRDefault="00000000" w:rsidP="007C3FB0">
      <w:pPr>
        <w:pStyle w:val="2"/>
        <w:bidi/>
        <w:spacing w:before="300" w:after="160"/>
      </w:pPr>
      <w:r>
        <w:rPr>
          <w:b/>
          <w:bCs/>
          <w:color w:val="0F6674"/>
          <w:sz w:val="28"/>
          <w:szCs w:val="28"/>
        </w:rPr>
        <w:t>1.3 العوامل المُستمِرّة: الاندفاعية وإخفاق التعلم من العقاب</w:t>
      </w:r>
    </w:p>
    <w:p w14:paraId="12032727" w14:textId="77777777" w:rsidR="005A6F55" w:rsidRDefault="00000000" w:rsidP="007C3FB0">
      <w:pPr>
        <w:spacing w:after="160" w:line="300" w:lineRule="auto"/>
      </w:pPr>
      <w:r>
        <w:rPr>
          <w:color w:val="222222"/>
        </w:rPr>
        <w:t xml:space="preserve">يتبع السلوك الموصوف نمطاً سلوكياً واضحاً يمكن تلخيصه في تسلسل: اقتراب، فرفض أو تهديد، فخضوع مؤقت، فتكرار. هذا النمط، في ضوء نظرية التعلم السلوكي، يشير إلى ثلاث آليات متداخلة: أولاها ضعف كفّ الاستجابة، وربما وجود سمات شبيهة باضطراب نقص الانتباه وفرط الحركة أو خلل أعم في التحكم بالاندفاعات؛ وثانيتها إخفاق التعلم الترابطي من العقاب، إذ لا يعمل التهديد رادعاً فعلياً، إما لضعف الربط الزمني بين السلوك وعاقبته أو لتأخر العاقبة عن السلوك بما يفقدها قوتها الرادعة؛ وثالثتها ما وصفه </w:t>
      </w:r>
      <w:proofErr w:type="spellStart"/>
      <w:r>
        <w:rPr>
          <w:color w:val="222222"/>
        </w:rPr>
        <w:t>سكينر</w:t>
      </w:r>
      <w:proofErr w:type="spellEnd"/>
      <w:r>
        <w:rPr>
          <w:color w:val="222222"/>
        </w:rPr>
        <w:t xml:space="preserve"> (</w:t>
      </w:r>
      <w:proofErr w:type="spellStart"/>
      <w:r>
        <w:rPr>
          <w:color w:val="222222"/>
        </w:rPr>
        <w:t>Skinner</w:t>
      </w:r>
      <w:proofErr w:type="spellEnd"/>
      <w:r>
        <w:rPr>
          <w:color w:val="222222"/>
        </w:rPr>
        <w:t xml:space="preserve">, 1953) بالتعزيز المتقطع </w:t>
      </w:r>
      <w:proofErr w:type="spellStart"/>
      <w:r>
        <w:rPr>
          <w:color w:val="222222"/>
        </w:rPr>
        <w:t>Intermittent</w:t>
      </w:r>
      <w:proofErr w:type="spellEnd"/>
      <w:r>
        <w:rPr>
          <w:color w:val="222222"/>
        </w:rPr>
        <w:t xml:space="preserve"> </w:t>
      </w:r>
      <w:proofErr w:type="spellStart"/>
      <w:r>
        <w:rPr>
          <w:color w:val="222222"/>
        </w:rPr>
        <w:t>Reinforcement</w:t>
      </w:r>
      <w:proofErr w:type="spellEnd"/>
      <w:r>
        <w:rPr>
          <w:color w:val="222222"/>
        </w:rPr>
        <w:t xml:space="preserve">، حيث إن حصول الفاعل أحياناً على أي شكل من الانتباه، ولو كان سلبياً كالغضب أو التوبيخ، يكفي لتثبيت السلوك واستمراره على نحو أشد مقاومة </w:t>
      </w:r>
      <w:proofErr w:type="spellStart"/>
      <w:r>
        <w:rPr>
          <w:color w:val="222222"/>
        </w:rPr>
        <w:t>للانطفاء</w:t>
      </w:r>
      <w:proofErr w:type="spellEnd"/>
      <w:r>
        <w:rPr>
          <w:color w:val="222222"/>
        </w:rPr>
        <w:t xml:space="preserve"> من التعزيز المستمر.</w:t>
      </w:r>
    </w:p>
    <w:p w14:paraId="1E01B393" w14:textId="77777777" w:rsidR="005A6F55" w:rsidRDefault="00000000" w:rsidP="007C3FB0">
      <w:pPr>
        <w:spacing w:after="160" w:line="300" w:lineRule="auto"/>
      </w:pPr>
      <w:r>
        <w:rPr>
          <w:color w:val="222222"/>
        </w:rPr>
        <w:t xml:space="preserve">في القراءة الاستخلافية، هذا المحور بأكمله يمثّل تثبيتاً للضلع السابع، أي هيمنة النفس الأمّارة على مستوى التنظيم السلوكي: فالشيطان، بوصفه استعارة تفسيرية للخوارزمية الداخلية للإغواء والتسويف كما </w:t>
      </w:r>
      <w:proofErr w:type="spellStart"/>
      <w:r>
        <w:rPr>
          <w:color w:val="222222"/>
        </w:rPr>
        <w:t>يصوغها</w:t>
      </w:r>
      <w:proofErr w:type="spellEnd"/>
      <w:r>
        <w:rPr>
          <w:color w:val="222222"/>
        </w:rPr>
        <w:t xml:space="preserve"> الزراع، يعمل على تضخيم الرغبة الفورية وإضعاف قدرة الفرد على الكفّ والتأجيل والتعلّم من الخبرة. كما أن إخفاق التعلم من العقاب، في هذا المنظور، ليس خللاً عصبياً محضاً، بل هو أيضاً عجز عن تفعيل الضلع الخامس، أي الانتقال من النفس الأمّارة إلى النفس اللوّامة: فاللوّامة التي كان ينبغي أن تنبّه وتُحدث تصحيحاً داخلياً ظلّت معطّلة، فلم تُنتج توبة حقيقية ولا إصلاحاً مستمراً، بل خنوعاً لحظياً سرعان ما يزول أثره.</w:t>
      </w:r>
    </w:p>
    <w:p w14:paraId="4252CEEA" w14:textId="77777777" w:rsidR="005A6F55" w:rsidRDefault="00000000" w:rsidP="007C3FB0">
      <w:pPr>
        <w:pStyle w:val="2"/>
        <w:bidi/>
        <w:spacing w:before="300" w:after="160"/>
      </w:pPr>
      <w:r>
        <w:rPr>
          <w:b/>
          <w:bCs/>
          <w:color w:val="0F6674"/>
          <w:sz w:val="28"/>
          <w:szCs w:val="28"/>
        </w:rPr>
        <w:t>1.4 العوامل الواقية: الأخ والرقابة المجتمعية</w:t>
      </w:r>
    </w:p>
    <w:p w14:paraId="7DD8CFE7" w14:textId="77777777" w:rsidR="005A6F55" w:rsidRDefault="00000000" w:rsidP="007C3FB0">
      <w:pPr>
        <w:spacing w:after="160" w:line="300" w:lineRule="auto"/>
      </w:pPr>
      <w:r>
        <w:rPr>
          <w:color w:val="222222"/>
        </w:rPr>
        <w:t xml:space="preserve">يشير النص إلى وجود الأخ ووجود رقابة مجتمعية محلية بوصفهما عاملين واقيين يحدّان من تصعيد السلوك. في التحليل الاستخلافي، هذان العاملان يمثّلان إمكانية تفعيل أضلاع الصعود في بنية النفس: فالأخ، بوصفه الرابطة الأسرية الأقرب، يمكن أن يشكّل ما يمكن تسميته بالمرآة الاجتماعية </w:t>
      </w:r>
      <w:proofErr w:type="spellStart"/>
      <w:r>
        <w:rPr>
          <w:color w:val="222222"/>
        </w:rPr>
        <w:t>Social</w:t>
      </w:r>
      <w:proofErr w:type="spellEnd"/>
      <w:r>
        <w:rPr>
          <w:color w:val="222222"/>
        </w:rPr>
        <w:t xml:space="preserve"> </w:t>
      </w:r>
      <w:proofErr w:type="spellStart"/>
      <w:r>
        <w:rPr>
          <w:color w:val="222222"/>
        </w:rPr>
        <w:t>Mirror</w:t>
      </w:r>
      <w:proofErr w:type="spellEnd"/>
      <w:r>
        <w:rPr>
          <w:color w:val="222222"/>
        </w:rPr>
        <w:t>، وهو مفهوم قريب مما تناولته أدبيات التنظيم الوجداني بين الأشقاء، إذ يسهم وجود شخص مقرَّب موثوق في تمكين الفرد من رؤية أثر سلوكه على الآخرين ومن ثمّ تصحيح مساره تدريجياً. أما الرقابة المجتمعية، على الرغم مما قد يصاحبها من آثار سلبية كالوصم الاجتماعي، فيمكن أن تعمل حاجزاً خارجياً مؤقتاً يسهم في كفّ الاندفاع حتى في غياب الكفّ الداخلي، وهو ما يماثل وظيفياً مفهوم الضبط الخارجي المؤقت الذي تناوله الأدب السلوكي في مرحلة ما قبل اكتساب التنظيم الذاتي.</w:t>
      </w:r>
    </w:p>
    <w:p w14:paraId="01ACDC83" w14:textId="77777777" w:rsidR="005A6F55" w:rsidRDefault="00000000" w:rsidP="007C3FB0">
      <w:pPr>
        <w:pStyle w:val="2"/>
        <w:bidi/>
        <w:spacing w:before="300" w:after="160"/>
      </w:pPr>
      <w:r>
        <w:rPr>
          <w:b/>
          <w:bCs/>
          <w:color w:val="0F6674"/>
          <w:sz w:val="28"/>
          <w:szCs w:val="28"/>
        </w:rPr>
        <w:t>1.5 عوامل الخطر: التصعيد والأذى النفسي وردود الفعل العنيفة</w:t>
      </w:r>
    </w:p>
    <w:p w14:paraId="5F945059" w14:textId="77777777" w:rsidR="005A6F55" w:rsidRDefault="00000000" w:rsidP="007C3FB0">
      <w:pPr>
        <w:spacing w:after="160" w:line="300" w:lineRule="auto"/>
      </w:pPr>
      <w:r>
        <w:rPr>
          <w:color w:val="222222"/>
        </w:rPr>
        <w:t>يشير النص إلى احتمال تصعيد التحرش، والأذى النفسي الفعلي الذي تتعرض له النساء المستهدفات، واحتمال ردود فعل عنيفة من أزواجهن، والتهميش الاجتماعي المتزايد للفاعل. في القراءة الاستخلافية، هذه المخاطر هي الثمار المباشرة لما يسميه الزراع الاستخلاف المشوَّه: فالإنسان الذي كان ينبغي أن يكون خليفة يُعمِّر ويُحسن، ينقلب فعلُه إلى تخريب وإيذاء فعليَّين، لا افتراضيَّين. والخطر الأكبر في هذا المنظور ليس الأذى اللحظي وحده، على جسامته، بل تحوّل السلوك المؤذي إلى عادة راسخة، وتآكل الحساسية الأخلاقية العامة في محيط الفاعل ومجتمعه إذا استمر التسامح غير المشروط مع سلوكه.</w:t>
      </w:r>
    </w:p>
    <w:tbl>
      <w:tblPr>
        <w:tblW w:w="5000" w:type="pct"/>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7023"/>
        <w:gridCol w:w="2039"/>
      </w:tblGrid>
      <w:tr w:rsidR="005A6F55" w14:paraId="182D2A99" w14:textId="77777777">
        <w:tblPrEx>
          <w:tblCellMar>
            <w:top w:w="0" w:type="dxa"/>
            <w:bottom w:w="0" w:type="dxa"/>
          </w:tblCellMar>
        </w:tblPrEx>
        <w:tc>
          <w:tcPr>
            <w:tcW w:w="0" w:type="auto"/>
            <w:shd w:val="clear" w:color="auto" w:fill="1B3A5C"/>
            <w:tcMar>
              <w:top w:w="120" w:type="dxa"/>
              <w:left w:w="120" w:type="dxa"/>
              <w:bottom w:w="120" w:type="dxa"/>
              <w:right w:w="120" w:type="dxa"/>
            </w:tcMar>
            <w:vAlign w:val="center"/>
          </w:tcPr>
          <w:p w14:paraId="57DB6077" w14:textId="77777777" w:rsidR="005A6F55" w:rsidRDefault="00000000" w:rsidP="007C3FB0">
            <w:r>
              <w:rPr>
                <w:b/>
                <w:bCs/>
                <w:color w:val="FFFFFF"/>
                <w:sz w:val="24"/>
                <w:szCs w:val="24"/>
              </w:rPr>
              <w:t>المضمون</w:t>
            </w:r>
          </w:p>
        </w:tc>
        <w:tc>
          <w:tcPr>
            <w:tcW w:w="0" w:type="auto"/>
            <w:shd w:val="clear" w:color="auto" w:fill="1B3A5C"/>
            <w:tcMar>
              <w:top w:w="120" w:type="dxa"/>
              <w:left w:w="120" w:type="dxa"/>
              <w:bottom w:w="120" w:type="dxa"/>
              <w:right w:w="120" w:type="dxa"/>
            </w:tcMar>
            <w:vAlign w:val="center"/>
          </w:tcPr>
          <w:p w14:paraId="1610A8EC" w14:textId="77777777" w:rsidR="005A6F55" w:rsidRDefault="00000000" w:rsidP="007C3FB0">
            <w:r>
              <w:rPr>
                <w:b/>
                <w:bCs/>
                <w:color w:val="FFFFFF"/>
                <w:sz w:val="24"/>
                <w:szCs w:val="24"/>
              </w:rPr>
              <w:t>المحور</w:t>
            </w:r>
          </w:p>
        </w:tc>
      </w:tr>
      <w:tr w:rsidR="005A6F55" w14:paraId="576B98B2" w14:textId="77777777">
        <w:tblPrEx>
          <w:tblCellMar>
            <w:top w:w="0" w:type="dxa"/>
            <w:bottom w:w="0" w:type="dxa"/>
          </w:tblCellMar>
        </w:tblPrEx>
        <w:tc>
          <w:tcPr>
            <w:tcW w:w="0" w:type="auto"/>
            <w:tcMar>
              <w:top w:w="120" w:type="dxa"/>
              <w:left w:w="120" w:type="dxa"/>
              <w:bottom w:w="120" w:type="dxa"/>
              <w:right w:w="120" w:type="dxa"/>
            </w:tcMar>
          </w:tcPr>
          <w:p w14:paraId="17C7E04A" w14:textId="77777777" w:rsidR="005A6F55" w:rsidRDefault="00000000" w:rsidP="007C3FB0">
            <w:r>
              <w:rPr>
                <w:color w:val="222222"/>
                <w:sz w:val="23"/>
                <w:szCs w:val="23"/>
              </w:rPr>
              <w:t>محدودية معرفية محتملة، بيئة أسرية بسيطة غير مُنظِّمة، ضعف مهارات القراءة الاجتماعية، عزلة مبكرة، غياب نموذج أبوي فاعل</w:t>
            </w:r>
          </w:p>
        </w:tc>
        <w:tc>
          <w:tcPr>
            <w:tcW w:w="0" w:type="auto"/>
            <w:tcMar>
              <w:top w:w="120" w:type="dxa"/>
              <w:left w:w="120" w:type="dxa"/>
              <w:bottom w:w="120" w:type="dxa"/>
              <w:right w:w="120" w:type="dxa"/>
            </w:tcMar>
          </w:tcPr>
          <w:p w14:paraId="69F42CE7" w14:textId="77777777" w:rsidR="005A6F55" w:rsidRDefault="00000000" w:rsidP="007C3FB0">
            <w:proofErr w:type="spellStart"/>
            <w:r>
              <w:rPr>
                <w:color w:val="222222"/>
                <w:sz w:val="23"/>
                <w:szCs w:val="23"/>
              </w:rPr>
              <w:t>مهيّئات</w:t>
            </w:r>
            <w:proofErr w:type="spellEnd"/>
            <w:r>
              <w:rPr>
                <w:color w:val="222222"/>
                <w:sz w:val="23"/>
                <w:szCs w:val="23"/>
              </w:rPr>
              <w:t xml:space="preserve"> (</w:t>
            </w:r>
            <w:proofErr w:type="spellStart"/>
            <w:r>
              <w:rPr>
                <w:color w:val="222222"/>
                <w:sz w:val="23"/>
                <w:szCs w:val="23"/>
              </w:rPr>
              <w:t>Predisposing</w:t>
            </w:r>
            <w:proofErr w:type="spellEnd"/>
            <w:r>
              <w:rPr>
                <w:color w:val="222222"/>
                <w:sz w:val="23"/>
                <w:szCs w:val="23"/>
              </w:rPr>
              <w:t>)</w:t>
            </w:r>
          </w:p>
        </w:tc>
      </w:tr>
      <w:tr w:rsidR="005A6F55" w14:paraId="5892825A" w14:textId="77777777">
        <w:tblPrEx>
          <w:tblCellMar>
            <w:top w:w="0" w:type="dxa"/>
            <w:bottom w:w="0" w:type="dxa"/>
          </w:tblCellMar>
        </w:tblPrEx>
        <w:tc>
          <w:tcPr>
            <w:tcW w:w="0" w:type="auto"/>
            <w:tcMar>
              <w:top w:w="120" w:type="dxa"/>
              <w:left w:w="120" w:type="dxa"/>
              <w:bottom w:w="120" w:type="dxa"/>
              <w:right w:w="120" w:type="dxa"/>
            </w:tcMar>
          </w:tcPr>
          <w:p w14:paraId="55CDCB64" w14:textId="77777777" w:rsidR="005A6F55" w:rsidRDefault="00000000" w:rsidP="007C3FB0">
            <w:r>
              <w:rPr>
                <w:color w:val="222222"/>
                <w:sz w:val="23"/>
                <w:szCs w:val="23"/>
              </w:rPr>
              <w:t>فراغ وجودي ووحدة مزمنة، حاجة عاطفية وجنسية غير مُشبعة، اضطراب في إيقاع العمل والحياة اليومية</w:t>
            </w:r>
          </w:p>
        </w:tc>
        <w:tc>
          <w:tcPr>
            <w:tcW w:w="0" w:type="auto"/>
            <w:tcMar>
              <w:top w:w="120" w:type="dxa"/>
              <w:left w:w="120" w:type="dxa"/>
              <w:bottom w:w="120" w:type="dxa"/>
              <w:right w:w="120" w:type="dxa"/>
            </w:tcMar>
          </w:tcPr>
          <w:p w14:paraId="5300964A" w14:textId="77777777" w:rsidR="005A6F55" w:rsidRDefault="00000000" w:rsidP="007C3FB0">
            <w:r>
              <w:rPr>
                <w:color w:val="222222"/>
                <w:sz w:val="23"/>
                <w:szCs w:val="23"/>
              </w:rPr>
              <w:t>مُطلِقات (</w:t>
            </w:r>
            <w:proofErr w:type="spellStart"/>
            <w:r>
              <w:rPr>
                <w:color w:val="222222"/>
                <w:sz w:val="23"/>
                <w:szCs w:val="23"/>
              </w:rPr>
              <w:t>Precipitating</w:t>
            </w:r>
            <w:proofErr w:type="spellEnd"/>
            <w:r>
              <w:rPr>
                <w:color w:val="222222"/>
                <w:sz w:val="23"/>
                <w:szCs w:val="23"/>
              </w:rPr>
              <w:t>)</w:t>
            </w:r>
          </w:p>
        </w:tc>
      </w:tr>
      <w:tr w:rsidR="005A6F55" w14:paraId="461F0257" w14:textId="77777777">
        <w:tblPrEx>
          <w:tblCellMar>
            <w:top w:w="0" w:type="dxa"/>
            <w:bottom w:w="0" w:type="dxa"/>
          </w:tblCellMar>
        </w:tblPrEx>
        <w:tc>
          <w:tcPr>
            <w:tcW w:w="0" w:type="auto"/>
            <w:tcMar>
              <w:top w:w="120" w:type="dxa"/>
              <w:left w:w="120" w:type="dxa"/>
              <w:bottom w:w="120" w:type="dxa"/>
              <w:right w:w="120" w:type="dxa"/>
            </w:tcMar>
          </w:tcPr>
          <w:p w14:paraId="079F9F00" w14:textId="77777777" w:rsidR="005A6F55" w:rsidRDefault="00000000" w:rsidP="007C3FB0">
            <w:r>
              <w:rPr>
                <w:color w:val="222222"/>
                <w:sz w:val="23"/>
                <w:szCs w:val="23"/>
              </w:rPr>
              <w:t>اندفاعية وضعف كفّ الاستجابة، إخفاق التعلم من العقاب، تعزيز متقطع، غياب حدود أسرية ومجتمعية فعّالة، تكرار قهري شبه طقوسي</w:t>
            </w:r>
          </w:p>
        </w:tc>
        <w:tc>
          <w:tcPr>
            <w:tcW w:w="0" w:type="auto"/>
            <w:tcMar>
              <w:top w:w="120" w:type="dxa"/>
              <w:left w:w="120" w:type="dxa"/>
              <w:bottom w:w="120" w:type="dxa"/>
              <w:right w:w="120" w:type="dxa"/>
            </w:tcMar>
          </w:tcPr>
          <w:p w14:paraId="11A3707C" w14:textId="77777777" w:rsidR="005A6F55" w:rsidRDefault="00000000" w:rsidP="007C3FB0">
            <w:r>
              <w:rPr>
                <w:color w:val="222222"/>
                <w:sz w:val="23"/>
                <w:szCs w:val="23"/>
              </w:rPr>
              <w:t>مُستمِرّات (</w:t>
            </w:r>
            <w:proofErr w:type="spellStart"/>
            <w:r>
              <w:rPr>
                <w:color w:val="222222"/>
                <w:sz w:val="23"/>
                <w:szCs w:val="23"/>
              </w:rPr>
              <w:t>Perpetuating</w:t>
            </w:r>
            <w:proofErr w:type="spellEnd"/>
            <w:r>
              <w:rPr>
                <w:color w:val="222222"/>
                <w:sz w:val="23"/>
                <w:szCs w:val="23"/>
              </w:rPr>
              <w:t>)</w:t>
            </w:r>
          </w:p>
        </w:tc>
      </w:tr>
      <w:tr w:rsidR="005A6F55" w14:paraId="356FD0C8" w14:textId="77777777">
        <w:tblPrEx>
          <w:tblCellMar>
            <w:top w:w="0" w:type="dxa"/>
            <w:bottom w:w="0" w:type="dxa"/>
          </w:tblCellMar>
        </w:tblPrEx>
        <w:tc>
          <w:tcPr>
            <w:tcW w:w="0" w:type="auto"/>
            <w:tcMar>
              <w:top w:w="120" w:type="dxa"/>
              <w:left w:w="120" w:type="dxa"/>
              <w:bottom w:w="120" w:type="dxa"/>
              <w:right w:w="120" w:type="dxa"/>
            </w:tcMar>
          </w:tcPr>
          <w:p w14:paraId="2EA98D69" w14:textId="77777777" w:rsidR="005A6F55" w:rsidRDefault="00000000" w:rsidP="007C3FB0">
            <w:r>
              <w:rPr>
                <w:color w:val="222222"/>
                <w:sz w:val="23"/>
                <w:szCs w:val="23"/>
              </w:rPr>
              <w:t>وجود الأخ كرابطة أسرية، رقابة مجتمعية محلية، إمكان تدخل سلوكي وتأهيلي مبكر</w:t>
            </w:r>
          </w:p>
        </w:tc>
        <w:tc>
          <w:tcPr>
            <w:tcW w:w="0" w:type="auto"/>
            <w:tcMar>
              <w:top w:w="120" w:type="dxa"/>
              <w:left w:w="120" w:type="dxa"/>
              <w:bottom w:w="120" w:type="dxa"/>
              <w:right w:w="120" w:type="dxa"/>
            </w:tcMar>
          </w:tcPr>
          <w:p w14:paraId="39A2CBC3" w14:textId="77777777" w:rsidR="005A6F55" w:rsidRDefault="00000000" w:rsidP="007C3FB0">
            <w:r>
              <w:rPr>
                <w:color w:val="222222"/>
                <w:sz w:val="23"/>
                <w:szCs w:val="23"/>
              </w:rPr>
              <w:t>واقيات (</w:t>
            </w:r>
            <w:proofErr w:type="spellStart"/>
            <w:r>
              <w:rPr>
                <w:color w:val="222222"/>
                <w:sz w:val="23"/>
                <w:szCs w:val="23"/>
              </w:rPr>
              <w:t>Protective</w:t>
            </w:r>
            <w:proofErr w:type="spellEnd"/>
            <w:r>
              <w:rPr>
                <w:color w:val="222222"/>
                <w:sz w:val="23"/>
                <w:szCs w:val="23"/>
              </w:rPr>
              <w:t>)</w:t>
            </w:r>
          </w:p>
        </w:tc>
      </w:tr>
      <w:tr w:rsidR="005A6F55" w14:paraId="10028192" w14:textId="77777777">
        <w:tblPrEx>
          <w:tblCellMar>
            <w:top w:w="0" w:type="dxa"/>
            <w:bottom w:w="0" w:type="dxa"/>
          </w:tblCellMar>
        </w:tblPrEx>
        <w:tc>
          <w:tcPr>
            <w:tcW w:w="0" w:type="auto"/>
            <w:tcMar>
              <w:top w:w="120" w:type="dxa"/>
              <w:left w:w="120" w:type="dxa"/>
              <w:bottom w:w="120" w:type="dxa"/>
              <w:right w:w="120" w:type="dxa"/>
            </w:tcMar>
          </w:tcPr>
          <w:p w14:paraId="1DA95370" w14:textId="77777777" w:rsidR="005A6F55" w:rsidRDefault="00000000" w:rsidP="007C3FB0">
            <w:r>
              <w:rPr>
                <w:color w:val="222222"/>
                <w:sz w:val="23"/>
                <w:szCs w:val="23"/>
              </w:rPr>
              <w:t>تصعيد السلوك، أذى نفسي فعلي بالنساء المستهدفات، احتمال ردود فعل عنيفة من الأزواج، تهميش اجتماعي متزايد للفاعل</w:t>
            </w:r>
          </w:p>
        </w:tc>
        <w:tc>
          <w:tcPr>
            <w:tcW w:w="0" w:type="auto"/>
            <w:tcMar>
              <w:top w:w="120" w:type="dxa"/>
              <w:left w:w="120" w:type="dxa"/>
              <w:bottom w:w="120" w:type="dxa"/>
              <w:right w:w="120" w:type="dxa"/>
            </w:tcMar>
          </w:tcPr>
          <w:p w14:paraId="03F2ADCF" w14:textId="77777777" w:rsidR="005A6F55" w:rsidRDefault="00000000" w:rsidP="007C3FB0">
            <w:r>
              <w:rPr>
                <w:color w:val="222222"/>
                <w:sz w:val="23"/>
                <w:szCs w:val="23"/>
              </w:rPr>
              <w:t>مخاطر (</w:t>
            </w:r>
            <w:proofErr w:type="spellStart"/>
            <w:r>
              <w:rPr>
                <w:color w:val="222222"/>
                <w:sz w:val="23"/>
                <w:szCs w:val="23"/>
              </w:rPr>
              <w:t>Risk</w:t>
            </w:r>
            <w:proofErr w:type="spellEnd"/>
            <w:r>
              <w:rPr>
                <w:color w:val="222222"/>
                <w:sz w:val="23"/>
                <w:szCs w:val="23"/>
              </w:rPr>
              <w:t>)</w:t>
            </w:r>
          </w:p>
        </w:tc>
      </w:tr>
    </w:tbl>
    <w:p w14:paraId="4B316753" w14:textId="77777777" w:rsidR="005A6F55" w:rsidRDefault="00000000" w:rsidP="007C3FB0">
      <w:pPr>
        <w:pStyle w:val="1"/>
        <w:pBdr>
          <w:bottom w:val="single" w:sz="8" w:space="6" w:color="B8860B"/>
        </w:pBdr>
        <w:bidi/>
        <w:spacing w:before="420" w:after="220"/>
      </w:pPr>
      <w:r>
        <w:rPr>
          <w:b/>
          <w:bCs/>
          <w:color w:val="1B3A5C"/>
          <w:sz w:val="34"/>
          <w:szCs w:val="34"/>
        </w:rPr>
        <w:t>الفصل الثاني: الأعراض في ضوء الضلع السابع (من الشيطان إلى الأمّارة)</w:t>
      </w:r>
    </w:p>
    <w:p w14:paraId="4155B837" w14:textId="77777777" w:rsidR="005A6F55" w:rsidRDefault="00000000" w:rsidP="007C3FB0">
      <w:pPr>
        <w:pStyle w:val="2"/>
        <w:bidi/>
        <w:spacing w:before="300" w:after="160"/>
      </w:pPr>
      <w:r>
        <w:rPr>
          <w:b/>
          <w:bCs/>
          <w:color w:val="0F6674"/>
          <w:sz w:val="28"/>
          <w:szCs w:val="28"/>
        </w:rPr>
        <w:t>2.1 التحرش اللفظي بوصفه تفعيلاً مشوَّهاً لحاجة الاعتراف</w:t>
      </w:r>
    </w:p>
    <w:p w14:paraId="1088E063" w14:textId="77777777" w:rsidR="005A6F55" w:rsidRDefault="00000000" w:rsidP="007C3FB0">
      <w:pPr>
        <w:spacing w:after="160" w:line="300" w:lineRule="auto"/>
      </w:pPr>
      <w:r>
        <w:rPr>
          <w:color w:val="222222"/>
        </w:rPr>
        <w:t xml:space="preserve">يوصف التحرش في النص الأصلي بأنه لفظي وسطحي، يعتمد عبارات افتتاحية بسيطة، ويستهدف غالباً نساءً متزوجات. هذا السلوك، رغم قبحه ورفضه القاطع أخلاقياً وقانونياً، لا يُختزل في القراءة الاستخلافية إلى دافع جنسي محض، بل يُقرأ أيضاً بوصفه تعبيراً مشوَّهاً عن حاجة نفسية أعمق هي حاجة الاعتراف بالوجود، وهي حاجة تناولتها أدبيات علم النفس الاجتماعي منذ مفهوم التقدير الاجتماعي في هرم </w:t>
      </w:r>
      <w:proofErr w:type="spellStart"/>
      <w:r>
        <w:rPr>
          <w:color w:val="222222"/>
        </w:rPr>
        <w:t>ماسلو</w:t>
      </w:r>
      <w:proofErr w:type="spellEnd"/>
      <w:r>
        <w:rPr>
          <w:color w:val="222222"/>
        </w:rPr>
        <w:t>، وإن كان إشباعها هنا يسلك مساراً منحرفاً ومؤذياً تماماً. واستهداف النساء المتزوجات تحديداً قد يمثّل، في هذا التأويل، محاولة غير واعية لجذب انتباه الطرف الأقوى في المعادلة الاجتماعية المتخيَّلة، أو إعادة تمثيل لعلاقة خضوع مبكرة مع سلطة أبوية، دون أن يعني ذلك تفسيراً حتمياً وحيداً لكل حالة مماثلة.</w:t>
      </w:r>
    </w:p>
    <w:p w14:paraId="6E14F799" w14:textId="77777777" w:rsidR="005A6F55" w:rsidRDefault="00000000" w:rsidP="007C3FB0">
      <w:pPr>
        <w:pStyle w:val="2"/>
        <w:bidi/>
        <w:spacing w:before="300" w:after="160"/>
      </w:pPr>
      <w:r>
        <w:rPr>
          <w:b/>
          <w:bCs/>
          <w:color w:val="0F6674"/>
          <w:sz w:val="28"/>
          <w:szCs w:val="28"/>
        </w:rPr>
        <w:t>2.2 التذلل والخنوع: تفعيل مُعطَّل للضلع السادس</w:t>
      </w:r>
    </w:p>
    <w:p w14:paraId="356BAD48" w14:textId="77777777" w:rsidR="005A6F55" w:rsidRDefault="00000000" w:rsidP="007C3FB0">
      <w:pPr>
        <w:spacing w:after="160" w:line="300" w:lineRule="auto"/>
      </w:pPr>
      <w:r>
        <w:rPr>
          <w:color w:val="222222"/>
        </w:rPr>
        <w:t>يصف النص أسلوباً خانعاً ومتذللاً عند المواجهة المباشرة، يعقبه سريعاً عودة إلى السلوك ذاته. في القراءة الاستخلافية، هذا النمط يمثّل تفعيلاً مُعطَّلاً للانتقال من النفس الأمّارة إلى النفس اللوّامة: فالخوف اللحظي من العقاب ينتج خنوعاً سطحياً سرعان ما يُسكِت اللوّامة دون أن يُحدث توبة صادقة تعيد بناء السلوك من جذوره. ويميّز الزراع في هذا السياق بين الخنوع المشوَّه، الذي وظيفته الوحيدة تجنّب العقاب الفوري، والتوبة الحقيقية التي تُفعِّل اللوّامة فعلاً وتُحدث تحوّلاً سلوكياً مستداماً وليس مجرد هدنة مؤقتة.</w:t>
      </w:r>
    </w:p>
    <w:p w14:paraId="7EE37101" w14:textId="77777777" w:rsidR="005A6F55" w:rsidRDefault="00000000" w:rsidP="007C3FB0">
      <w:pPr>
        <w:pStyle w:val="2"/>
        <w:bidi/>
        <w:spacing w:before="300" w:after="160"/>
      </w:pPr>
      <w:r>
        <w:rPr>
          <w:b/>
          <w:bCs/>
          <w:color w:val="0F6674"/>
          <w:sz w:val="28"/>
          <w:szCs w:val="28"/>
        </w:rPr>
        <w:t>2.3 البرود العاطفي: تثبيط للانتقال من اللوّامة إلى المطمئنة</w:t>
      </w:r>
    </w:p>
    <w:p w14:paraId="767328FF" w14:textId="77777777" w:rsidR="005A6F55" w:rsidRDefault="00000000" w:rsidP="007C3FB0">
      <w:pPr>
        <w:spacing w:after="160" w:line="300" w:lineRule="auto"/>
      </w:pPr>
      <w:r>
        <w:rPr>
          <w:color w:val="222222"/>
        </w:rPr>
        <w:t xml:space="preserve">يشير النص إلى غياب أي مظهر واضح للخوف أو الذنب أمام التهديد المباشر. هذا البرود قد يعكس، من زاوية سريرية، تبلّداً وجدانياً </w:t>
      </w:r>
      <w:proofErr w:type="spellStart"/>
      <w:r>
        <w:rPr>
          <w:color w:val="222222"/>
        </w:rPr>
        <w:t>Blunted</w:t>
      </w:r>
      <w:proofErr w:type="spellEnd"/>
      <w:r>
        <w:rPr>
          <w:color w:val="222222"/>
        </w:rPr>
        <w:t xml:space="preserve"> </w:t>
      </w:r>
      <w:proofErr w:type="spellStart"/>
      <w:r>
        <w:rPr>
          <w:color w:val="222222"/>
        </w:rPr>
        <w:t>Affect</w:t>
      </w:r>
      <w:proofErr w:type="spellEnd"/>
      <w:r>
        <w:rPr>
          <w:color w:val="222222"/>
        </w:rPr>
        <w:t xml:space="preserve"> أو صعوبة في التعرف على الانفعالات وتسميتها، وهي الحالة التي تصفها الأدبيات النفسية بمصطلح </w:t>
      </w:r>
      <w:proofErr w:type="spellStart"/>
      <w:r>
        <w:rPr>
          <w:color w:val="222222"/>
        </w:rPr>
        <w:t>الألكسيثيميا</w:t>
      </w:r>
      <w:proofErr w:type="spellEnd"/>
      <w:r>
        <w:rPr>
          <w:color w:val="222222"/>
        </w:rPr>
        <w:t xml:space="preserve"> </w:t>
      </w:r>
      <w:proofErr w:type="spellStart"/>
      <w:r>
        <w:rPr>
          <w:color w:val="222222"/>
        </w:rPr>
        <w:t>Alexithymia</w:t>
      </w:r>
      <w:proofErr w:type="spellEnd"/>
      <w:r>
        <w:rPr>
          <w:color w:val="222222"/>
        </w:rPr>
        <w:t>. وفي القراءة الاستخلافية، هذا البرود لا يُقرأ بالضرورة بوصفه شراً محسوباً بارداً على طريقة السمات المضادة للمجتمع، بل يُقرأ غالباً بوصفه تثبيطاً وجودياً للانتقال من النفس اللوّامة إلى النفس المطمئنة: فالنفس، بدلاً من أن تنتقل من طور المحاسبة الداخلية إلى طور السكينة الحقيقية، تجمّدت في منتصف الطريق، فلا هي تحاسب فعلاً ولا هي تطمئن فعلاً، وهو جمود يصفه الزراع بأنه أرضية خصبة لتراكم الاضطراب النفسي والسلوكي على المدى الطويل.</w:t>
      </w:r>
    </w:p>
    <w:p w14:paraId="3AF8C595" w14:textId="77777777" w:rsidR="005A6F55" w:rsidRDefault="00000000" w:rsidP="007C3FB0">
      <w:pPr>
        <w:pStyle w:val="1"/>
        <w:pBdr>
          <w:bottom w:val="single" w:sz="8" w:space="6" w:color="B8860B"/>
        </w:pBdr>
        <w:bidi/>
        <w:spacing w:before="420" w:after="220"/>
      </w:pPr>
      <w:r>
        <w:rPr>
          <w:b/>
          <w:bCs/>
          <w:color w:val="1B3A5C"/>
          <w:sz w:val="34"/>
          <w:szCs w:val="34"/>
        </w:rPr>
        <w:t xml:space="preserve">الفصل الثالث: </w:t>
      </w:r>
      <w:proofErr w:type="spellStart"/>
      <w:r>
        <w:rPr>
          <w:b/>
          <w:bCs/>
          <w:color w:val="1B3A5C"/>
          <w:sz w:val="34"/>
          <w:szCs w:val="34"/>
        </w:rPr>
        <w:t>الديناميات</w:t>
      </w:r>
      <w:proofErr w:type="spellEnd"/>
      <w:r>
        <w:rPr>
          <w:b/>
          <w:bCs/>
          <w:color w:val="1B3A5C"/>
          <w:sz w:val="34"/>
          <w:szCs w:val="34"/>
        </w:rPr>
        <w:t xml:space="preserve"> — الاستخلاف المشوَّه وخريطة الدين النفسي</w:t>
      </w:r>
    </w:p>
    <w:p w14:paraId="74C0C436" w14:textId="77777777" w:rsidR="005A6F55" w:rsidRDefault="00000000" w:rsidP="007C3FB0">
      <w:pPr>
        <w:pStyle w:val="2"/>
        <w:bidi/>
        <w:spacing w:before="300" w:after="160"/>
      </w:pPr>
      <w:r>
        <w:rPr>
          <w:b/>
          <w:bCs/>
          <w:color w:val="0F6674"/>
          <w:sz w:val="28"/>
          <w:szCs w:val="28"/>
        </w:rPr>
        <w:t>3.1 خريطة الدين النفسي للفاعل</w:t>
      </w:r>
    </w:p>
    <w:p w14:paraId="223438B7" w14:textId="77777777" w:rsidR="005A6F55" w:rsidRDefault="00000000" w:rsidP="007C3FB0">
      <w:pPr>
        <w:spacing w:after="160" w:line="300" w:lineRule="auto"/>
      </w:pPr>
      <w:r>
        <w:rPr>
          <w:color w:val="222222"/>
        </w:rPr>
        <w:t xml:space="preserve">في بروتوكول العلاج بحرث المصالحة التحويلية TLRT، تُستخدم أداة خريطة الدين النفسي للتمييز بين الديون الحقيقية، أي ما يقع على الفرد فعله تجاه نفسه والآخرين، والديون الوهمية، أي المطالب التي تفرضها الأوهام النفسية والأعراف المشوَّهة. وفي حالة هذا الرجل، يمكن تحديد الدين الحقيقي في حقه في حياة كريمة قوامها الانتماء والزواج المشروع وتطوير مهارات اجتماعية سليمة، وفي حق المجتمع المقابل عليه في الأمان من أذاه. أما الدين الوهمي فيتمثل في القناعة الباطنة، غير الواعية غالباً، بأن التحرش يحقق له اعترافاً أو انتماءً مؤقتاً، وبأن كون المرأة ممنوعة يجعل اختراق حدودها فعلاً ذا قيمة رمزية. هذه الديون الوهمية، كما </w:t>
      </w:r>
      <w:proofErr w:type="spellStart"/>
      <w:r>
        <w:rPr>
          <w:color w:val="222222"/>
        </w:rPr>
        <w:t>يصوغها</w:t>
      </w:r>
      <w:proofErr w:type="spellEnd"/>
      <w:r>
        <w:rPr>
          <w:color w:val="222222"/>
        </w:rPr>
        <w:t xml:space="preserve"> الزراع، هي الوقود الذي يغذي استمرار السلوك ويعمّق في الوقت نفسه عزلة الفاعل عن محيطه.</w:t>
      </w:r>
    </w:p>
    <w:p w14:paraId="487089F0" w14:textId="77777777" w:rsidR="005A6F55" w:rsidRDefault="00000000" w:rsidP="007C3FB0">
      <w:pPr>
        <w:pStyle w:val="2"/>
        <w:bidi/>
        <w:spacing w:before="300" w:after="160"/>
      </w:pPr>
      <w:r>
        <w:rPr>
          <w:b/>
          <w:bCs/>
          <w:color w:val="0F6674"/>
          <w:sz w:val="28"/>
          <w:szCs w:val="28"/>
        </w:rPr>
        <w:t>3.2 الديون النفسية المحتجزة في الجسد</w:t>
      </w:r>
    </w:p>
    <w:p w14:paraId="2068A4A4" w14:textId="77777777" w:rsidR="005A6F55" w:rsidRDefault="00000000" w:rsidP="007C3FB0">
      <w:pPr>
        <w:spacing w:after="160" w:line="300" w:lineRule="auto"/>
      </w:pPr>
      <w:r>
        <w:rPr>
          <w:color w:val="222222"/>
        </w:rPr>
        <w:t>التوتر والقلق والاندفاع التي قد ترافق هذه الحالة تُقرأ في التحليل الاستخلافي بوصفها ديوناً نفسية محتجزة في الأنسجة، إذ إن الطاقة النفسية التي كان ينبغي أن تتدفق نحو الإحسان والعمارة تُحتجز داخل الجسد وتتحول إلى توتر مزمن وأعراض نفس-جسدية. ويلتقي هذا التصور جزئياً مع ما تناولته أدبيات الإجهاد المزمن منذ نموذج سيلي (</w:t>
      </w:r>
      <w:proofErr w:type="spellStart"/>
      <w:r>
        <w:rPr>
          <w:color w:val="222222"/>
        </w:rPr>
        <w:t>Selye</w:t>
      </w:r>
      <w:proofErr w:type="spellEnd"/>
      <w:r>
        <w:rPr>
          <w:color w:val="222222"/>
        </w:rPr>
        <w:t>, 1956) لمتلازمة التكيف العام، حيث يؤدي استمرار حالة التأهب النفسي دون تفريغ سليم إلى استنزاف فيزيولوجي تراكمي. ويهدف العلاج، في بروتوكول TLRT، إلى تحرير هذه الطاقة المحتجزة وإعادة توجيهها نحو أفعال بنّاءة، لا إلى كبتها أو إنكارها فحسب.</w:t>
      </w:r>
    </w:p>
    <w:p w14:paraId="6980E2FE" w14:textId="77777777" w:rsidR="005A6F55" w:rsidRDefault="00000000" w:rsidP="007C3FB0">
      <w:pPr>
        <w:pStyle w:val="1"/>
        <w:pBdr>
          <w:bottom w:val="single" w:sz="8" w:space="6" w:color="B8860B"/>
        </w:pBdr>
        <w:bidi/>
        <w:spacing w:before="420" w:after="220"/>
      </w:pPr>
      <w:r>
        <w:rPr>
          <w:b/>
          <w:bCs/>
          <w:color w:val="1B3A5C"/>
          <w:sz w:val="34"/>
          <w:szCs w:val="34"/>
        </w:rPr>
        <w:t>الفصل الرابع: نحو علاج استخلافي — الكينتسوغي والجسر السلوكي</w:t>
      </w:r>
    </w:p>
    <w:p w14:paraId="10912C0D" w14:textId="77777777" w:rsidR="005A6F55" w:rsidRDefault="00000000" w:rsidP="007C3FB0">
      <w:pPr>
        <w:pStyle w:val="2"/>
        <w:bidi/>
        <w:spacing w:before="300" w:after="160"/>
      </w:pPr>
      <w:r>
        <w:rPr>
          <w:b/>
          <w:bCs/>
          <w:color w:val="0F6674"/>
          <w:sz w:val="28"/>
          <w:szCs w:val="28"/>
        </w:rPr>
        <w:t>4.1 التشخيص الوجودي: كشف الطاقة المحتجزة</w:t>
      </w:r>
    </w:p>
    <w:p w14:paraId="2C53B947" w14:textId="77777777" w:rsidR="005A6F55" w:rsidRDefault="00000000" w:rsidP="007C3FB0">
      <w:pPr>
        <w:spacing w:after="160" w:line="300" w:lineRule="auto"/>
      </w:pPr>
      <w:r>
        <w:rPr>
          <w:color w:val="222222"/>
        </w:rPr>
        <w:t>الخطوة الأولى في المسار العلاجي المقترح هي مساعدة الفاعل، بلطف ودون اتهام مباشر يُغلق باب التواصل، على إدراك أن سلوكه ليس مجرد شهوة أو اندفاع عابر، بل تعبير عميق عن فراغ وجودي وطاقة نفسية محتجزة تبحث عن منفذ. ويتم ذلك عبر حوار موجَّه وتأمل مصحوب برسم خريطة الدين النفسي الخاصة به، وتمييز الديون الحقيقية، وهي حقه في حياة كريمة وحق المجتمع في الأمان، عن الديون الوهمية التي زرعها الفراغ والوحدة وغياب الحدود الأسرية المبكرة.</w:t>
      </w:r>
    </w:p>
    <w:p w14:paraId="22F7A85E" w14:textId="77777777" w:rsidR="005A6F55" w:rsidRDefault="00000000" w:rsidP="007C3FB0">
      <w:pPr>
        <w:pStyle w:val="2"/>
        <w:bidi/>
        <w:spacing w:before="300" w:after="160"/>
      </w:pPr>
      <w:r>
        <w:rPr>
          <w:b/>
          <w:bCs/>
          <w:color w:val="0F6674"/>
          <w:sz w:val="28"/>
          <w:szCs w:val="28"/>
        </w:rPr>
        <w:t>4.2 إعادة بناء صورة الله: من الإله الغائب إلى الرب الرحيم</w:t>
      </w:r>
    </w:p>
    <w:p w14:paraId="1202F43F" w14:textId="77777777" w:rsidR="005A6F55" w:rsidRDefault="00000000" w:rsidP="007C3FB0">
      <w:pPr>
        <w:spacing w:after="160" w:line="300" w:lineRule="auto"/>
      </w:pPr>
      <w:r>
        <w:rPr>
          <w:color w:val="222222"/>
        </w:rPr>
        <w:t xml:space="preserve">في حالات العزلة والفراغ الممتدة، قد تكون صورة الله في اللاوعي مشوَّهة أو غائبة: إله بعيد لا يرى ولا يسمع ولا يبالي، وهو ما تناولته </w:t>
      </w:r>
      <w:proofErr w:type="spellStart"/>
      <w:r>
        <w:rPr>
          <w:color w:val="222222"/>
        </w:rPr>
        <w:t>ريزوتو</w:t>
      </w:r>
      <w:proofErr w:type="spellEnd"/>
      <w:r>
        <w:rPr>
          <w:color w:val="222222"/>
        </w:rPr>
        <w:t xml:space="preserve"> (</w:t>
      </w:r>
      <w:proofErr w:type="spellStart"/>
      <w:r>
        <w:rPr>
          <w:color w:val="222222"/>
        </w:rPr>
        <w:t>Rizzuto</w:t>
      </w:r>
      <w:proofErr w:type="spellEnd"/>
      <w:r>
        <w:rPr>
          <w:color w:val="222222"/>
        </w:rPr>
        <w:t xml:space="preserve">) في دراستها الكلاسيكية عن </w:t>
      </w:r>
      <w:proofErr w:type="spellStart"/>
      <w:r>
        <w:rPr>
          <w:color w:val="222222"/>
        </w:rPr>
        <w:t>التمثلات</w:t>
      </w:r>
      <w:proofErr w:type="spellEnd"/>
      <w:r>
        <w:rPr>
          <w:color w:val="222222"/>
        </w:rPr>
        <w:t xml:space="preserve"> النفسية لصورة الله وعلاقتها بمسار النمو الانفعالي المبكر. ويهدف العلاج الاستخلافي، كما في بروتوكول TLRT، إلى مرافقة الفرد في الانتقال من صورة الإله الغائب إلى صورة الشاهد الرحيم: ربّ قريب يستجيب الدعاء، ويرحم الضعف، ويفتح باب الأمل أمام من أراد إصلاح مساره فعلاً لا قولاً.</w:t>
      </w:r>
    </w:p>
    <w:p w14:paraId="1660BD0D" w14:textId="77777777" w:rsidR="005A6F55" w:rsidRDefault="00000000" w:rsidP="007C3FB0">
      <w:pPr>
        <w:pStyle w:val="2"/>
        <w:bidi/>
        <w:spacing w:before="300" w:after="160"/>
      </w:pPr>
      <w:r>
        <w:rPr>
          <w:b/>
          <w:bCs/>
          <w:color w:val="0F6674"/>
          <w:sz w:val="28"/>
          <w:szCs w:val="28"/>
        </w:rPr>
        <w:t>4.3 الجسر السلوكي: تحويل الطاقة المحتجزة إلى إحسان</w:t>
      </w:r>
    </w:p>
    <w:p w14:paraId="18415CFD" w14:textId="77777777" w:rsidR="005A6F55" w:rsidRDefault="00000000" w:rsidP="007C3FB0">
      <w:pPr>
        <w:spacing w:after="160" w:line="300" w:lineRule="auto"/>
      </w:pPr>
      <w:r>
        <w:rPr>
          <w:color w:val="222222"/>
        </w:rPr>
        <w:t xml:space="preserve">الخطوة الثالثة، والأكثر أهمية عملياً، هي بناء جسر سلوكي: فعل إحساني محدد يرتبط رمزياً بالحالة السابقة دون أن يكون بديلاً عنها أو تبريراً لها. يمكن للفاعل، مثلاً، أن يشارك في مشروع توعوي بمخاطر التحرش وأثره على الضحايا، أو أن يتطوع في خدمة كبار السن، أو أن يساعد شباناً آخرين على اكتساب مهارات اجتماعية حُرم منها هو نفسه. وهذا، كما </w:t>
      </w:r>
      <w:proofErr w:type="spellStart"/>
      <w:r>
        <w:rPr>
          <w:color w:val="222222"/>
        </w:rPr>
        <w:t>يصوغه</w:t>
      </w:r>
      <w:proofErr w:type="spellEnd"/>
      <w:r>
        <w:rPr>
          <w:color w:val="222222"/>
        </w:rPr>
        <w:t xml:space="preserve"> الزراع، هو جوهر الشفاء العملي: تحويل الطاقة من العدوان إلى العطاء، واكتشاف تجريبي بأن لذة الإحسان الحقيقية تفوق أثراً وأماناً واستدامةً لذة السلوك المؤذي العابرة.</w:t>
      </w:r>
    </w:p>
    <w:p w14:paraId="1E991168" w14:textId="77777777" w:rsidR="005A6F55" w:rsidRDefault="00000000" w:rsidP="007C3FB0">
      <w:pPr>
        <w:pStyle w:val="2"/>
        <w:bidi/>
        <w:spacing w:before="300" w:after="160"/>
      </w:pPr>
      <w:r>
        <w:rPr>
          <w:b/>
          <w:bCs/>
          <w:color w:val="0F6674"/>
          <w:sz w:val="28"/>
          <w:szCs w:val="28"/>
        </w:rPr>
        <w:t>4.4 الكينتسوغي النفسي: ترميم الجرح بذهب الانتماء</w:t>
      </w:r>
    </w:p>
    <w:p w14:paraId="713D7ECC" w14:textId="77777777" w:rsidR="005A6F55" w:rsidRDefault="00000000" w:rsidP="007C3FB0">
      <w:pPr>
        <w:spacing w:after="160" w:line="300" w:lineRule="auto"/>
      </w:pPr>
      <w:r>
        <w:rPr>
          <w:color w:val="222222"/>
        </w:rPr>
        <w:t>الخطوة الأخيرة هي ما يسميه هذا الإطار الكينتسوغي النفسي، استعارة من الفن الياباني في ترميم الأواني المكسورة بخطوط من الذهب بدل إخفاء الكسر: ترميم جرح العزلة والفراغ بذهب الانتماء والاعتراف المشروعين. الفاعل، بعد مسار علاجي كامل وجاد، لا يعود إلى ما كان عليه قبل الأذى الذي سبّبه، بل يصبح، بفضل الجرح المرمَّم لا المنكَر، شخصاً تجاوز عزلته الأصلية وصار قادراً على بناء علاقات صحية وعلى تقديم دعم حقيقي لآخرين يعانون معضلة شبيهة، شريطة أن يكون هذا المسار كله مصحوباً بمساءلة واضحة عن الأذى الذي وقع فعلاً، لا محل له كبديل عنها.</w:t>
      </w:r>
    </w:p>
    <w:p w14:paraId="5F3644E7" w14:textId="77777777" w:rsidR="005A6F55" w:rsidRDefault="00000000" w:rsidP="007C3FB0">
      <w:pPr>
        <w:pStyle w:val="1"/>
        <w:pBdr>
          <w:bottom w:val="single" w:sz="8" w:space="6" w:color="B8860B"/>
        </w:pBdr>
        <w:bidi/>
        <w:spacing w:before="420" w:after="220"/>
      </w:pPr>
      <w:r>
        <w:rPr>
          <w:b/>
          <w:bCs/>
          <w:color w:val="1B3A5C"/>
          <w:sz w:val="34"/>
          <w:szCs w:val="34"/>
        </w:rPr>
        <w:t>الفصل الخامس: مقاربة مقارنة مع الأدبيات الغربية المعاصرة</w:t>
      </w:r>
    </w:p>
    <w:p w14:paraId="3FFE483B" w14:textId="77777777" w:rsidR="005A6F55" w:rsidRDefault="00000000" w:rsidP="007C3FB0">
      <w:pPr>
        <w:spacing w:after="160" w:line="300" w:lineRule="auto"/>
      </w:pPr>
      <w:r>
        <w:rPr>
          <w:color w:val="222222"/>
        </w:rPr>
        <w:t>تكتسب القراءة الاستخلافية صلابة إضافية حين تُقابَل بأدبيات مستقلة في علم النفس المعرفي والسلوكي والإكلينيكي، لا بوصفها بديلاً عنها بل سنداً تجريبياً جزئياً لبعض ملامحها ومحكّاً لحدودها.</w:t>
      </w:r>
    </w:p>
    <w:p w14:paraId="1925D202" w14:textId="77777777" w:rsidR="005A6F55" w:rsidRDefault="00000000" w:rsidP="007C3FB0">
      <w:pPr>
        <w:spacing w:before="200" w:after="120"/>
      </w:pPr>
      <w:r>
        <w:rPr>
          <w:b/>
          <w:bCs/>
          <w:color w:val="222222"/>
          <w:sz w:val="26"/>
          <w:szCs w:val="26"/>
        </w:rPr>
        <w:t>5.1 القصور في القراءة الاجتماعية ونظرية العقل</w:t>
      </w:r>
    </w:p>
    <w:p w14:paraId="5AF650A5" w14:textId="77777777" w:rsidR="005A6F55" w:rsidRDefault="00000000" w:rsidP="007C3FB0">
      <w:pPr>
        <w:spacing w:after="160" w:line="300" w:lineRule="auto"/>
      </w:pPr>
      <w:r>
        <w:rPr>
          <w:color w:val="222222"/>
        </w:rPr>
        <w:t xml:space="preserve">ضعف الحكم الاجتماعي الموصوف في الحالة، أي العجز عن إدراك أن عبارة افتتاحية بسيطة تُقرأ اجتماعياً بوصفها تحرشاً في سياق معين، يتقاطع مع ما تناولته أدبيات نظرية العقل </w:t>
      </w:r>
      <w:proofErr w:type="spellStart"/>
      <w:r>
        <w:rPr>
          <w:color w:val="222222"/>
        </w:rPr>
        <w:t>Theory</w:t>
      </w:r>
      <w:proofErr w:type="spellEnd"/>
      <w:r>
        <w:rPr>
          <w:color w:val="222222"/>
        </w:rPr>
        <w:t xml:space="preserve"> </w:t>
      </w:r>
      <w:proofErr w:type="spellStart"/>
      <w:r>
        <w:rPr>
          <w:color w:val="222222"/>
        </w:rPr>
        <w:t>of</w:t>
      </w:r>
      <w:proofErr w:type="spellEnd"/>
      <w:r>
        <w:rPr>
          <w:color w:val="222222"/>
        </w:rPr>
        <w:t xml:space="preserve"> </w:t>
      </w:r>
      <w:proofErr w:type="spellStart"/>
      <w:r>
        <w:rPr>
          <w:color w:val="222222"/>
        </w:rPr>
        <w:t>Mind</w:t>
      </w:r>
      <w:proofErr w:type="spellEnd"/>
      <w:r>
        <w:rPr>
          <w:color w:val="222222"/>
        </w:rPr>
        <w:t xml:space="preserve"> منذ الدراسة المؤسسة لبارون-كوهين </w:t>
      </w:r>
      <w:proofErr w:type="spellStart"/>
      <w:r>
        <w:rPr>
          <w:color w:val="222222"/>
        </w:rPr>
        <w:t>وليزلي</w:t>
      </w:r>
      <w:proofErr w:type="spellEnd"/>
      <w:r>
        <w:rPr>
          <w:color w:val="222222"/>
        </w:rPr>
        <w:t xml:space="preserve"> </w:t>
      </w:r>
      <w:proofErr w:type="spellStart"/>
      <w:r>
        <w:rPr>
          <w:color w:val="222222"/>
        </w:rPr>
        <w:t>وفريث</w:t>
      </w:r>
      <w:proofErr w:type="spellEnd"/>
      <w:r>
        <w:rPr>
          <w:color w:val="222222"/>
        </w:rPr>
        <w:t xml:space="preserve"> (</w:t>
      </w:r>
      <w:proofErr w:type="spellStart"/>
      <w:r>
        <w:rPr>
          <w:color w:val="222222"/>
        </w:rPr>
        <w:t>Baron-Cohen</w:t>
      </w:r>
      <w:proofErr w:type="spellEnd"/>
      <w:r>
        <w:rPr>
          <w:color w:val="222222"/>
        </w:rPr>
        <w:t xml:space="preserve">, </w:t>
      </w:r>
      <w:proofErr w:type="spellStart"/>
      <w:r>
        <w:rPr>
          <w:color w:val="222222"/>
        </w:rPr>
        <w:t>Leslie</w:t>
      </w:r>
      <w:proofErr w:type="spellEnd"/>
      <w:r>
        <w:rPr>
          <w:color w:val="222222"/>
        </w:rPr>
        <w:t xml:space="preserve"> &amp; </w:t>
      </w:r>
      <w:proofErr w:type="spellStart"/>
      <w:r>
        <w:rPr>
          <w:color w:val="222222"/>
        </w:rPr>
        <w:t>Frith</w:t>
      </w:r>
      <w:proofErr w:type="spellEnd"/>
      <w:r>
        <w:rPr>
          <w:color w:val="222222"/>
        </w:rPr>
        <w:t xml:space="preserve">, 1985)، حيث يُربط ضعف القدرة على استنتاج حالات الآخرين الذهنية والانفعالية بصعوبات موازية في قراءة الحدود الاجتماعية الضمنية. ويكمّل هذا الإطار مفهوم التمثيل الذهني </w:t>
      </w:r>
      <w:proofErr w:type="spellStart"/>
      <w:r>
        <w:rPr>
          <w:color w:val="222222"/>
        </w:rPr>
        <w:t>Mentalization</w:t>
      </w:r>
      <w:proofErr w:type="spellEnd"/>
      <w:r>
        <w:rPr>
          <w:color w:val="222222"/>
        </w:rPr>
        <w:t xml:space="preserve"> كما طوّره </w:t>
      </w:r>
      <w:proofErr w:type="spellStart"/>
      <w:r>
        <w:rPr>
          <w:color w:val="222222"/>
        </w:rPr>
        <w:t>فوناجي</w:t>
      </w:r>
      <w:proofErr w:type="spellEnd"/>
      <w:r>
        <w:rPr>
          <w:color w:val="222222"/>
        </w:rPr>
        <w:t xml:space="preserve"> </w:t>
      </w:r>
      <w:proofErr w:type="spellStart"/>
      <w:r>
        <w:rPr>
          <w:color w:val="222222"/>
        </w:rPr>
        <w:t>وتارجت</w:t>
      </w:r>
      <w:proofErr w:type="spellEnd"/>
      <w:r>
        <w:rPr>
          <w:color w:val="222222"/>
        </w:rPr>
        <w:t xml:space="preserve"> (</w:t>
      </w:r>
      <w:proofErr w:type="spellStart"/>
      <w:r>
        <w:rPr>
          <w:color w:val="222222"/>
        </w:rPr>
        <w:t>Fonagy</w:t>
      </w:r>
      <w:proofErr w:type="spellEnd"/>
      <w:r>
        <w:rPr>
          <w:color w:val="222222"/>
        </w:rPr>
        <w:t xml:space="preserve"> &amp; </w:t>
      </w:r>
      <w:proofErr w:type="spellStart"/>
      <w:r>
        <w:rPr>
          <w:color w:val="222222"/>
        </w:rPr>
        <w:t>Target</w:t>
      </w:r>
      <w:proofErr w:type="spellEnd"/>
      <w:r>
        <w:rPr>
          <w:color w:val="222222"/>
        </w:rPr>
        <w:t xml:space="preserve">, 1997)، والذي يربط القدرة على تصوّر النية الكامنة خلف سلوك الآخر بجودة العلاقات </w:t>
      </w:r>
      <w:proofErr w:type="spellStart"/>
      <w:r>
        <w:rPr>
          <w:color w:val="222222"/>
        </w:rPr>
        <w:t>التعلقية</w:t>
      </w:r>
      <w:proofErr w:type="spellEnd"/>
      <w:r>
        <w:rPr>
          <w:color w:val="222222"/>
        </w:rPr>
        <w:t xml:space="preserve"> المبكرة، وهو ما يتقاطع مع الإشارة السابقة إلى غياب قاعدة أمان أسرية مستقرة في طفولة الفاعل.</w:t>
      </w:r>
    </w:p>
    <w:p w14:paraId="3680B371" w14:textId="77777777" w:rsidR="005A6F55" w:rsidRDefault="00000000" w:rsidP="007C3FB0">
      <w:pPr>
        <w:spacing w:before="200" w:after="120"/>
      </w:pPr>
      <w:r>
        <w:rPr>
          <w:b/>
          <w:bCs/>
          <w:color w:val="222222"/>
          <w:sz w:val="26"/>
          <w:szCs w:val="26"/>
        </w:rPr>
        <w:t>5.2 الانضباط الأخلاقي المؤقت والانفصال الأخلاقي</w:t>
      </w:r>
    </w:p>
    <w:p w14:paraId="0270C64E" w14:textId="77777777" w:rsidR="005A6F55" w:rsidRDefault="00000000" w:rsidP="007C3FB0">
      <w:pPr>
        <w:spacing w:after="160" w:line="300" w:lineRule="auto"/>
      </w:pPr>
      <w:r>
        <w:rPr>
          <w:color w:val="222222"/>
        </w:rPr>
        <w:t xml:space="preserve">الخنوع اللحظي أمام التهديد، الذي لا يُترجَم إلى تغيير سلوكي دائم، يمكن أن يُقرأ في ضوء مفهوم الانفصال الأخلاقي </w:t>
      </w:r>
      <w:proofErr w:type="spellStart"/>
      <w:r>
        <w:rPr>
          <w:color w:val="222222"/>
        </w:rPr>
        <w:t>Moral</w:t>
      </w:r>
      <w:proofErr w:type="spellEnd"/>
      <w:r>
        <w:rPr>
          <w:color w:val="222222"/>
        </w:rPr>
        <w:t xml:space="preserve"> </w:t>
      </w:r>
      <w:proofErr w:type="spellStart"/>
      <w:r>
        <w:rPr>
          <w:color w:val="222222"/>
        </w:rPr>
        <w:t>Disengagement</w:t>
      </w:r>
      <w:proofErr w:type="spellEnd"/>
      <w:r>
        <w:rPr>
          <w:color w:val="222222"/>
        </w:rPr>
        <w:t xml:space="preserve"> كما فصّله باندورا (</w:t>
      </w:r>
      <w:proofErr w:type="spellStart"/>
      <w:r>
        <w:rPr>
          <w:color w:val="222222"/>
        </w:rPr>
        <w:t>Bandura</w:t>
      </w:r>
      <w:proofErr w:type="spellEnd"/>
      <w:r>
        <w:rPr>
          <w:color w:val="222222"/>
        </w:rPr>
        <w:t xml:space="preserve">, 1999)، حيث يتيح تعطيل آليات المساءلة الذاتية المؤقت للفرد أن يعاود السلوك المدان دون أن يشعر بتناقض داخلي حاد </w:t>
      </w:r>
      <w:proofErr w:type="spellStart"/>
      <w:r>
        <w:rPr>
          <w:color w:val="222222"/>
        </w:rPr>
        <w:t>يعيقه</w:t>
      </w:r>
      <w:proofErr w:type="spellEnd"/>
      <w:r>
        <w:rPr>
          <w:color w:val="222222"/>
        </w:rPr>
        <w:t>، طالما أن الرادع الفعلي خارجي ومؤقت لا داخلي ومستقر.</w:t>
      </w:r>
    </w:p>
    <w:p w14:paraId="3B74400E" w14:textId="77777777" w:rsidR="005A6F55" w:rsidRDefault="00000000" w:rsidP="007C3FB0">
      <w:pPr>
        <w:spacing w:before="200" w:after="120"/>
      </w:pPr>
      <w:r>
        <w:rPr>
          <w:b/>
          <w:bCs/>
          <w:color w:val="222222"/>
          <w:sz w:val="26"/>
          <w:szCs w:val="26"/>
        </w:rPr>
        <w:t>5.3 القلق من التلوث والتكرار القهري</w:t>
      </w:r>
    </w:p>
    <w:p w14:paraId="75CA28E2" w14:textId="77777777" w:rsidR="005A6F55" w:rsidRDefault="00000000" w:rsidP="007C3FB0">
      <w:pPr>
        <w:spacing w:after="160" w:line="300" w:lineRule="auto"/>
      </w:pPr>
      <w:r>
        <w:rPr>
          <w:color w:val="222222"/>
        </w:rPr>
        <w:t>الطابع شبه الطقوسي للتكرار، رغم اختلافه الجوهري عن الوسواس القهري الإكلينيكي من حيث غياب الكرب الذاتي الملازم له عادة، يستدعي أدبيات راخمان (</w:t>
      </w:r>
      <w:proofErr w:type="spellStart"/>
      <w:r>
        <w:rPr>
          <w:color w:val="222222"/>
        </w:rPr>
        <w:t>Rachman</w:t>
      </w:r>
      <w:proofErr w:type="spellEnd"/>
      <w:r>
        <w:rPr>
          <w:color w:val="222222"/>
        </w:rPr>
        <w:t xml:space="preserve">, 2004) حول التكرار القهري بوصفه استجابة لخفض توتر داخلي متراكم، وإن كان الدافع هنا اجتماعياً وانفعالياً في المقام الأول لا </w:t>
      </w:r>
      <w:proofErr w:type="spellStart"/>
      <w:r>
        <w:rPr>
          <w:color w:val="222222"/>
        </w:rPr>
        <w:t>وسواسياً</w:t>
      </w:r>
      <w:proofErr w:type="spellEnd"/>
      <w:r>
        <w:rPr>
          <w:color w:val="222222"/>
        </w:rPr>
        <w:t xml:space="preserve"> بالمعنى الإكلينيكي الدقيق.</w:t>
      </w:r>
    </w:p>
    <w:p w14:paraId="678F681A" w14:textId="77777777" w:rsidR="005A6F55" w:rsidRDefault="00000000" w:rsidP="007C3FB0">
      <w:pPr>
        <w:pStyle w:val="1"/>
        <w:pBdr>
          <w:bottom w:val="single" w:sz="8" w:space="6" w:color="B8860B"/>
        </w:pBdr>
        <w:bidi/>
        <w:spacing w:before="420" w:after="220"/>
      </w:pPr>
      <w:r>
        <w:rPr>
          <w:b/>
          <w:bCs/>
          <w:color w:val="1B3A5C"/>
          <w:sz w:val="34"/>
          <w:szCs w:val="34"/>
        </w:rPr>
        <w:t>الفصل السادس: مراجعة نقدية ومنهجية لحدود القراءة الاستخلافية</w:t>
      </w:r>
    </w:p>
    <w:p w14:paraId="03998CFC" w14:textId="77777777" w:rsidR="005A6F55" w:rsidRDefault="00000000" w:rsidP="007C3FB0">
      <w:pPr>
        <w:spacing w:after="160" w:line="300" w:lineRule="auto"/>
      </w:pPr>
      <w:r>
        <w:rPr>
          <w:color w:val="222222"/>
        </w:rPr>
        <w:t>الأمانة العلمية تقتضي التصريح بحدود هذه القراءة قبل أي تعميم لها. أولاً، القراءة الاستخلافية تفسيرية بطبيعتها لا تجريبية بالمعنى الإحصائي، إذ تفتقر مفاهيمها المركزية، كالأضلاع الثمانية والديون النفسية، إلى أدوات قياس مقنَّنة يمكن التحقق من صدقها وثباتها بمعايير القياس النفسي المعاصرة، خلافاً لأدوات مثل مقاييس الوظائف التنفيذية أو مقاييس التعلق المقنَّنة. ثانياً، هناك مخاطرة منهجية حقيقية في أن يتحول التفسير الوجودي، إذا أُسيء استخدامه، إلى غطاء يخفف من وطأة المساءلة عن الفعل المؤذي، وهي مخاطرة يجب التصريح بها صراحة في كل تطبيق عملي لهذا الإطار، تماشياً مع معيار بوبر (</w:t>
      </w:r>
      <w:proofErr w:type="spellStart"/>
      <w:r>
        <w:rPr>
          <w:color w:val="222222"/>
        </w:rPr>
        <w:t>Popper</w:t>
      </w:r>
      <w:proofErr w:type="spellEnd"/>
      <w:r>
        <w:rPr>
          <w:color w:val="222222"/>
        </w:rPr>
        <w:t xml:space="preserve">, 1959) في قابلية التفنيد كشرط لأي ادعاء علمي جاد. ثالثاً، الفرضيات التفاضلية المذكورة في النص الأصلي، من إعاقة ذهنية خفيفة إلى اضطراب طيف التوحد إلى سمات </w:t>
      </w:r>
      <w:proofErr w:type="spellStart"/>
      <w:r>
        <w:rPr>
          <w:color w:val="222222"/>
        </w:rPr>
        <w:t>فصامانية</w:t>
      </w:r>
      <w:proofErr w:type="spellEnd"/>
      <w:r>
        <w:rPr>
          <w:color w:val="222222"/>
        </w:rPr>
        <w:t>، تبقى جميعها فرضيات تستوجب تقييماً إكلينيكياً مباشراً وفق معايير الدليل التشخيصي والإحصائي الخامس المُنقَّح (رابطة الطب النفسي الأمريكية، 2022) أو التصنيف الدولي الحادي عشر (منظمة الصحة العالمية، 2019)، ولا يجوز البتّ في أي منها استناداً إلى وصف سلوكي غير مباشر وحده.</w:t>
      </w:r>
    </w:p>
    <w:p w14:paraId="34C2435D" w14:textId="77777777" w:rsidR="005A6F55" w:rsidRDefault="00000000" w:rsidP="007C3FB0">
      <w:pPr>
        <w:spacing w:after="160" w:line="300" w:lineRule="auto"/>
      </w:pPr>
      <w:r>
        <w:rPr>
          <w:color w:val="222222"/>
        </w:rPr>
        <w:t>والخلاصة المنهجية أن القيمة الحقيقية لهذا الإطار الاستخلافي لا تكمن في منافسته للتقييم الإكلينيكي أو الاستعاضة عنه، بل في إضافته بُعداً معنوياً وتحفيزياً للمسار العلاجي بعد أن يُستكمَل التقييم الإكلينيكي اللازم، وفي ربط التغيير السلوكي المطلوب بأفق قيمي أوسع قد يكون أكثر التصاقاً بالمنظومة الثقافية والدينية للفرد من الأطر العلاجية المستوردة حصراً.</w:t>
      </w:r>
    </w:p>
    <w:p w14:paraId="1B9F19E2" w14:textId="77777777" w:rsidR="005A6F55" w:rsidRDefault="00000000" w:rsidP="007C3FB0">
      <w:pPr>
        <w:pStyle w:val="1"/>
        <w:pBdr>
          <w:bottom w:val="single" w:sz="8" w:space="6" w:color="B8860B"/>
        </w:pBdr>
        <w:bidi/>
        <w:spacing w:before="420" w:after="220"/>
      </w:pPr>
      <w:r>
        <w:rPr>
          <w:b/>
          <w:bCs/>
          <w:color w:val="1B3A5C"/>
          <w:sz w:val="34"/>
          <w:szCs w:val="34"/>
        </w:rPr>
        <w:t>خاتمة: من الاستخلاف المشوَّه إلى الاستخلاف المُحقَّق</w:t>
      </w:r>
    </w:p>
    <w:p w14:paraId="41B0B770" w14:textId="77777777" w:rsidR="005A6F55" w:rsidRDefault="00000000" w:rsidP="007C3FB0">
      <w:pPr>
        <w:spacing w:after="160" w:line="300" w:lineRule="auto"/>
      </w:pPr>
      <w:r>
        <w:rPr>
          <w:color w:val="222222"/>
        </w:rPr>
        <w:t>تخلص هذه الدراسة إلى أن حالة الرجل المتحرش، كما عرضها النص الأصلي، هي في عمقها أزمة استخلاف: خليفة انحرفت علاقته بالآخرين وبالحدود وبالأمانة الملقاة على عاتقه. والعلاج، من منظور علم النفس الاستخلافي، ليس مجرد تعديل سلوك معزول أو تصحيح فكرة خاطئة بمعزل عن سياقها الوجودي، بل هو مساران متلازمان لا يجوز الفصل بينهما: مسار مساءلة وحماية فوري وحازم لمن تعرضن للأذى، ومسار تأهيل وتحويل طويل الأمد للفاعل، ينقله تدريجياً من التحرش إلى الإحسان، ومن الفراغ إلى الانتماء المشروع، ومن الاستخلاف المشوَّه إلى الاستخلاف المُحقَّق.</w:t>
      </w:r>
    </w:p>
    <w:tbl>
      <w:tblPr>
        <w:tblW w:w="5000" w:type="pct"/>
        <w:tblInd w:w="1" w:type="dxa"/>
        <w:tblBorders>
          <w:top w:val="single" w:sz="14" w:space="0" w:color="B8860B"/>
          <w:left w:val="single" w:sz="14" w:space="0" w:color="B8860B"/>
          <w:bottom w:val="single" w:sz="14" w:space="0" w:color="B8860B"/>
          <w:right w:val="single" w:sz="14" w:space="0" w:color="B8860B"/>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036"/>
      </w:tblGrid>
      <w:tr w:rsidR="005A6F55" w14:paraId="42D29A1D" w14:textId="77777777">
        <w:tblPrEx>
          <w:tblCellMar>
            <w:top w:w="0" w:type="dxa"/>
            <w:bottom w:w="0" w:type="dxa"/>
          </w:tblCellMar>
        </w:tblPrEx>
        <w:tc>
          <w:tcPr>
            <w:tcW w:w="0" w:type="auto"/>
            <w:shd w:val="clear" w:color="auto" w:fill="FBF6E9"/>
            <w:tcMar>
              <w:top w:w="260" w:type="dxa"/>
              <w:left w:w="300" w:type="dxa"/>
              <w:bottom w:w="260" w:type="dxa"/>
              <w:right w:w="300" w:type="dxa"/>
            </w:tcMar>
          </w:tcPr>
          <w:p w14:paraId="337A1057" w14:textId="77777777" w:rsidR="005A6F55" w:rsidRDefault="00000000" w:rsidP="007C3FB0">
            <w:pPr>
              <w:spacing w:after="100"/>
            </w:pPr>
            <w:r>
              <w:rPr>
                <w:b/>
                <w:bCs/>
                <w:color w:val="1B3A5C"/>
                <w:sz w:val="30"/>
                <w:szCs w:val="30"/>
              </w:rPr>
              <w:t>وَمَا خَلَقْتُ الْجِنَّ وَالْإِنسَ إِلَّا لِيَعْبُدُونِ</w:t>
            </w:r>
          </w:p>
          <w:p w14:paraId="6CD1AC79" w14:textId="77777777" w:rsidR="005A6F55" w:rsidRDefault="00000000" w:rsidP="007C3FB0">
            <w:r>
              <w:rPr>
                <w:color w:val="B8860B"/>
                <w:sz w:val="22"/>
                <w:szCs w:val="22"/>
              </w:rPr>
              <w:t>سورة الذاريات، الآية 56</w:t>
            </w:r>
          </w:p>
        </w:tc>
      </w:tr>
    </w:tbl>
    <w:p w14:paraId="246F23A0" w14:textId="77777777" w:rsidR="005A6F55" w:rsidRDefault="00000000" w:rsidP="007C3FB0">
      <w:r>
        <w:br w:type="page"/>
      </w:r>
    </w:p>
    <w:p w14:paraId="56B689D7" w14:textId="77777777" w:rsidR="005A6F55" w:rsidRDefault="00000000" w:rsidP="007C3FB0">
      <w:pPr>
        <w:pStyle w:val="1"/>
        <w:pBdr>
          <w:bottom w:val="single" w:sz="8" w:space="6" w:color="B8860B"/>
        </w:pBdr>
        <w:bidi/>
        <w:spacing w:before="420" w:after="220"/>
      </w:pPr>
      <w:r>
        <w:rPr>
          <w:b/>
          <w:bCs/>
          <w:color w:val="1B3A5C"/>
          <w:sz w:val="34"/>
          <w:szCs w:val="34"/>
        </w:rPr>
        <w:t>المراجع والمصادر</w:t>
      </w:r>
    </w:p>
    <w:p w14:paraId="33D2D958" w14:textId="77777777" w:rsidR="005A6F55" w:rsidRDefault="00000000" w:rsidP="007C3FB0">
      <w:pPr>
        <w:pStyle w:val="2"/>
        <w:bidi/>
        <w:spacing w:before="300" w:after="160"/>
      </w:pPr>
      <w:r>
        <w:rPr>
          <w:b/>
          <w:bCs/>
          <w:color w:val="0F6674"/>
          <w:sz w:val="28"/>
          <w:szCs w:val="28"/>
        </w:rPr>
        <w:t>أولاً: المصادر الأساسية (النموذج الاستخلافي)</w:t>
      </w:r>
    </w:p>
    <w:p w14:paraId="3AE8CF73" w14:textId="77777777" w:rsidR="005A6F55" w:rsidRDefault="00000000" w:rsidP="007C3FB0">
      <w:pPr>
        <w:spacing w:after="100"/>
        <w:ind w:right="300" w:hanging="300"/>
      </w:pPr>
      <w:r>
        <w:rPr>
          <w:color w:val="222222"/>
          <w:sz w:val="23"/>
          <w:szCs w:val="23"/>
        </w:rPr>
        <w:t>1. الزراع، عبد السلام. (2026). العلاج بحرث المصالحة التحويلية (TLRT): الدليل النظري والإكلينيكي. الطبعة التجريبية الأولى.</w:t>
      </w:r>
    </w:p>
    <w:p w14:paraId="106B3763" w14:textId="77777777" w:rsidR="005A6F55" w:rsidRDefault="00000000" w:rsidP="007C3FB0">
      <w:pPr>
        <w:spacing w:after="100"/>
        <w:ind w:right="300" w:hanging="300"/>
      </w:pPr>
      <w:r>
        <w:rPr>
          <w:color w:val="222222"/>
          <w:sz w:val="23"/>
          <w:szCs w:val="23"/>
        </w:rPr>
        <w:t>2. الزراع، عبد السلام. (2026). الفصام الأخلاقي ومصدر الأزمات النفسية: قراءة في ضوء نظرية TLRT.</w:t>
      </w:r>
    </w:p>
    <w:p w14:paraId="7C3884D0" w14:textId="77777777" w:rsidR="005A6F55" w:rsidRDefault="00000000" w:rsidP="007C3FB0">
      <w:pPr>
        <w:spacing w:after="100"/>
        <w:ind w:right="300" w:hanging="300"/>
      </w:pPr>
      <w:r>
        <w:rPr>
          <w:color w:val="222222"/>
          <w:sz w:val="23"/>
          <w:szCs w:val="23"/>
        </w:rPr>
        <w:t>3. الزراع، عبد السلام. (2026). نموذج قياس الشعور بالذنب: مقاربة تكاملية متعددة الأبعاد.</w:t>
      </w:r>
    </w:p>
    <w:p w14:paraId="1F4C1414" w14:textId="77777777" w:rsidR="005A6F55" w:rsidRDefault="00000000" w:rsidP="007C3FB0">
      <w:pPr>
        <w:pStyle w:val="2"/>
        <w:bidi/>
        <w:spacing w:before="300" w:after="160"/>
      </w:pPr>
      <w:r>
        <w:rPr>
          <w:b/>
          <w:bCs/>
          <w:color w:val="0F6674"/>
          <w:sz w:val="28"/>
          <w:szCs w:val="28"/>
        </w:rPr>
        <w:t>ثانياً: مراجع في صياغة الحالة والتحليل الإكلينيكي</w:t>
      </w:r>
    </w:p>
    <w:p w14:paraId="44AB0820" w14:textId="77777777" w:rsidR="005A6F55" w:rsidRDefault="00000000">
      <w:pPr>
        <w:spacing w:after="100"/>
        <w:ind w:right="300" w:hanging="300"/>
        <w:jc w:val="right"/>
      </w:pPr>
      <w:r>
        <w:rPr>
          <w:color w:val="222222"/>
          <w:sz w:val="23"/>
          <w:szCs w:val="23"/>
        </w:rPr>
        <w:t xml:space="preserve">4. </w:t>
      </w:r>
      <w:proofErr w:type="spellStart"/>
      <w:r>
        <w:rPr>
          <w:color w:val="222222"/>
          <w:sz w:val="23"/>
          <w:szCs w:val="23"/>
        </w:rPr>
        <w:t>Sperry</w:t>
      </w:r>
      <w:proofErr w:type="spellEnd"/>
      <w:r>
        <w:rPr>
          <w:color w:val="222222"/>
          <w:sz w:val="23"/>
          <w:szCs w:val="23"/>
        </w:rPr>
        <w:t xml:space="preserve">, L., &amp; </w:t>
      </w:r>
      <w:proofErr w:type="spellStart"/>
      <w:r>
        <w:rPr>
          <w:color w:val="222222"/>
          <w:sz w:val="23"/>
          <w:szCs w:val="23"/>
        </w:rPr>
        <w:t>Sperry</w:t>
      </w:r>
      <w:proofErr w:type="spellEnd"/>
      <w:r>
        <w:rPr>
          <w:color w:val="222222"/>
          <w:sz w:val="23"/>
          <w:szCs w:val="23"/>
        </w:rPr>
        <w:t xml:space="preserve">, J. (2012). </w:t>
      </w:r>
      <w:proofErr w:type="spellStart"/>
      <w:r>
        <w:rPr>
          <w:color w:val="222222"/>
          <w:sz w:val="23"/>
          <w:szCs w:val="23"/>
        </w:rPr>
        <w:t>Case</w:t>
      </w:r>
      <w:proofErr w:type="spellEnd"/>
      <w:r>
        <w:rPr>
          <w:color w:val="222222"/>
          <w:sz w:val="23"/>
          <w:szCs w:val="23"/>
        </w:rPr>
        <w:t xml:space="preserve"> </w:t>
      </w:r>
      <w:proofErr w:type="spellStart"/>
      <w:r>
        <w:rPr>
          <w:color w:val="222222"/>
          <w:sz w:val="23"/>
          <w:szCs w:val="23"/>
        </w:rPr>
        <w:t>Conceptualization</w:t>
      </w:r>
      <w:proofErr w:type="spellEnd"/>
      <w:r>
        <w:rPr>
          <w:color w:val="222222"/>
          <w:sz w:val="23"/>
          <w:szCs w:val="23"/>
        </w:rPr>
        <w:t xml:space="preserve">: </w:t>
      </w:r>
      <w:proofErr w:type="spellStart"/>
      <w:r>
        <w:rPr>
          <w:color w:val="222222"/>
          <w:sz w:val="23"/>
          <w:szCs w:val="23"/>
        </w:rPr>
        <w:t>Mastering</w:t>
      </w:r>
      <w:proofErr w:type="spellEnd"/>
      <w:r>
        <w:rPr>
          <w:color w:val="222222"/>
          <w:sz w:val="23"/>
          <w:szCs w:val="23"/>
        </w:rPr>
        <w:t xml:space="preserve"> </w:t>
      </w:r>
      <w:proofErr w:type="spellStart"/>
      <w:r>
        <w:rPr>
          <w:color w:val="222222"/>
          <w:sz w:val="23"/>
          <w:szCs w:val="23"/>
        </w:rPr>
        <w:t>This</w:t>
      </w:r>
      <w:proofErr w:type="spellEnd"/>
      <w:r>
        <w:rPr>
          <w:color w:val="222222"/>
          <w:sz w:val="23"/>
          <w:szCs w:val="23"/>
        </w:rPr>
        <w:t xml:space="preserve"> </w:t>
      </w:r>
      <w:proofErr w:type="spellStart"/>
      <w:r>
        <w:rPr>
          <w:color w:val="222222"/>
          <w:sz w:val="23"/>
          <w:szCs w:val="23"/>
        </w:rPr>
        <w:t>Competency</w:t>
      </w:r>
      <w:proofErr w:type="spellEnd"/>
      <w:r>
        <w:rPr>
          <w:color w:val="222222"/>
          <w:sz w:val="23"/>
          <w:szCs w:val="23"/>
        </w:rPr>
        <w:t xml:space="preserve"> </w:t>
      </w:r>
      <w:proofErr w:type="spellStart"/>
      <w:r>
        <w:rPr>
          <w:color w:val="222222"/>
          <w:sz w:val="23"/>
          <w:szCs w:val="23"/>
        </w:rPr>
        <w:t>with</w:t>
      </w:r>
      <w:proofErr w:type="spellEnd"/>
      <w:r>
        <w:rPr>
          <w:color w:val="222222"/>
          <w:sz w:val="23"/>
          <w:szCs w:val="23"/>
        </w:rPr>
        <w:t xml:space="preserve"> </w:t>
      </w:r>
      <w:proofErr w:type="spellStart"/>
      <w:r>
        <w:rPr>
          <w:color w:val="222222"/>
          <w:sz w:val="23"/>
          <w:szCs w:val="23"/>
        </w:rPr>
        <w:t>Ease</w:t>
      </w:r>
      <w:proofErr w:type="spellEnd"/>
      <w:r>
        <w:rPr>
          <w:color w:val="222222"/>
          <w:sz w:val="23"/>
          <w:szCs w:val="23"/>
        </w:rPr>
        <w:t xml:space="preserve"> </w:t>
      </w:r>
      <w:proofErr w:type="spellStart"/>
      <w:r>
        <w:rPr>
          <w:color w:val="222222"/>
          <w:sz w:val="23"/>
          <w:szCs w:val="23"/>
        </w:rPr>
        <w:t>and</w:t>
      </w:r>
      <w:proofErr w:type="spellEnd"/>
      <w:r>
        <w:rPr>
          <w:color w:val="222222"/>
          <w:sz w:val="23"/>
          <w:szCs w:val="23"/>
        </w:rPr>
        <w:t xml:space="preserve"> </w:t>
      </w:r>
      <w:proofErr w:type="spellStart"/>
      <w:r>
        <w:rPr>
          <w:color w:val="222222"/>
          <w:sz w:val="23"/>
          <w:szCs w:val="23"/>
        </w:rPr>
        <w:t>Confidence</w:t>
      </w:r>
      <w:proofErr w:type="spellEnd"/>
      <w:r>
        <w:rPr>
          <w:color w:val="222222"/>
          <w:sz w:val="23"/>
          <w:szCs w:val="23"/>
        </w:rPr>
        <w:t xml:space="preserve">. </w:t>
      </w:r>
      <w:proofErr w:type="spellStart"/>
      <w:r>
        <w:rPr>
          <w:color w:val="222222"/>
          <w:sz w:val="23"/>
          <w:szCs w:val="23"/>
        </w:rPr>
        <w:t>New</w:t>
      </w:r>
      <w:proofErr w:type="spellEnd"/>
      <w:r>
        <w:rPr>
          <w:color w:val="222222"/>
          <w:sz w:val="23"/>
          <w:szCs w:val="23"/>
        </w:rPr>
        <w:t xml:space="preserve"> </w:t>
      </w:r>
      <w:proofErr w:type="spellStart"/>
      <w:r>
        <w:rPr>
          <w:color w:val="222222"/>
          <w:sz w:val="23"/>
          <w:szCs w:val="23"/>
        </w:rPr>
        <w:t>York</w:t>
      </w:r>
      <w:proofErr w:type="spellEnd"/>
      <w:r>
        <w:rPr>
          <w:color w:val="222222"/>
          <w:sz w:val="23"/>
          <w:szCs w:val="23"/>
        </w:rPr>
        <w:t xml:space="preserve">: </w:t>
      </w:r>
      <w:proofErr w:type="spellStart"/>
      <w:r>
        <w:rPr>
          <w:color w:val="222222"/>
          <w:sz w:val="23"/>
          <w:szCs w:val="23"/>
        </w:rPr>
        <w:t>Routledge</w:t>
      </w:r>
      <w:proofErr w:type="spellEnd"/>
      <w:r>
        <w:rPr>
          <w:color w:val="222222"/>
          <w:sz w:val="23"/>
          <w:szCs w:val="23"/>
        </w:rPr>
        <w:t>.</w:t>
      </w:r>
    </w:p>
    <w:p w14:paraId="70638AB0" w14:textId="77777777" w:rsidR="005A6F55" w:rsidRDefault="00000000">
      <w:pPr>
        <w:spacing w:after="100"/>
        <w:ind w:right="300" w:hanging="300"/>
        <w:jc w:val="right"/>
      </w:pPr>
      <w:r>
        <w:rPr>
          <w:color w:val="222222"/>
          <w:sz w:val="23"/>
          <w:szCs w:val="23"/>
        </w:rPr>
        <w:t xml:space="preserve">5. </w:t>
      </w:r>
      <w:proofErr w:type="spellStart"/>
      <w:r>
        <w:rPr>
          <w:color w:val="222222"/>
          <w:sz w:val="23"/>
          <w:szCs w:val="23"/>
        </w:rPr>
        <w:t>American</w:t>
      </w:r>
      <w:proofErr w:type="spellEnd"/>
      <w:r>
        <w:rPr>
          <w:color w:val="222222"/>
          <w:sz w:val="23"/>
          <w:szCs w:val="23"/>
        </w:rPr>
        <w:t xml:space="preserve"> </w:t>
      </w:r>
      <w:proofErr w:type="spellStart"/>
      <w:r>
        <w:rPr>
          <w:color w:val="222222"/>
          <w:sz w:val="23"/>
          <w:szCs w:val="23"/>
        </w:rPr>
        <w:t>Psychiatric</w:t>
      </w:r>
      <w:proofErr w:type="spellEnd"/>
      <w:r>
        <w:rPr>
          <w:color w:val="222222"/>
          <w:sz w:val="23"/>
          <w:szCs w:val="23"/>
        </w:rPr>
        <w:t xml:space="preserve"> </w:t>
      </w:r>
      <w:proofErr w:type="spellStart"/>
      <w:r>
        <w:rPr>
          <w:color w:val="222222"/>
          <w:sz w:val="23"/>
          <w:szCs w:val="23"/>
        </w:rPr>
        <w:t>Association</w:t>
      </w:r>
      <w:proofErr w:type="spellEnd"/>
      <w:r>
        <w:rPr>
          <w:color w:val="222222"/>
          <w:sz w:val="23"/>
          <w:szCs w:val="23"/>
        </w:rPr>
        <w:t xml:space="preserve">. (2022). </w:t>
      </w:r>
      <w:proofErr w:type="spellStart"/>
      <w:r>
        <w:rPr>
          <w:color w:val="222222"/>
          <w:sz w:val="23"/>
          <w:szCs w:val="23"/>
        </w:rPr>
        <w:t>Diagnostic</w:t>
      </w:r>
      <w:proofErr w:type="spellEnd"/>
      <w:r>
        <w:rPr>
          <w:color w:val="222222"/>
          <w:sz w:val="23"/>
          <w:szCs w:val="23"/>
        </w:rPr>
        <w:t xml:space="preserve"> </w:t>
      </w:r>
      <w:proofErr w:type="spellStart"/>
      <w:r>
        <w:rPr>
          <w:color w:val="222222"/>
          <w:sz w:val="23"/>
          <w:szCs w:val="23"/>
        </w:rPr>
        <w:t>and</w:t>
      </w:r>
      <w:proofErr w:type="spellEnd"/>
      <w:r>
        <w:rPr>
          <w:color w:val="222222"/>
          <w:sz w:val="23"/>
          <w:szCs w:val="23"/>
        </w:rPr>
        <w:t xml:space="preserve"> </w:t>
      </w:r>
      <w:proofErr w:type="spellStart"/>
      <w:r>
        <w:rPr>
          <w:color w:val="222222"/>
          <w:sz w:val="23"/>
          <w:szCs w:val="23"/>
        </w:rPr>
        <w:t>Statistical</w:t>
      </w:r>
      <w:proofErr w:type="spellEnd"/>
      <w:r>
        <w:rPr>
          <w:color w:val="222222"/>
          <w:sz w:val="23"/>
          <w:szCs w:val="23"/>
        </w:rPr>
        <w:t xml:space="preserve"> </w:t>
      </w:r>
      <w:proofErr w:type="spellStart"/>
      <w:r>
        <w:rPr>
          <w:color w:val="222222"/>
          <w:sz w:val="23"/>
          <w:szCs w:val="23"/>
        </w:rPr>
        <w:t>Manual</w:t>
      </w:r>
      <w:proofErr w:type="spellEnd"/>
      <w:r>
        <w:rPr>
          <w:color w:val="222222"/>
          <w:sz w:val="23"/>
          <w:szCs w:val="23"/>
        </w:rPr>
        <w:t xml:space="preserve"> </w:t>
      </w:r>
      <w:proofErr w:type="spellStart"/>
      <w:r>
        <w:rPr>
          <w:color w:val="222222"/>
          <w:sz w:val="23"/>
          <w:szCs w:val="23"/>
        </w:rPr>
        <w:t>of</w:t>
      </w:r>
      <w:proofErr w:type="spellEnd"/>
      <w:r>
        <w:rPr>
          <w:color w:val="222222"/>
          <w:sz w:val="23"/>
          <w:szCs w:val="23"/>
        </w:rPr>
        <w:t xml:space="preserve"> </w:t>
      </w:r>
      <w:proofErr w:type="spellStart"/>
      <w:r>
        <w:rPr>
          <w:color w:val="222222"/>
          <w:sz w:val="23"/>
          <w:szCs w:val="23"/>
        </w:rPr>
        <w:t>Mental</w:t>
      </w:r>
      <w:proofErr w:type="spellEnd"/>
      <w:r>
        <w:rPr>
          <w:color w:val="222222"/>
          <w:sz w:val="23"/>
          <w:szCs w:val="23"/>
        </w:rPr>
        <w:t xml:space="preserve"> </w:t>
      </w:r>
      <w:proofErr w:type="spellStart"/>
      <w:r>
        <w:rPr>
          <w:color w:val="222222"/>
          <w:sz w:val="23"/>
          <w:szCs w:val="23"/>
        </w:rPr>
        <w:t>Disorders</w:t>
      </w:r>
      <w:proofErr w:type="spellEnd"/>
      <w:r>
        <w:rPr>
          <w:color w:val="222222"/>
          <w:sz w:val="23"/>
          <w:szCs w:val="23"/>
        </w:rPr>
        <w:t xml:space="preserve">, </w:t>
      </w:r>
      <w:proofErr w:type="spellStart"/>
      <w:r>
        <w:rPr>
          <w:color w:val="222222"/>
          <w:sz w:val="23"/>
          <w:szCs w:val="23"/>
        </w:rPr>
        <w:t>Fifth</w:t>
      </w:r>
      <w:proofErr w:type="spellEnd"/>
      <w:r>
        <w:rPr>
          <w:color w:val="222222"/>
          <w:sz w:val="23"/>
          <w:szCs w:val="23"/>
        </w:rPr>
        <w:t xml:space="preserve"> </w:t>
      </w:r>
      <w:proofErr w:type="spellStart"/>
      <w:r>
        <w:rPr>
          <w:color w:val="222222"/>
          <w:sz w:val="23"/>
          <w:szCs w:val="23"/>
        </w:rPr>
        <w:t>Edition</w:t>
      </w:r>
      <w:proofErr w:type="spellEnd"/>
      <w:r>
        <w:rPr>
          <w:color w:val="222222"/>
          <w:sz w:val="23"/>
          <w:szCs w:val="23"/>
        </w:rPr>
        <w:t xml:space="preserve">, </w:t>
      </w:r>
      <w:proofErr w:type="spellStart"/>
      <w:r>
        <w:rPr>
          <w:color w:val="222222"/>
          <w:sz w:val="23"/>
          <w:szCs w:val="23"/>
        </w:rPr>
        <w:t>Text</w:t>
      </w:r>
      <w:proofErr w:type="spellEnd"/>
      <w:r>
        <w:rPr>
          <w:color w:val="222222"/>
          <w:sz w:val="23"/>
          <w:szCs w:val="23"/>
        </w:rPr>
        <w:t xml:space="preserve"> </w:t>
      </w:r>
      <w:proofErr w:type="spellStart"/>
      <w:r>
        <w:rPr>
          <w:color w:val="222222"/>
          <w:sz w:val="23"/>
          <w:szCs w:val="23"/>
        </w:rPr>
        <w:t>Revision</w:t>
      </w:r>
      <w:proofErr w:type="spellEnd"/>
      <w:r>
        <w:rPr>
          <w:color w:val="222222"/>
          <w:sz w:val="23"/>
          <w:szCs w:val="23"/>
        </w:rPr>
        <w:t xml:space="preserve"> (DSM-5-TR). </w:t>
      </w:r>
      <w:proofErr w:type="spellStart"/>
      <w:r>
        <w:rPr>
          <w:color w:val="222222"/>
          <w:sz w:val="23"/>
          <w:szCs w:val="23"/>
        </w:rPr>
        <w:t>Washington</w:t>
      </w:r>
      <w:proofErr w:type="spellEnd"/>
      <w:r>
        <w:rPr>
          <w:color w:val="222222"/>
          <w:sz w:val="23"/>
          <w:szCs w:val="23"/>
        </w:rPr>
        <w:t xml:space="preserve">, DC: </w:t>
      </w:r>
      <w:proofErr w:type="spellStart"/>
      <w:r>
        <w:rPr>
          <w:color w:val="222222"/>
          <w:sz w:val="23"/>
          <w:szCs w:val="23"/>
        </w:rPr>
        <w:t>American</w:t>
      </w:r>
      <w:proofErr w:type="spellEnd"/>
      <w:r>
        <w:rPr>
          <w:color w:val="222222"/>
          <w:sz w:val="23"/>
          <w:szCs w:val="23"/>
        </w:rPr>
        <w:t xml:space="preserve"> </w:t>
      </w:r>
      <w:proofErr w:type="spellStart"/>
      <w:r>
        <w:rPr>
          <w:color w:val="222222"/>
          <w:sz w:val="23"/>
          <w:szCs w:val="23"/>
        </w:rPr>
        <w:t>Psychiatric</w:t>
      </w:r>
      <w:proofErr w:type="spellEnd"/>
      <w:r>
        <w:rPr>
          <w:color w:val="222222"/>
          <w:sz w:val="23"/>
          <w:szCs w:val="23"/>
        </w:rPr>
        <w:t xml:space="preserve"> </w:t>
      </w:r>
      <w:proofErr w:type="spellStart"/>
      <w:r>
        <w:rPr>
          <w:color w:val="222222"/>
          <w:sz w:val="23"/>
          <w:szCs w:val="23"/>
        </w:rPr>
        <w:t>Publishing</w:t>
      </w:r>
      <w:proofErr w:type="spellEnd"/>
      <w:r>
        <w:rPr>
          <w:color w:val="222222"/>
          <w:sz w:val="23"/>
          <w:szCs w:val="23"/>
        </w:rPr>
        <w:t>.</w:t>
      </w:r>
    </w:p>
    <w:p w14:paraId="35CC84B0" w14:textId="77777777" w:rsidR="005A6F55" w:rsidRDefault="00000000">
      <w:pPr>
        <w:spacing w:after="100"/>
        <w:ind w:right="300" w:hanging="300"/>
        <w:jc w:val="right"/>
      </w:pPr>
      <w:r>
        <w:rPr>
          <w:color w:val="222222"/>
          <w:sz w:val="23"/>
          <w:szCs w:val="23"/>
        </w:rPr>
        <w:t xml:space="preserve">6. </w:t>
      </w:r>
      <w:proofErr w:type="spellStart"/>
      <w:r>
        <w:rPr>
          <w:color w:val="222222"/>
          <w:sz w:val="23"/>
          <w:szCs w:val="23"/>
        </w:rPr>
        <w:t>World</w:t>
      </w:r>
      <w:proofErr w:type="spellEnd"/>
      <w:r>
        <w:rPr>
          <w:color w:val="222222"/>
          <w:sz w:val="23"/>
          <w:szCs w:val="23"/>
        </w:rPr>
        <w:t xml:space="preserve"> </w:t>
      </w:r>
      <w:proofErr w:type="spellStart"/>
      <w:r>
        <w:rPr>
          <w:color w:val="222222"/>
          <w:sz w:val="23"/>
          <w:szCs w:val="23"/>
        </w:rPr>
        <w:t>Health</w:t>
      </w:r>
      <w:proofErr w:type="spellEnd"/>
      <w:r>
        <w:rPr>
          <w:color w:val="222222"/>
          <w:sz w:val="23"/>
          <w:szCs w:val="23"/>
        </w:rPr>
        <w:t xml:space="preserve"> </w:t>
      </w:r>
      <w:proofErr w:type="spellStart"/>
      <w:r>
        <w:rPr>
          <w:color w:val="222222"/>
          <w:sz w:val="23"/>
          <w:szCs w:val="23"/>
        </w:rPr>
        <w:t>Organization</w:t>
      </w:r>
      <w:proofErr w:type="spellEnd"/>
      <w:r>
        <w:rPr>
          <w:color w:val="222222"/>
          <w:sz w:val="23"/>
          <w:szCs w:val="23"/>
        </w:rPr>
        <w:t xml:space="preserve">. (2019). </w:t>
      </w:r>
      <w:proofErr w:type="spellStart"/>
      <w:r>
        <w:rPr>
          <w:color w:val="222222"/>
          <w:sz w:val="23"/>
          <w:szCs w:val="23"/>
        </w:rPr>
        <w:t>International</w:t>
      </w:r>
      <w:proofErr w:type="spellEnd"/>
      <w:r>
        <w:rPr>
          <w:color w:val="222222"/>
          <w:sz w:val="23"/>
          <w:szCs w:val="23"/>
        </w:rPr>
        <w:t xml:space="preserve"> </w:t>
      </w:r>
      <w:proofErr w:type="spellStart"/>
      <w:r>
        <w:rPr>
          <w:color w:val="222222"/>
          <w:sz w:val="23"/>
          <w:szCs w:val="23"/>
        </w:rPr>
        <w:t>Classification</w:t>
      </w:r>
      <w:proofErr w:type="spellEnd"/>
      <w:r>
        <w:rPr>
          <w:color w:val="222222"/>
          <w:sz w:val="23"/>
          <w:szCs w:val="23"/>
        </w:rPr>
        <w:t xml:space="preserve"> </w:t>
      </w:r>
      <w:proofErr w:type="spellStart"/>
      <w:r>
        <w:rPr>
          <w:color w:val="222222"/>
          <w:sz w:val="23"/>
          <w:szCs w:val="23"/>
        </w:rPr>
        <w:t>of</w:t>
      </w:r>
      <w:proofErr w:type="spellEnd"/>
      <w:r>
        <w:rPr>
          <w:color w:val="222222"/>
          <w:sz w:val="23"/>
          <w:szCs w:val="23"/>
        </w:rPr>
        <w:t xml:space="preserve"> </w:t>
      </w:r>
      <w:proofErr w:type="spellStart"/>
      <w:r>
        <w:rPr>
          <w:color w:val="222222"/>
          <w:sz w:val="23"/>
          <w:szCs w:val="23"/>
        </w:rPr>
        <w:t>Diseases</w:t>
      </w:r>
      <w:proofErr w:type="spellEnd"/>
      <w:r>
        <w:rPr>
          <w:color w:val="222222"/>
          <w:sz w:val="23"/>
          <w:szCs w:val="23"/>
        </w:rPr>
        <w:t xml:space="preserve">, </w:t>
      </w:r>
      <w:proofErr w:type="spellStart"/>
      <w:r>
        <w:rPr>
          <w:color w:val="222222"/>
          <w:sz w:val="23"/>
          <w:szCs w:val="23"/>
        </w:rPr>
        <w:t>Eleventh</w:t>
      </w:r>
      <w:proofErr w:type="spellEnd"/>
      <w:r>
        <w:rPr>
          <w:color w:val="222222"/>
          <w:sz w:val="23"/>
          <w:szCs w:val="23"/>
        </w:rPr>
        <w:t xml:space="preserve"> </w:t>
      </w:r>
      <w:proofErr w:type="spellStart"/>
      <w:r>
        <w:rPr>
          <w:color w:val="222222"/>
          <w:sz w:val="23"/>
          <w:szCs w:val="23"/>
        </w:rPr>
        <w:t>Revision</w:t>
      </w:r>
      <w:proofErr w:type="spellEnd"/>
      <w:r>
        <w:rPr>
          <w:color w:val="222222"/>
          <w:sz w:val="23"/>
          <w:szCs w:val="23"/>
        </w:rPr>
        <w:t xml:space="preserve"> (ICD-11).</w:t>
      </w:r>
    </w:p>
    <w:p w14:paraId="020B2C6F" w14:textId="77777777" w:rsidR="005A6F55" w:rsidRDefault="00000000">
      <w:pPr>
        <w:spacing w:after="100"/>
        <w:ind w:right="300" w:hanging="300"/>
        <w:jc w:val="right"/>
      </w:pPr>
      <w:r>
        <w:rPr>
          <w:color w:val="222222"/>
          <w:sz w:val="23"/>
          <w:szCs w:val="23"/>
        </w:rPr>
        <w:t xml:space="preserve">7. </w:t>
      </w:r>
      <w:proofErr w:type="spellStart"/>
      <w:r>
        <w:rPr>
          <w:color w:val="222222"/>
          <w:sz w:val="23"/>
          <w:szCs w:val="23"/>
        </w:rPr>
        <w:t>McWilliams</w:t>
      </w:r>
      <w:proofErr w:type="spellEnd"/>
      <w:r>
        <w:rPr>
          <w:color w:val="222222"/>
          <w:sz w:val="23"/>
          <w:szCs w:val="23"/>
        </w:rPr>
        <w:t xml:space="preserve">, N. (2011). </w:t>
      </w:r>
      <w:proofErr w:type="spellStart"/>
      <w:r>
        <w:rPr>
          <w:color w:val="222222"/>
          <w:sz w:val="23"/>
          <w:szCs w:val="23"/>
        </w:rPr>
        <w:t>Psychoanalytic</w:t>
      </w:r>
      <w:proofErr w:type="spellEnd"/>
      <w:r>
        <w:rPr>
          <w:color w:val="222222"/>
          <w:sz w:val="23"/>
          <w:szCs w:val="23"/>
        </w:rPr>
        <w:t xml:space="preserve"> </w:t>
      </w:r>
      <w:proofErr w:type="spellStart"/>
      <w:r>
        <w:rPr>
          <w:color w:val="222222"/>
          <w:sz w:val="23"/>
          <w:szCs w:val="23"/>
        </w:rPr>
        <w:t>Diagnosis</w:t>
      </w:r>
      <w:proofErr w:type="spellEnd"/>
      <w:r>
        <w:rPr>
          <w:color w:val="222222"/>
          <w:sz w:val="23"/>
          <w:szCs w:val="23"/>
        </w:rPr>
        <w:t xml:space="preserve">: </w:t>
      </w:r>
      <w:proofErr w:type="spellStart"/>
      <w:r>
        <w:rPr>
          <w:color w:val="222222"/>
          <w:sz w:val="23"/>
          <w:szCs w:val="23"/>
        </w:rPr>
        <w:t>Understanding</w:t>
      </w:r>
      <w:proofErr w:type="spellEnd"/>
      <w:r>
        <w:rPr>
          <w:color w:val="222222"/>
          <w:sz w:val="23"/>
          <w:szCs w:val="23"/>
        </w:rPr>
        <w:t xml:space="preserve"> </w:t>
      </w:r>
      <w:proofErr w:type="spellStart"/>
      <w:r>
        <w:rPr>
          <w:color w:val="222222"/>
          <w:sz w:val="23"/>
          <w:szCs w:val="23"/>
        </w:rPr>
        <w:t>Personality</w:t>
      </w:r>
      <w:proofErr w:type="spellEnd"/>
      <w:r>
        <w:rPr>
          <w:color w:val="222222"/>
          <w:sz w:val="23"/>
          <w:szCs w:val="23"/>
        </w:rPr>
        <w:t xml:space="preserve"> </w:t>
      </w:r>
      <w:proofErr w:type="spellStart"/>
      <w:r>
        <w:rPr>
          <w:color w:val="222222"/>
          <w:sz w:val="23"/>
          <w:szCs w:val="23"/>
        </w:rPr>
        <w:t>Structure</w:t>
      </w:r>
      <w:proofErr w:type="spellEnd"/>
      <w:r>
        <w:rPr>
          <w:color w:val="222222"/>
          <w:sz w:val="23"/>
          <w:szCs w:val="23"/>
        </w:rPr>
        <w:t xml:space="preserve"> </w:t>
      </w:r>
      <w:proofErr w:type="spellStart"/>
      <w:r>
        <w:rPr>
          <w:color w:val="222222"/>
          <w:sz w:val="23"/>
          <w:szCs w:val="23"/>
        </w:rPr>
        <w:t>in</w:t>
      </w:r>
      <w:proofErr w:type="spellEnd"/>
      <w:r>
        <w:rPr>
          <w:color w:val="222222"/>
          <w:sz w:val="23"/>
          <w:szCs w:val="23"/>
        </w:rPr>
        <w:t xml:space="preserve"> </w:t>
      </w:r>
      <w:proofErr w:type="spellStart"/>
      <w:r>
        <w:rPr>
          <w:color w:val="222222"/>
          <w:sz w:val="23"/>
          <w:szCs w:val="23"/>
        </w:rPr>
        <w:t>the</w:t>
      </w:r>
      <w:proofErr w:type="spellEnd"/>
      <w:r>
        <w:rPr>
          <w:color w:val="222222"/>
          <w:sz w:val="23"/>
          <w:szCs w:val="23"/>
        </w:rPr>
        <w:t xml:space="preserve"> </w:t>
      </w:r>
      <w:proofErr w:type="spellStart"/>
      <w:r>
        <w:rPr>
          <w:color w:val="222222"/>
          <w:sz w:val="23"/>
          <w:szCs w:val="23"/>
        </w:rPr>
        <w:t>Clinical</w:t>
      </w:r>
      <w:proofErr w:type="spellEnd"/>
      <w:r>
        <w:rPr>
          <w:color w:val="222222"/>
          <w:sz w:val="23"/>
          <w:szCs w:val="23"/>
        </w:rPr>
        <w:t xml:space="preserve"> </w:t>
      </w:r>
      <w:proofErr w:type="spellStart"/>
      <w:r>
        <w:rPr>
          <w:color w:val="222222"/>
          <w:sz w:val="23"/>
          <w:szCs w:val="23"/>
        </w:rPr>
        <w:t>Process</w:t>
      </w:r>
      <w:proofErr w:type="spellEnd"/>
      <w:r>
        <w:rPr>
          <w:color w:val="222222"/>
          <w:sz w:val="23"/>
          <w:szCs w:val="23"/>
        </w:rPr>
        <w:t xml:space="preserve"> (2nd </w:t>
      </w:r>
      <w:proofErr w:type="spellStart"/>
      <w:r>
        <w:rPr>
          <w:color w:val="222222"/>
          <w:sz w:val="23"/>
          <w:szCs w:val="23"/>
        </w:rPr>
        <w:t>ed</w:t>
      </w:r>
      <w:proofErr w:type="spellEnd"/>
      <w:r>
        <w:rPr>
          <w:color w:val="222222"/>
          <w:sz w:val="23"/>
          <w:szCs w:val="23"/>
        </w:rPr>
        <w:t xml:space="preserve">.). </w:t>
      </w:r>
      <w:proofErr w:type="spellStart"/>
      <w:r>
        <w:rPr>
          <w:color w:val="222222"/>
          <w:sz w:val="23"/>
          <w:szCs w:val="23"/>
        </w:rPr>
        <w:t>New</w:t>
      </w:r>
      <w:proofErr w:type="spellEnd"/>
      <w:r>
        <w:rPr>
          <w:color w:val="222222"/>
          <w:sz w:val="23"/>
          <w:szCs w:val="23"/>
        </w:rPr>
        <w:t xml:space="preserve"> </w:t>
      </w:r>
      <w:proofErr w:type="spellStart"/>
      <w:r>
        <w:rPr>
          <w:color w:val="222222"/>
          <w:sz w:val="23"/>
          <w:szCs w:val="23"/>
        </w:rPr>
        <w:t>York</w:t>
      </w:r>
      <w:proofErr w:type="spellEnd"/>
      <w:r>
        <w:rPr>
          <w:color w:val="222222"/>
          <w:sz w:val="23"/>
          <w:szCs w:val="23"/>
        </w:rPr>
        <w:t xml:space="preserve">: </w:t>
      </w:r>
      <w:proofErr w:type="spellStart"/>
      <w:r>
        <w:rPr>
          <w:color w:val="222222"/>
          <w:sz w:val="23"/>
          <w:szCs w:val="23"/>
        </w:rPr>
        <w:t>The</w:t>
      </w:r>
      <w:proofErr w:type="spellEnd"/>
      <w:r>
        <w:rPr>
          <w:color w:val="222222"/>
          <w:sz w:val="23"/>
          <w:szCs w:val="23"/>
        </w:rPr>
        <w:t xml:space="preserve"> </w:t>
      </w:r>
      <w:proofErr w:type="spellStart"/>
      <w:r>
        <w:rPr>
          <w:color w:val="222222"/>
          <w:sz w:val="23"/>
          <w:szCs w:val="23"/>
        </w:rPr>
        <w:t>Guilford</w:t>
      </w:r>
      <w:proofErr w:type="spellEnd"/>
      <w:r>
        <w:rPr>
          <w:color w:val="222222"/>
          <w:sz w:val="23"/>
          <w:szCs w:val="23"/>
        </w:rPr>
        <w:t xml:space="preserve"> </w:t>
      </w:r>
      <w:proofErr w:type="spellStart"/>
      <w:r>
        <w:rPr>
          <w:color w:val="222222"/>
          <w:sz w:val="23"/>
          <w:szCs w:val="23"/>
        </w:rPr>
        <w:t>Press</w:t>
      </w:r>
      <w:proofErr w:type="spellEnd"/>
      <w:r>
        <w:rPr>
          <w:color w:val="222222"/>
          <w:sz w:val="23"/>
          <w:szCs w:val="23"/>
        </w:rPr>
        <w:t>.</w:t>
      </w:r>
    </w:p>
    <w:p w14:paraId="01B43F4C" w14:textId="77777777" w:rsidR="005A6F55" w:rsidRDefault="00000000">
      <w:pPr>
        <w:pStyle w:val="2"/>
        <w:bidi/>
        <w:spacing w:before="300" w:after="160"/>
        <w:jc w:val="right"/>
      </w:pPr>
      <w:r>
        <w:rPr>
          <w:b/>
          <w:bCs/>
          <w:color w:val="0F6674"/>
          <w:sz w:val="28"/>
          <w:szCs w:val="28"/>
        </w:rPr>
        <w:t>ثالثاً: مراجع في العلاج السلوكي المعرفي والاضطرابات الاندفاعية</w:t>
      </w:r>
    </w:p>
    <w:p w14:paraId="7AECF716" w14:textId="77777777" w:rsidR="005A6F55" w:rsidRDefault="00000000">
      <w:pPr>
        <w:spacing w:after="100"/>
        <w:ind w:right="300" w:hanging="300"/>
        <w:jc w:val="right"/>
      </w:pPr>
      <w:r>
        <w:rPr>
          <w:color w:val="222222"/>
          <w:sz w:val="23"/>
          <w:szCs w:val="23"/>
        </w:rPr>
        <w:t xml:space="preserve">8. </w:t>
      </w:r>
      <w:proofErr w:type="spellStart"/>
      <w:r>
        <w:rPr>
          <w:color w:val="222222"/>
          <w:sz w:val="23"/>
          <w:szCs w:val="23"/>
        </w:rPr>
        <w:t>Beck</w:t>
      </w:r>
      <w:proofErr w:type="spellEnd"/>
      <w:r>
        <w:rPr>
          <w:color w:val="222222"/>
          <w:sz w:val="23"/>
          <w:szCs w:val="23"/>
        </w:rPr>
        <w:t xml:space="preserve">, A. T. (1976). </w:t>
      </w:r>
      <w:proofErr w:type="spellStart"/>
      <w:r>
        <w:rPr>
          <w:color w:val="222222"/>
          <w:sz w:val="23"/>
          <w:szCs w:val="23"/>
        </w:rPr>
        <w:t>Cognitive</w:t>
      </w:r>
      <w:proofErr w:type="spellEnd"/>
      <w:r>
        <w:rPr>
          <w:color w:val="222222"/>
          <w:sz w:val="23"/>
          <w:szCs w:val="23"/>
        </w:rPr>
        <w:t xml:space="preserve"> </w:t>
      </w:r>
      <w:proofErr w:type="spellStart"/>
      <w:r>
        <w:rPr>
          <w:color w:val="222222"/>
          <w:sz w:val="23"/>
          <w:szCs w:val="23"/>
        </w:rPr>
        <w:t>Therapy</w:t>
      </w:r>
      <w:proofErr w:type="spellEnd"/>
      <w:r>
        <w:rPr>
          <w:color w:val="222222"/>
          <w:sz w:val="23"/>
          <w:szCs w:val="23"/>
        </w:rPr>
        <w:t xml:space="preserve"> </w:t>
      </w:r>
      <w:proofErr w:type="spellStart"/>
      <w:r>
        <w:rPr>
          <w:color w:val="222222"/>
          <w:sz w:val="23"/>
          <w:szCs w:val="23"/>
        </w:rPr>
        <w:t>and</w:t>
      </w:r>
      <w:proofErr w:type="spellEnd"/>
      <w:r>
        <w:rPr>
          <w:color w:val="222222"/>
          <w:sz w:val="23"/>
          <w:szCs w:val="23"/>
        </w:rPr>
        <w:t xml:space="preserve"> </w:t>
      </w:r>
      <w:proofErr w:type="spellStart"/>
      <w:r>
        <w:rPr>
          <w:color w:val="222222"/>
          <w:sz w:val="23"/>
          <w:szCs w:val="23"/>
        </w:rPr>
        <w:t>the</w:t>
      </w:r>
      <w:proofErr w:type="spellEnd"/>
      <w:r>
        <w:rPr>
          <w:color w:val="222222"/>
          <w:sz w:val="23"/>
          <w:szCs w:val="23"/>
        </w:rPr>
        <w:t xml:space="preserve"> </w:t>
      </w:r>
      <w:proofErr w:type="spellStart"/>
      <w:r>
        <w:rPr>
          <w:color w:val="222222"/>
          <w:sz w:val="23"/>
          <w:szCs w:val="23"/>
        </w:rPr>
        <w:t>Emotional</w:t>
      </w:r>
      <w:proofErr w:type="spellEnd"/>
      <w:r>
        <w:rPr>
          <w:color w:val="222222"/>
          <w:sz w:val="23"/>
          <w:szCs w:val="23"/>
        </w:rPr>
        <w:t xml:space="preserve"> </w:t>
      </w:r>
      <w:proofErr w:type="spellStart"/>
      <w:r>
        <w:rPr>
          <w:color w:val="222222"/>
          <w:sz w:val="23"/>
          <w:szCs w:val="23"/>
        </w:rPr>
        <w:t>Disorders</w:t>
      </w:r>
      <w:proofErr w:type="spellEnd"/>
      <w:r>
        <w:rPr>
          <w:color w:val="222222"/>
          <w:sz w:val="23"/>
          <w:szCs w:val="23"/>
        </w:rPr>
        <w:t xml:space="preserve">. </w:t>
      </w:r>
      <w:proofErr w:type="spellStart"/>
      <w:r>
        <w:rPr>
          <w:color w:val="222222"/>
          <w:sz w:val="23"/>
          <w:szCs w:val="23"/>
        </w:rPr>
        <w:t>New</w:t>
      </w:r>
      <w:proofErr w:type="spellEnd"/>
      <w:r>
        <w:rPr>
          <w:color w:val="222222"/>
          <w:sz w:val="23"/>
          <w:szCs w:val="23"/>
        </w:rPr>
        <w:t xml:space="preserve"> </w:t>
      </w:r>
      <w:proofErr w:type="spellStart"/>
      <w:r>
        <w:rPr>
          <w:color w:val="222222"/>
          <w:sz w:val="23"/>
          <w:szCs w:val="23"/>
        </w:rPr>
        <w:t>York</w:t>
      </w:r>
      <w:proofErr w:type="spellEnd"/>
      <w:r>
        <w:rPr>
          <w:color w:val="222222"/>
          <w:sz w:val="23"/>
          <w:szCs w:val="23"/>
        </w:rPr>
        <w:t xml:space="preserve">: </w:t>
      </w:r>
      <w:proofErr w:type="spellStart"/>
      <w:r>
        <w:rPr>
          <w:color w:val="222222"/>
          <w:sz w:val="23"/>
          <w:szCs w:val="23"/>
        </w:rPr>
        <w:t>International</w:t>
      </w:r>
      <w:proofErr w:type="spellEnd"/>
      <w:r>
        <w:rPr>
          <w:color w:val="222222"/>
          <w:sz w:val="23"/>
          <w:szCs w:val="23"/>
        </w:rPr>
        <w:t xml:space="preserve"> </w:t>
      </w:r>
      <w:proofErr w:type="spellStart"/>
      <w:r>
        <w:rPr>
          <w:color w:val="222222"/>
          <w:sz w:val="23"/>
          <w:szCs w:val="23"/>
        </w:rPr>
        <w:t>Universities</w:t>
      </w:r>
      <w:proofErr w:type="spellEnd"/>
      <w:r>
        <w:rPr>
          <w:color w:val="222222"/>
          <w:sz w:val="23"/>
          <w:szCs w:val="23"/>
        </w:rPr>
        <w:t xml:space="preserve"> </w:t>
      </w:r>
      <w:proofErr w:type="spellStart"/>
      <w:r>
        <w:rPr>
          <w:color w:val="222222"/>
          <w:sz w:val="23"/>
          <w:szCs w:val="23"/>
        </w:rPr>
        <w:t>Press</w:t>
      </w:r>
      <w:proofErr w:type="spellEnd"/>
      <w:r>
        <w:rPr>
          <w:color w:val="222222"/>
          <w:sz w:val="23"/>
          <w:szCs w:val="23"/>
        </w:rPr>
        <w:t>.</w:t>
      </w:r>
    </w:p>
    <w:p w14:paraId="6FD00BD5" w14:textId="77777777" w:rsidR="005A6F55" w:rsidRDefault="00000000">
      <w:pPr>
        <w:spacing w:after="100"/>
        <w:ind w:right="300" w:hanging="300"/>
        <w:jc w:val="right"/>
      </w:pPr>
      <w:r>
        <w:rPr>
          <w:color w:val="222222"/>
          <w:sz w:val="23"/>
          <w:szCs w:val="23"/>
        </w:rPr>
        <w:t xml:space="preserve">9. </w:t>
      </w:r>
      <w:proofErr w:type="spellStart"/>
      <w:r>
        <w:rPr>
          <w:color w:val="222222"/>
          <w:sz w:val="23"/>
          <w:szCs w:val="23"/>
        </w:rPr>
        <w:t>Young</w:t>
      </w:r>
      <w:proofErr w:type="spellEnd"/>
      <w:r>
        <w:rPr>
          <w:color w:val="222222"/>
          <w:sz w:val="23"/>
          <w:szCs w:val="23"/>
        </w:rPr>
        <w:t xml:space="preserve">, J. E., </w:t>
      </w:r>
      <w:proofErr w:type="spellStart"/>
      <w:r>
        <w:rPr>
          <w:color w:val="222222"/>
          <w:sz w:val="23"/>
          <w:szCs w:val="23"/>
        </w:rPr>
        <w:t>Klosko</w:t>
      </w:r>
      <w:proofErr w:type="spellEnd"/>
      <w:r>
        <w:rPr>
          <w:color w:val="222222"/>
          <w:sz w:val="23"/>
          <w:szCs w:val="23"/>
        </w:rPr>
        <w:t xml:space="preserve">, J. S., &amp; </w:t>
      </w:r>
      <w:proofErr w:type="spellStart"/>
      <w:r>
        <w:rPr>
          <w:color w:val="222222"/>
          <w:sz w:val="23"/>
          <w:szCs w:val="23"/>
        </w:rPr>
        <w:t>Weishaar</w:t>
      </w:r>
      <w:proofErr w:type="spellEnd"/>
      <w:r>
        <w:rPr>
          <w:color w:val="222222"/>
          <w:sz w:val="23"/>
          <w:szCs w:val="23"/>
        </w:rPr>
        <w:t xml:space="preserve">, M. E. (2003). </w:t>
      </w:r>
      <w:proofErr w:type="spellStart"/>
      <w:r>
        <w:rPr>
          <w:color w:val="222222"/>
          <w:sz w:val="23"/>
          <w:szCs w:val="23"/>
        </w:rPr>
        <w:t>Schema</w:t>
      </w:r>
      <w:proofErr w:type="spellEnd"/>
      <w:r>
        <w:rPr>
          <w:color w:val="222222"/>
          <w:sz w:val="23"/>
          <w:szCs w:val="23"/>
        </w:rPr>
        <w:t xml:space="preserve"> </w:t>
      </w:r>
      <w:proofErr w:type="spellStart"/>
      <w:r>
        <w:rPr>
          <w:color w:val="222222"/>
          <w:sz w:val="23"/>
          <w:szCs w:val="23"/>
        </w:rPr>
        <w:t>Therapy</w:t>
      </w:r>
      <w:proofErr w:type="spellEnd"/>
      <w:r>
        <w:rPr>
          <w:color w:val="222222"/>
          <w:sz w:val="23"/>
          <w:szCs w:val="23"/>
        </w:rPr>
        <w:t xml:space="preserve">: A </w:t>
      </w:r>
      <w:proofErr w:type="spellStart"/>
      <w:r>
        <w:rPr>
          <w:color w:val="222222"/>
          <w:sz w:val="23"/>
          <w:szCs w:val="23"/>
        </w:rPr>
        <w:t>Practitioner's</w:t>
      </w:r>
      <w:proofErr w:type="spellEnd"/>
      <w:r>
        <w:rPr>
          <w:color w:val="222222"/>
          <w:sz w:val="23"/>
          <w:szCs w:val="23"/>
        </w:rPr>
        <w:t xml:space="preserve"> </w:t>
      </w:r>
      <w:proofErr w:type="spellStart"/>
      <w:r>
        <w:rPr>
          <w:color w:val="222222"/>
          <w:sz w:val="23"/>
          <w:szCs w:val="23"/>
        </w:rPr>
        <w:t>Guide</w:t>
      </w:r>
      <w:proofErr w:type="spellEnd"/>
      <w:r>
        <w:rPr>
          <w:color w:val="222222"/>
          <w:sz w:val="23"/>
          <w:szCs w:val="23"/>
        </w:rPr>
        <w:t xml:space="preserve">. </w:t>
      </w:r>
      <w:proofErr w:type="spellStart"/>
      <w:r>
        <w:rPr>
          <w:color w:val="222222"/>
          <w:sz w:val="23"/>
          <w:szCs w:val="23"/>
        </w:rPr>
        <w:t>New</w:t>
      </w:r>
      <w:proofErr w:type="spellEnd"/>
      <w:r>
        <w:rPr>
          <w:color w:val="222222"/>
          <w:sz w:val="23"/>
          <w:szCs w:val="23"/>
        </w:rPr>
        <w:t xml:space="preserve"> </w:t>
      </w:r>
      <w:proofErr w:type="spellStart"/>
      <w:r>
        <w:rPr>
          <w:color w:val="222222"/>
          <w:sz w:val="23"/>
          <w:szCs w:val="23"/>
        </w:rPr>
        <w:t>York</w:t>
      </w:r>
      <w:proofErr w:type="spellEnd"/>
      <w:r>
        <w:rPr>
          <w:color w:val="222222"/>
          <w:sz w:val="23"/>
          <w:szCs w:val="23"/>
        </w:rPr>
        <w:t xml:space="preserve">: </w:t>
      </w:r>
      <w:proofErr w:type="spellStart"/>
      <w:r>
        <w:rPr>
          <w:color w:val="222222"/>
          <w:sz w:val="23"/>
          <w:szCs w:val="23"/>
        </w:rPr>
        <w:t>The</w:t>
      </w:r>
      <w:proofErr w:type="spellEnd"/>
      <w:r>
        <w:rPr>
          <w:color w:val="222222"/>
          <w:sz w:val="23"/>
          <w:szCs w:val="23"/>
        </w:rPr>
        <w:t xml:space="preserve"> </w:t>
      </w:r>
      <w:proofErr w:type="spellStart"/>
      <w:r>
        <w:rPr>
          <w:color w:val="222222"/>
          <w:sz w:val="23"/>
          <w:szCs w:val="23"/>
        </w:rPr>
        <w:t>Guilford</w:t>
      </w:r>
      <w:proofErr w:type="spellEnd"/>
      <w:r>
        <w:rPr>
          <w:color w:val="222222"/>
          <w:sz w:val="23"/>
          <w:szCs w:val="23"/>
        </w:rPr>
        <w:t xml:space="preserve"> </w:t>
      </w:r>
      <w:proofErr w:type="spellStart"/>
      <w:r>
        <w:rPr>
          <w:color w:val="222222"/>
          <w:sz w:val="23"/>
          <w:szCs w:val="23"/>
        </w:rPr>
        <w:t>Press</w:t>
      </w:r>
      <w:proofErr w:type="spellEnd"/>
      <w:r>
        <w:rPr>
          <w:color w:val="222222"/>
          <w:sz w:val="23"/>
          <w:szCs w:val="23"/>
        </w:rPr>
        <w:t>.</w:t>
      </w:r>
    </w:p>
    <w:p w14:paraId="1B62E4E4" w14:textId="77777777" w:rsidR="005A6F55" w:rsidRDefault="00000000">
      <w:pPr>
        <w:spacing w:after="100"/>
        <w:ind w:right="300" w:hanging="300"/>
        <w:jc w:val="right"/>
      </w:pPr>
      <w:r>
        <w:rPr>
          <w:color w:val="222222"/>
          <w:sz w:val="23"/>
          <w:szCs w:val="23"/>
        </w:rPr>
        <w:t xml:space="preserve">10. </w:t>
      </w:r>
      <w:proofErr w:type="spellStart"/>
      <w:r>
        <w:rPr>
          <w:color w:val="222222"/>
          <w:sz w:val="23"/>
          <w:szCs w:val="23"/>
        </w:rPr>
        <w:t>Barkley</w:t>
      </w:r>
      <w:proofErr w:type="spellEnd"/>
      <w:r>
        <w:rPr>
          <w:color w:val="222222"/>
          <w:sz w:val="23"/>
          <w:szCs w:val="23"/>
        </w:rPr>
        <w:t xml:space="preserve">, R. A. (2012). </w:t>
      </w:r>
      <w:proofErr w:type="spellStart"/>
      <w:r>
        <w:rPr>
          <w:color w:val="222222"/>
          <w:sz w:val="23"/>
          <w:szCs w:val="23"/>
        </w:rPr>
        <w:t>Executive</w:t>
      </w:r>
      <w:proofErr w:type="spellEnd"/>
      <w:r>
        <w:rPr>
          <w:color w:val="222222"/>
          <w:sz w:val="23"/>
          <w:szCs w:val="23"/>
        </w:rPr>
        <w:t xml:space="preserve"> </w:t>
      </w:r>
      <w:proofErr w:type="spellStart"/>
      <w:r>
        <w:rPr>
          <w:color w:val="222222"/>
          <w:sz w:val="23"/>
          <w:szCs w:val="23"/>
        </w:rPr>
        <w:t>Functions</w:t>
      </w:r>
      <w:proofErr w:type="spellEnd"/>
      <w:r>
        <w:rPr>
          <w:color w:val="222222"/>
          <w:sz w:val="23"/>
          <w:szCs w:val="23"/>
        </w:rPr>
        <w:t xml:space="preserve">: </w:t>
      </w:r>
      <w:proofErr w:type="spellStart"/>
      <w:r>
        <w:rPr>
          <w:color w:val="222222"/>
          <w:sz w:val="23"/>
          <w:szCs w:val="23"/>
        </w:rPr>
        <w:t>What</w:t>
      </w:r>
      <w:proofErr w:type="spellEnd"/>
      <w:r>
        <w:rPr>
          <w:color w:val="222222"/>
          <w:sz w:val="23"/>
          <w:szCs w:val="23"/>
        </w:rPr>
        <w:t xml:space="preserve"> </w:t>
      </w:r>
      <w:proofErr w:type="spellStart"/>
      <w:r>
        <w:rPr>
          <w:color w:val="222222"/>
          <w:sz w:val="23"/>
          <w:szCs w:val="23"/>
        </w:rPr>
        <w:t>They</w:t>
      </w:r>
      <w:proofErr w:type="spellEnd"/>
      <w:r>
        <w:rPr>
          <w:color w:val="222222"/>
          <w:sz w:val="23"/>
          <w:szCs w:val="23"/>
        </w:rPr>
        <w:t xml:space="preserve"> </w:t>
      </w:r>
      <w:proofErr w:type="spellStart"/>
      <w:r>
        <w:rPr>
          <w:color w:val="222222"/>
          <w:sz w:val="23"/>
          <w:szCs w:val="23"/>
        </w:rPr>
        <w:t>Are</w:t>
      </w:r>
      <w:proofErr w:type="spellEnd"/>
      <w:r>
        <w:rPr>
          <w:color w:val="222222"/>
          <w:sz w:val="23"/>
          <w:szCs w:val="23"/>
        </w:rPr>
        <w:t xml:space="preserve">, </w:t>
      </w:r>
      <w:proofErr w:type="spellStart"/>
      <w:r>
        <w:rPr>
          <w:color w:val="222222"/>
          <w:sz w:val="23"/>
          <w:szCs w:val="23"/>
        </w:rPr>
        <w:t>How</w:t>
      </w:r>
      <w:proofErr w:type="spellEnd"/>
      <w:r>
        <w:rPr>
          <w:color w:val="222222"/>
          <w:sz w:val="23"/>
          <w:szCs w:val="23"/>
        </w:rPr>
        <w:t xml:space="preserve"> </w:t>
      </w:r>
      <w:proofErr w:type="spellStart"/>
      <w:r>
        <w:rPr>
          <w:color w:val="222222"/>
          <w:sz w:val="23"/>
          <w:szCs w:val="23"/>
        </w:rPr>
        <w:t>They</w:t>
      </w:r>
      <w:proofErr w:type="spellEnd"/>
      <w:r>
        <w:rPr>
          <w:color w:val="222222"/>
          <w:sz w:val="23"/>
          <w:szCs w:val="23"/>
        </w:rPr>
        <w:t xml:space="preserve"> </w:t>
      </w:r>
      <w:proofErr w:type="spellStart"/>
      <w:r>
        <w:rPr>
          <w:color w:val="222222"/>
          <w:sz w:val="23"/>
          <w:szCs w:val="23"/>
        </w:rPr>
        <w:t>Work</w:t>
      </w:r>
      <w:proofErr w:type="spellEnd"/>
      <w:r>
        <w:rPr>
          <w:color w:val="222222"/>
          <w:sz w:val="23"/>
          <w:szCs w:val="23"/>
        </w:rPr>
        <w:t xml:space="preserve">, </w:t>
      </w:r>
      <w:proofErr w:type="spellStart"/>
      <w:r>
        <w:rPr>
          <w:color w:val="222222"/>
          <w:sz w:val="23"/>
          <w:szCs w:val="23"/>
        </w:rPr>
        <w:t>and</w:t>
      </w:r>
      <w:proofErr w:type="spellEnd"/>
      <w:r>
        <w:rPr>
          <w:color w:val="222222"/>
          <w:sz w:val="23"/>
          <w:szCs w:val="23"/>
        </w:rPr>
        <w:t xml:space="preserve"> </w:t>
      </w:r>
      <w:proofErr w:type="spellStart"/>
      <w:r>
        <w:rPr>
          <w:color w:val="222222"/>
          <w:sz w:val="23"/>
          <w:szCs w:val="23"/>
        </w:rPr>
        <w:t>Why</w:t>
      </w:r>
      <w:proofErr w:type="spellEnd"/>
      <w:r>
        <w:rPr>
          <w:color w:val="222222"/>
          <w:sz w:val="23"/>
          <w:szCs w:val="23"/>
        </w:rPr>
        <w:t xml:space="preserve"> </w:t>
      </w:r>
      <w:proofErr w:type="spellStart"/>
      <w:r>
        <w:rPr>
          <w:color w:val="222222"/>
          <w:sz w:val="23"/>
          <w:szCs w:val="23"/>
        </w:rPr>
        <w:t>They</w:t>
      </w:r>
      <w:proofErr w:type="spellEnd"/>
      <w:r>
        <w:rPr>
          <w:color w:val="222222"/>
          <w:sz w:val="23"/>
          <w:szCs w:val="23"/>
        </w:rPr>
        <w:t xml:space="preserve"> </w:t>
      </w:r>
      <w:proofErr w:type="spellStart"/>
      <w:r>
        <w:rPr>
          <w:color w:val="222222"/>
          <w:sz w:val="23"/>
          <w:szCs w:val="23"/>
        </w:rPr>
        <w:t>Evolved</w:t>
      </w:r>
      <w:proofErr w:type="spellEnd"/>
      <w:r>
        <w:rPr>
          <w:color w:val="222222"/>
          <w:sz w:val="23"/>
          <w:szCs w:val="23"/>
        </w:rPr>
        <w:t xml:space="preserve">. </w:t>
      </w:r>
      <w:proofErr w:type="spellStart"/>
      <w:r>
        <w:rPr>
          <w:color w:val="222222"/>
          <w:sz w:val="23"/>
          <w:szCs w:val="23"/>
        </w:rPr>
        <w:t>New</w:t>
      </w:r>
      <w:proofErr w:type="spellEnd"/>
      <w:r>
        <w:rPr>
          <w:color w:val="222222"/>
          <w:sz w:val="23"/>
          <w:szCs w:val="23"/>
        </w:rPr>
        <w:t xml:space="preserve"> </w:t>
      </w:r>
      <w:proofErr w:type="spellStart"/>
      <w:r>
        <w:rPr>
          <w:color w:val="222222"/>
          <w:sz w:val="23"/>
          <w:szCs w:val="23"/>
        </w:rPr>
        <w:t>York</w:t>
      </w:r>
      <w:proofErr w:type="spellEnd"/>
      <w:r>
        <w:rPr>
          <w:color w:val="222222"/>
          <w:sz w:val="23"/>
          <w:szCs w:val="23"/>
        </w:rPr>
        <w:t xml:space="preserve">: </w:t>
      </w:r>
      <w:proofErr w:type="spellStart"/>
      <w:r>
        <w:rPr>
          <w:color w:val="222222"/>
          <w:sz w:val="23"/>
          <w:szCs w:val="23"/>
        </w:rPr>
        <w:t>The</w:t>
      </w:r>
      <w:proofErr w:type="spellEnd"/>
      <w:r>
        <w:rPr>
          <w:color w:val="222222"/>
          <w:sz w:val="23"/>
          <w:szCs w:val="23"/>
        </w:rPr>
        <w:t xml:space="preserve"> </w:t>
      </w:r>
      <w:proofErr w:type="spellStart"/>
      <w:r>
        <w:rPr>
          <w:color w:val="222222"/>
          <w:sz w:val="23"/>
          <w:szCs w:val="23"/>
        </w:rPr>
        <w:t>Guilford</w:t>
      </w:r>
      <w:proofErr w:type="spellEnd"/>
      <w:r>
        <w:rPr>
          <w:color w:val="222222"/>
          <w:sz w:val="23"/>
          <w:szCs w:val="23"/>
        </w:rPr>
        <w:t xml:space="preserve"> </w:t>
      </w:r>
      <w:proofErr w:type="spellStart"/>
      <w:r>
        <w:rPr>
          <w:color w:val="222222"/>
          <w:sz w:val="23"/>
          <w:szCs w:val="23"/>
        </w:rPr>
        <w:t>Press</w:t>
      </w:r>
      <w:proofErr w:type="spellEnd"/>
      <w:r>
        <w:rPr>
          <w:color w:val="222222"/>
          <w:sz w:val="23"/>
          <w:szCs w:val="23"/>
        </w:rPr>
        <w:t>.</w:t>
      </w:r>
    </w:p>
    <w:p w14:paraId="3BF3B1B4" w14:textId="77777777" w:rsidR="005A6F55" w:rsidRDefault="00000000">
      <w:pPr>
        <w:spacing w:after="100"/>
        <w:ind w:right="300" w:hanging="300"/>
        <w:jc w:val="right"/>
      </w:pPr>
      <w:r>
        <w:rPr>
          <w:color w:val="222222"/>
          <w:sz w:val="23"/>
          <w:szCs w:val="23"/>
        </w:rPr>
        <w:t xml:space="preserve">11. </w:t>
      </w:r>
      <w:proofErr w:type="spellStart"/>
      <w:r>
        <w:rPr>
          <w:color w:val="222222"/>
          <w:sz w:val="23"/>
          <w:szCs w:val="23"/>
        </w:rPr>
        <w:t>Skinner</w:t>
      </w:r>
      <w:proofErr w:type="spellEnd"/>
      <w:r>
        <w:rPr>
          <w:color w:val="222222"/>
          <w:sz w:val="23"/>
          <w:szCs w:val="23"/>
        </w:rPr>
        <w:t xml:space="preserve">, B. F. (1953). </w:t>
      </w:r>
      <w:proofErr w:type="spellStart"/>
      <w:r>
        <w:rPr>
          <w:color w:val="222222"/>
          <w:sz w:val="23"/>
          <w:szCs w:val="23"/>
        </w:rPr>
        <w:t>Science</w:t>
      </w:r>
      <w:proofErr w:type="spellEnd"/>
      <w:r>
        <w:rPr>
          <w:color w:val="222222"/>
          <w:sz w:val="23"/>
          <w:szCs w:val="23"/>
        </w:rPr>
        <w:t xml:space="preserve"> </w:t>
      </w:r>
      <w:proofErr w:type="spellStart"/>
      <w:r>
        <w:rPr>
          <w:color w:val="222222"/>
          <w:sz w:val="23"/>
          <w:szCs w:val="23"/>
        </w:rPr>
        <w:t>and</w:t>
      </w:r>
      <w:proofErr w:type="spellEnd"/>
      <w:r>
        <w:rPr>
          <w:color w:val="222222"/>
          <w:sz w:val="23"/>
          <w:szCs w:val="23"/>
        </w:rPr>
        <w:t xml:space="preserve"> </w:t>
      </w:r>
      <w:proofErr w:type="spellStart"/>
      <w:r>
        <w:rPr>
          <w:color w:val="222222"/>
          <w:sz w:val="23"/>
          <w:szCs w:val="23"/>
        </w:rPr>
        <w:t>Human</w:t>
      </w:r>
      <w:proofErr w:type="spellEnd"/>
      <w:r>
        <w:rPr>
          <w:color w:val="222222"/>
          <w:sz w:val="23"/>
          <w:szCs w:val="23"/>
        </w:rPr>
        <w:t xml:space="preserve"> </w:t>
      </w:r>
      <w:proofErr w:type="spellStart"/>
      <w:r>
        <w:rPr>
          <w:color w:val="222222"/>
          <w:sz w:val="23"/>
          <w:szCs w:val="23"/>
        </w:rPr>
        <w:t>Behavior</w:t>
      </w:r>
      <w:proofErr w:type="spellEnd"/>
      <w:r>
        <w:rPr>
          <w:color w:val="222222"/>
          <w:sz w:val="23"/>
          <w:szCs w:val="23"/>
        </w:rPr>
        <w:t xml:space="preserve">. </w:t>
      </w:r>
      <w:proofErr w:type="spellStart"/>
      <w:r>
        <w:rPr>
          <w:color w:val="222222"/>
          <w:sz w:val="23"/>
          <w:szCs w:val="23"/>
        </w:rPr>
        <w:t>New</w:t>
      </w:r>
      <w:proofErr w:type="spellEnd"/>
      <w:r>
        <w:rPr>
          <w:color w:val="222222"/>
          <w:sz w:val="23"/>
          <w:szCs w:val="23"/>
        </w:rPr>
        <w:t xml:space="preserve"> </w:t>
      </w:r>
      <w:proofErr w:type="spellStart"/>
      <w:r>
        <w:rPr>
          <w:color w:val="222222"/>
          <w:sz w:val="23"/>
          <w:szCs w:val="23"/>
        </w:rPr>
        <w:t>York</w:t>
      </w:r>
      <w:proofErr w:type="spellEnd"/>
      <w:r>
        <w:rPr>
          <w:color w:val="222222"/>
          <w:sz w:val="23"/>
          <w:szCs w:val="23"/>
        </w:rPr>
        <w:t xml:space="preserve">: </w:t>
      </w:r>
      <w:proofErr w:type="spellStart"/>
      <w:r>
        <w:rPr>
          <w:color w:val="222222"/>
          <w:sz w:val="23"/>
          <w:szCs w:val="23"/>
        </w:rPr>
        <w:t>Macmillan</w:t>
      </w:r>
      <w:proofErr w:type="spellEnd"/>
      <w:r>
        <w:rPr>
          <w:color w:val="222222"/>
          <w:sz w:val="23"/>
          <w:szCs w:val="23"/>
        </w:rPr>
        <w:t>.</w:t>
      </w:r>
    </w:p>
    <w:p w14:paraId="0EF52D0C" w14:textId="77777777" w:rsidR="005A6F55" w:rsidRDefault="00000000">
      <w:pPr>
        <w:spacing w:after="100"/>
        <w:ind w:right="300" w:hanging="300"/>
        <w:jc w:val="right"/>
      </w:pPr>
      <w:r>
        <w:rPr>
          <w:color w:val="222222"/>
          <w:sz w:val="23"/>
          <w:szCs w:val="23"/>
        </w:rPr>
        <w:t xml:space="preserve">12. </w:t>
      </w:r>
      <w:proofErr w:type="spellStart"/>
      <w:r>
        <w:rPr>
          <w:color w:val="222222"/>
          <w:sz w:val="23"/>
          <w:szCs w:val="23"/>
        </w:rPr>
        <w:t>Rachman</w:t>
      </w:r>
      <w:proofErr w:type="spellEnd"/>
      <w:r>
        <w:rPr>
          <w:color w:val="222222"/>
          <w:sz w:val="23"/>
          <w:szCs w:val="23"/>
        </w:rPr>
        <w:t xml:space="preserve">, S. (2004). </w:t>
      </w:r>
      <w:proofErr w:type="spellStart"/>
      <w:r>
        <w:rPr>
          <w:color w:val="222222"/>
          <w:sz w:val="23"/>
          <w:szCs w:val="23"/>
        </w:rPr>
        <w:t>Fear</w:t>
      </w:r>
      <w:proofErr w:type="spellEnd"/>
      <w:r>
        <w:rPr>
          <w:color w:val="222222"/>
          <w:sz w:val="23"/>
          <w:szCs w:val="23"/>
        </w:rPr>
        <w:t xml:space="preserve"> </w:t>
      </w:r>
      <w:proofErr w:type="spellStart"/>
      <w:r>
        <w:rPr>
          <w:color w:val="222222"/>
          <w:sz w:val="23"/>
          <w:szCs w:val="23"/>
        </w:rPr>
        <w:t>of</w:t>
      </w:r>
      <w:proofErr w:type="spellEnd"/>
      <w:r>
        <w:rPr>
          <w:color w:val="222222"/>
          <w:sz w:val="23"/>
          <w:szCs w:val="23"/>
        </w:rPr>
        <w:t xml:space="preserve"> </w:t>
      </w:r>
      <w:proofErr w:type="spellStart"/>
      <w:r>
        <w:rPr>
          <w:color w:val="222222"/>
          <w:sz w:val="23"/>
          <w:szCs w:val="23"/>
        </w:rPr>
        <w:t>contamination</w:t>
      </w:r>
      <w:proofErr w:type="spellEnd"/>
      <w:r>
        <w:rPr>
          <w:color w:val="222222"/>
          <w:sz w:val="23"/>
          <w:szCs w:val="23"/>
        </w:rPr>
        <w:t xml:space="preserve">. </w:t>
      </w:r>
      <w:proofErr w:type="spellStart"/>
      <w:r>
        <w:rPr>
          <w:color w:val="222222"/>
          <w:sz w:val="23"/>
          <w:szCs w:val="23"/>
        </w:rPr>
        <w:t>Behaviour</w:t>
      </w:r>
      <w:proofErr w:type="spellEnd"/>
      <w:r>
        <w:rPr>
          <w:color w:val="222222"/>
          <w:sz w:val="23"/>
          <w:szCs w:val="23"/>
        </w:rPr>
        <w:t xml:space="preserve"> </w:t>
      </w:r>
      <w:proofErr w:type="spellStart"/>
      <w:r>
        <w:rPr>
          <w:color w:val="222222"/>
          <w:sz w:val="23"/>
          <w:szCs w:val="23"/>
        </w:rPr>
        <w:t>Research</w:t>
      </w:r>
      <w:proofErr w:type="spellEnd"/>
      <w:r>
        <w:rPr>
          <w:color w:val="222222"/>
          <w:sz w:val="23"/>
          <w:szCs w:val="23"/>
        </w:rPr>
        <w:t xml:space="preserve"> </w:t>
      </w:r>
      <w:proofErr w:type="spellStart"/>
      <w:r>
        <w:rPr>
          <w:color w:val="222222"/>
          <w:sz w:val="23"/>
          <w:szCs w:val="23"/>
        </w:rPr>
        <w:t>and</w:t>
      </w:r>
      <w:proofErr w:type="spellEnd"/>
      <w:r>
        <w:rPr>
          <w:color w:val="222222"/>
          <w:sz w:val="23"/>
          <w:szCs w:val="23"/>
        </w:rPr>
        <w:t xml:space="preserve"> </w:t>
      </w:r>
      <w:proofErr w:type="spellStart"/>
      <w:r>
        <w:rPr>
          <w:color w:val="222222"/>
          <w:sz w:val="23"/>
          <w:szCs w:val="23"/>
        </w:rPr>
        <w:t>Therapy</w:t>
      </w:r>
      <w:proofErr w:type="spellEnd"/>
      <w:r>
        <w:rPr>
          <w:color w:val="222222"/>
          <w:sz w:val="23"/>
          <w:szCs w:val="23"/>
        </w:rPr>
        <w:t>, 42(11), 1227–1255.</w:t>
      </w:r>
    </w:p>
    <w:p w14:paraId="6ECDD2FD" w14:textId="77777777" w:rsidR="005A6F55" w:rsidRDefault="00000000">
      <w:pPr>
        <w:pStyle w:val="2"/>
        <w:bidi/>
        <w:spacing w:before="300" w:after="160"/>
        <w:jc w:val="right"/>
      </w:pPr>
      <w:r>
        <w:rPr>
          <w:b/>
          <w:bCs/>
          <w:color w:val="0F6674"/>
          <w:sz w:val="28"/>
          <w:szCs w:val="28"/>
        </w:rPr>
        <w:t>رابعاً: مراجع في نظرية العقل والانفصال الأخلاقي والإجهاد المزمن</w:t>
      </w:r>
    </w:p>
    <w:p w14:paraId="69242580" w14:textId="77777777" w:rsidR="005A6F55" w:rsidRDefault="00000000">
      <w:pPr>
        <w:spacing w:after="100"/>
        <w:ind w:right="300" w:hanging="300"/>
        <w:jc w:val="right"/>
      </w:pPr>
      <w:r>
        <w:rPr>
          <w:color w:val="222222"/>
          <w:sz w:val="23"/>
          <w:szCs w:val="23"/>
        </w:rPr>
        <w:t xml:space="preserve">13. </w:t>
      </w:r>
      <w:proofErr w:type="spellStart"/>
      <w:r>
        <w:rPr>
          <w:color w:val="222222"/>
          <w:sz w:val="23"/>
          <w:szCs w:val="23"/>
        </w:rPr>
        <w:t>Baron-Cohen</w:t>
      </w:r>
      <w:proofErr w:type="spellEnd"/>
      <w:r>
        <w:rPr>
          <w:color w:val="222222"/>
          <w:sz w:val="23"/>
          <w:szCs w:val="23"/>
        </w:rPr>
        <w:t xml:space="preserve">, S., </w:t>
      </w:r>
      <w:proofErr w:type="spellStart"/>
      <w:r>
        <w:rPr>
          <w:color w:val="222222"/>
          <w:sz w:val="23"/>
          <w:szCs w:val="23"/>
        </w:rPr>
        <w:t>Leslie</w:t>
      </w:r>
      <w:proofErr w:type="spellEnd"/>
      <w:r>
        <w:rPr>
          <w:color w:val="222222"/>
          <w:sz w:val="23"/>
          <w:szCs w:val="23"/>
        </w:rPr>
        <w:t xml:space="preserve">, A. M., &amp; </w:t>
      </w:r>
      <w:proofErr w:type="spellStart"/>
      <w:r>
        <w:rPr>
          <w:color w:val="222222"/>
          <w:sz w:val="23"/>
          <w:szCs w:val="23"/>
        </w:rPr>
        <w:t>Frith</w:t>
      </w:r>
      <w:proofErr w:type="spellEnd"/>
      <w:r>
        <w:rPr>
          <w:color w:val="222222"/>
          <w:sz w:val="23"/>
          <w:szCs w:val="23"/>
        </w:rPr>
        <w:t xml:space="preserve">, U. (1985). </w:t>
      </w:r>
      <w:proofErr w:type="spellStart"/>
      <w:r>
        <w:rPr>
          <w:color w:val="222222"/>
          <w:sz w:val="23"/>
          <w:szCs w:val="23"/>
        </w:rPr>
        <w:t>Does</w:t>
      </w:r>
      <w:proofErr w:type="spellEnd"/>
      <w:r>
        <w:rPr>
          <w:color w:val="222222"/>
          <w:sz w:val="23"/>
          <w:szCs w:val="23"/>
        </w:rPr>
        <w:t xml:space="preserve"> </w:t>
      </w:r>
      <w:proofErr w:type="spellStart"/>
      <w:r>
        <w:rPr>
          <w:color w:val="222222"/>
          <w:sz w:val="23"/>
          <w:szCs w:val="23"/>
        </w:rPr>
        <w:t>the</w:t>
      </w:r>
      <w:proofErr w:type="spellEnd"/>
      <w:r>
        <w:rPr>
          <w:color w:val="222222"/>
          <w:sz w:val="23"/>
          <w:szCs w:val="23"/>
        </w:rPr>
        <w:t xml:space="preserve"> </w:t>
      </w:r>
      <w:proofErr w:type="spellStart"/>
      <w:r>
        <w:rPr>
          <w:color w:val="222222"/>
          <w:sz w:val="23"/>
          <w:szCs w:val="23"/>
        </w:rPr>
        <w:t>autistic</w:t>
      </w:r>
      <w:proofErr w:type="spellEnd"/>
      <w:r>
        <w:rPr>
          <w:color w:val="222222"/>
          <w:sz w:val="23"/>
          <w:szCs w:val="23"/>
        </w:rPr>
        <w:t xml:space="preserve"> </w:t>
      </w:r>
      <w:proofErr w:type="spellStart"/>
      <w:r>
        <w:rPr>
          <w:color w:val="222222"/>
          <w:sz w:val="23"/>
          <w:szCs w:val="23"/>
        </w:rPr>
        <w:t>child</w:t>
      </w:r>
      <w:proofErr w:type="spellEnd"/>
      <w:r>
        <w:rPr>
          <w:color w:val="222222"/>
          <w:sz w:val="23"/>
          <w:szCs w:val="23"/>
        </w:rPr>
        <w:t xml:space="preserve"> </w:t>
      </w:r>
      <w:proofErr w:type="spellStart"/>
      <w:r>
        <w:rPr>
          <w:color w:val="222222"/>
          <w:sz w:val="23"/>
          <w:szCs w:val="23"/>
        </w:rPr>
        <w:t>have</w:t>
      </w:r>
      <w:proofErr w:type="spellEnd"/>
      <w:r>
        <w:rPr>
          <w:color w:val="222222"/>
          <w:sz w:val="23"/>
          <w:szCs w:val="23"/>
        </w:rPr>
        <w:t xml:space="preserve"> a "</w:t>
      </w:r>
      <w:proofErr w:type="spellStart"/>
      <w:r>
        <w:rPr>
          <w:color w:val="222222"/>
          <w:sz w:val="23"/>
          <w:szCs w:val="23"/>
        </w:rPr>
        <w:t>theory</w:t>
      </w:r>
      <w:proofErr w:type="spellEnd"/>
      <w:r>
        <w:rPr>
          <w:color w:val="222222"/>
          <w:sz w:val="23"/>
          <w:szCs w:val="23"/>
        </w:rPr>
        <w:t xml:space="preserve"> </w:t>
      </w:r>
      <w:proofErr w:type="spellStart"/>
      <w:r>
        <w:rPr>
          <w:color w:val="222222"/>
          <w:sz w:val="23"/>
          <w:szCs w:val="23"/>
        </w:rPr>
        <w:t>of</w:t>
      </w:r>
      <w:proofErr w:type="spellEnd"/>
      <w:r>
        <w:rPr>
          <w:color w:val="222222"/>
          <w:sz w:val="23"/>
          <w:szCs w:val="23"/>
        </w:rPr>
        <w:t xml:space="preserve"> </w:t>
      </w:r>
      <w:proofErr w:type="spellStart"/>
      <w:r>
        <w:rPr>
          <w:color w:val="222222"/>
          <w:sz w:val="23"/>
          <w:szCs w:val="23"/>
        </w:rPr>
        <w:t>mind</w:t>
      </w:r>
      <w:proofErr w:type="spellEnd"/>
      <w:r>
        <w:rPr>
          <w:color w:val="222222"/>
          <w:sz w:val="23"/>
          <w:szCs w:val="23"/>
        </w:rPr>
        <w:t xml:space="preserve">"? </w:t>
      </w:r>
      <w:proofErr w:type="spellStart"/>
      <w:r>
        <w:rPr>
          <w:color w:val="222222"/>
          <w:sz w:val="23"/>
          <w:szCs w:val="23"/>
        </w:rPr>
        <w:t>Cognition</w:t>
      </w:r>
      <w:proofErr w:type="spellEnd"/>
      <w:r>
        <w:rPr>
          <w:color w:val="222222"/>
          <w:sz w:val="23"/>
          <w:szCs w:val="23"/>
        </w:rPr>
        <w:t>, 21(1), 37–46.</w:t>
      </w:r>
    </w:p>
    <w:p w14:paraId="2ABF876D" w14:textId="77777777" w:rsidR="005A6F55" w:rsidRDefault="00000000">
      <w:pPr>
        <w:spacing w:after="100"/>
        <w:ind w:right="300" w:hanging="300"/>
        <w:jc w:val="right"/>
      </w:pPr>
      <w:r>
        <w:rPr>
          <w:color w:val="222222"/>
          <w:sz w:val="23"/>
          <w:szCs w:val="23"/>
        </w:rPr>
        <w:t xml:space="preserve">14. </w:t>
      </w:r>
      <w:proofErr w:type="spellStart"/>
      <w:r>
        <w:rPr>
          <w:color w:val="222222"/>
          <w:sz w:val="23"/>
          <w:szCs w:val="23"/>
        </w:rPr>
        <w:t>Fonagy</w:t>
      </w:r>
      <w:proofErr w:type="spellEnd"/>
      <w:r>
        <w:rPr>
          <w:color w:val="222222"/>
          <w:sz w:val="23"/>
          <w:szCs w:val="23"/>
        </w:rPr>
        <w:t xml:space="preserve">, P., &amp; </w:t>
      </w:r>
      <w:proofErr w:type="spellStart"/>
      <w:r>
        <w:rPr>
          <w:color w:val="222222"/>
          <w:sz w:val="23"/>
          <w:szCs w:val="23"/>
        </w:rPr>
        <w:t>Target</w:t>
      </w:r>
      <w:proofErr w:type="spellEnd"/>
      <w:r>
        <w:rPr>
          <w:color w:val="222222"/>
          <w:sz w:val="23"/>
          <w:szCs w:val="23"/>
        </w:rPr>
        <w:t xml:space="preserve">, M. (1997). </w:t>
      </w:r>
      <w:proofErr w:type="spellStart"/>
      <w:r>
        <w:rPr>
          <w:color w:val="222222"/>
          <w:sz w:val="23"/>
          <w:szCs w:val="23"/>
        </w:rPr>
        <w:t>Attachment</w:t>
      </w:r>
      <w:proofErr w:type="spellEnd"/>
      <w:r>
        <w:rPr>
          <w:color w:val="222222"/>
          <w:sz w:val="23"/>
          <w:szCs w:val="23"/>
        </w:rPr>
        <w:t xml:space="preserve"> </w:t>
      </w:r>
      <w:proofErr w:type="spellStart"/>
      <w:r>
        <w:rPr>
          <w:color w:val="222222"/>
          <w:sz w:val="23"/>
          <w:szCs w:val="23"/>
        </w:rPr>
        <w:t>and</w:t>
      </w:r>
      <w:proofErr w:type="spellEnd"/>
      <w:r>
        <w:rPr>
          <w:color w:val="222222"/>
          <w:sz w:val="23"/>
          <w:szCs w:val="23"/>
        </w:rPr>
        <w:t xml:space="preserve"> </w:t>
      </w:r>
      <w:proofErr w:type="spellStart"/>
      <w:r>
        <w:rPr>
          <w:color w:val="222222"/>
          <w:sz w:val="23"/>
          <w:szCs w:val="23"/>
        </w:rPr>
        <w:t>reflective</w:t>
      </w:r>
      <w:proofErr w:type="spellEnd"/>
      <w:r>
        <w:rPr>
          <w:color w:val="222222"/>
          <w:sz w:val="23"/>
          <w:szCs w:val="23"/>
        </w:rPr>
        <w:t xml:space="preserve"> </w:t>
      </w:r>
      <w:proofErr w:type="spellStart"/>
      <w:r>
        <w:rPr>
          <w:color w:val="222222"/>
          <w:sz w:val="23"/>
          <w:szCs w:val="23"/>
        </w:rPr>
        <w:t>function</w:t>
      </w:r>
      <w:proofErr w:type="spellEnd"/>
      <w:r>
        <w:rPr>
          <w:color w:val="222222"/>
          <w:sz w:val="23"/>
          <w:szCs w:val="23"/>
        </w:rPr>
        <w:t xml:space="preserve">: </w:t>
      </w:r>
      <w:proofErr w:type="spellStart"/>
      <w:r>
        <w:rPr>
          <w:color w:val="222222"/>
          <w:sz w:val="23"/>
          <w:szCs w:val="23"/>
        </w:rPr>
        <w:t>Their</w:t>
      </w:r>
      <w:proofErr w:type="spellEnd"/>
      <w:r>
        <w:rPr>
          <w:color w:val="222222"/>
          <w:sz w:val="23"/>
          <w:szCs w:val="23"/>
        </w:rPr>
        <w:t xml:space="preserve"> </w:t>
      </w:r>
      <w:proofErr w:type="spellStart"/>
      <w:r>
        <w:rPr>
          <w:color w:val="222222"/>
          <w:sz w:val="23"/>
          <w:szCs w:val="23"/>
        </w:rPr>
        <w:t>role</w:t>
      </w:r>
      <w:proofErr w:type="spellEnd"/>
      <w:r>
        <w:rPr>
          <w:color w:val="222222"/>
          <w:sz w:val="23"/>
          <w:szCs w:val="23"/>
        </w:rPr>
        <w:t xml:space="preserve"> </w:t>
      </w:r>
      <w:proofErr w:type="spellStart"/>
      <w:r>
        <w:rPr>
          <w:color w:val="222222"/>
          <w:sz w:val="23"/>
          <w:szCs w:val="23"/>
        </w:rPr>
        <w:t>in</w:t>
      </w:r>
      <w:proofErr w:type="spellEnd"/>
      <w:r>
        <w:rPr>
          <w:color w:val="222222"/>
          <w:sz w:val="23"/>
          <w:szCs w:val="23"/>
        </w:rPr>
        <w:t xml:space="preserve"> </w:t>
      </w:r>
      <w:proofErr w:type="spellStart"/>
      <w:r>
        <w:rPr>
          <w:color w:val="222222"/>
          <w:sz w:val="23"/>
          <w:szCs w:val="23"/>
        </w:rPr>
        <w:t>self-organization</w:t>
      </w:r>
      <w:proofErr w:type="spellEnd"/>
      <w:r>
        <w:rPr>
          <w:color w:val="222222"/>
          <w:sz w:val="23"/>
          <w:szCs w:val="23"/>
        </w:rPr>
        <w:t xml:space="preserve">. </w:t>
      </w:r>
      <w:proofErr w:type="spellStart"/>
      <w:r>
        <w:rPr>
          <w:color w:val="222222"/>
          <w:sz w:val="23"/>
          <w:szCs w:val="23"/>
        </w:rPr>
        <w:t>Development</w:t>
      </w:r>
      <w:proofErr w:type="spellEnd"/>
      <w:r>
        <w:rPr>
          <w:color w:val="222222"/>
          <w:sz w:val="23"/>
          <w:szCs w:val="23"/>
        </w:rPr>
        <w:t xml:space="preserve"> </w:t>
      </w:r>
      <w:proofErr w:type="spellStart"/>
      <w:r>
        <w:rPr>
          <w:color w:val="222222"/>
          <w:sz w:val="23"/>
          <w:szCs w:val="23"/>
        </w:rPr>
        <w:t>and</w:t>
      </w:r>
      <w:proofErr w:type="spellEnd"/>
      <w:r>
        <w:rPr>
          <w:color w:val="222222"/>
          <w:sz w:val="23"/>
          <w:szCs w:val="23"/>
        </w:rPr>
        <w:t xml:space="preserve"> </w:t>
      </w:r>
      <w:proofErr w:type="spellStart"/>
      <w:r>
        <w:rPr>
          <w:color w:val="222222"/>
          <w:sz w:val="23"/>
          <w:szCs w:val="23"/>
        </w:rPr>
        <w:t>Psychopathology</w:t>
      </w:r>
      <w:proofErr w:type="spellEnd"/>
      <w:r>
        <w:rPr>
          <w:color w:val="222222"/>
          <w:sz w:val="23"/>
          <w:szCs w:val="23"/>
        </w:rPr>
        <w:t>, 9(4), 679–700.</w:t>
      </w:r>
    </w:p>
    <w:p w14:paraId="10BB37F8" w14:textId="77777777" w:rsidR="005A6F55" w:rsidRDefault="00000000">
      <w:pPr>
        <w:spacing w:after="100"/>
        <w:ind w:right="300" w:hanging="300"/>
        <w:jc w:val="right"/>
      </w:pPr>
      <w:r>
        <w:rPr>
          <w:color w:val="222222"/>
          <w:sz w:val="23"/>
          <w:szCs w:val="23"/>
        </w:rPr>
        <w:t xml:space="preserve">15. </w:t>
      </w:r>
      <w:proofErr w:type="spellStart"/>
      <w:r>
        <w:rPr>
          <w:color w:val="222222"/>
          <w:sz w:val="23"/>
          <w:szCs w:val="23"/>
        </w:rPr>
        <w:t>Bandura</w:t>
      </w:r>
      <w:proofErr w:type="spellEnd"/>
      <w:r>
        <w:rPr>
          <w:color w:val="222222"/>
          <w:sz w:val="23"/>
          <w:szCs w:val="23"/>
        </w:rPr>
        <w:t xml:space="preserve">, A. (1999). </w:t>
      </w:r>
      <w:proofErr w:type="spellStart"/>
      <w:r>
        <w:rPr>
          <w:color w:val="222222"/>
          <w:sz w:val="23"/>
          <w:szCs w:val="23"/>
        </w:rPr>
        <w:t>Moral</w:t>
      </w:r>
      <w:proofErr w:type="spellEnd"/>
      <w:r>
        <w:rPr>
          <w:color w:val="222222"/>
          <w:sz w:val="23"/>
          <w:szCs w:val="23"/>
        </w:rPr>
        <w:t xml:space="preserve"> </w:t>
      </w:r>
      <w:proofErr w:type="spellStart"/>
      <w:r>
        <w:rPr>
          <w:color w:val="222222"/>
          <w:sz w:val="23"/>
          <w:szCs w:val="23"/>
        </w:rPr>
        <w:t>disengagement</w:t>
      </w:r>
      <w:proofErr w:type="spellEnd"/>
      <w:r>
        <w:rPr>
          <w:color w:val="222222"/>
          <w:sz w:val="23"/>
          <w:szCs w:val="23"/>
        </w:rPr>
        <w:t xml:space="preserve"> </w:t>
      </w:r>
      <w:proofErr w:type="spellStart"/>
      <w:r>
        <w:rPr>
          <w:color w:val="222222"/>
          <w:sz w:val="23"/>
          <w:szCs w:val="23"/>
        </w:rPr>
        <w:t>in</w:t>
      </w:r>
      <w:proofErr w:type="spellEnd"/>
      <w:r>
        <w:rPr>
          <w:color w:val="222222"/>
          <w:sz w:val="23"/>
          <w:szCs w:val="23"/>
        </w:rPr>
        <w:t xml:space="preserve"> </w:t>
      </w:r>
      <w:proofErr w:type="spellStart"/>
      <w:r>
        <w:rPr>
          <w:color w:val="222222"/>
          <w:sz w:val="23"/>
          <w:szCs w:val="23"/>
        </w:rPr>
        <w:t>the</w:t>
      </w:r>
      <w:proofErr w:type="spellEnd"/>
      <w:r>
        <w:rPr>
          <w:color w:val="222222"/>
          <w:sz w:val="23"/>
          <w:szCs w:val="23"/>
        </w:rPr>
        <w:t xml:space="preserve"> </w:t>
      </w:r>
      <w:proofErr w:type="spellStart"/>
      <w:r>
        <w:rPr>
          <w:color w:val="222222"/>
          <w:sz w:val="23"/>
          <w:szCs w:val="23"/>
        </w:rPr>
        <w:t>perpetration</w:t>
      </w:r>
      <w:proofErr w:type="spellEnd"/>
      <w:r>
        <w:rPr>
          <w:color w:val="222222"/>
          <w:sz w:val="23"/>
          <w:szCs w:val="23"/>
        </w:rPr>
        <w:t xml:space="preserve"> </w:t>
      </w:r>
      <w:proofErr w:type="spellStart"/>
      <w:r>
        <w:rPr>
          <w:color w:val="222222"/>
          <w:sz w:val="23"/>
          <w:szCs w:val="23"/>
        </w:rPr>
        <w:t>of</w:t>
      </w:r>
      <w:proofErr w:type="spellEnd"/>
      <w:r>
        <w:rPr>
          <w:color w:val="222222"/>
          <w:sz w:val="23"/>
          <w:szCs w:val="23"/>
        </w:rPr>
        <w:t xml:space="preserve"> </w:t>
      </w:r>
      <w:proofErr w:type="spellStart"/>
      <w:r>
        <w:rPr>
          <w:color w:val="222222"/>
          <w:sz w:val="23"/>
          <w:szCs w:val="23"/>
        </w:rPr>
        <w:t>inhumanities</w:t>
      </w:r>
      <w:proofErr w:type="spellEnd"/>
      <w:r>
        <w:rPr>
          <w:color w:val="222222"/>
          <w:sz w:val="23"/>
          <w:szCs w:val="23"/>
        </w:rPr>
        <w:t xml:space="preserve">. </w:t>
      </w:r>
      <w:proofErr w:type="spellStart"/>
      <w:r>
        <w:rPr>
          <w:color w:val="222222"/>
          <w:sz w:val="23"/>
          <w:szCs w:val="23"/>
        </w:rPr>
        <w:t>Personality</w:t>
      </w:r>
      <w:proofErr w:type="spellEnd"/>
      <w:r>
        <w:rPr>
          <w:color w:val="222222"/>
          <w:sz w:val="23"/>
          <w:szCs w:val="23"/>
        </w:rPr>
        <w:t xml:space="preserve"> </w:t>
      </w:r>
      <w:proofErr w:type="spellStart"/>
      <w:r>
        <w:rPr>
          <w:color w:val="222222"/>
          <w:sz w:val="23"/>
          <w:szCs w:val="23"/>
        </w:rPr>
        <w:t>and</w:t>
      </w:r>
      <w:proofErr w:type="spellEnd"/>
      <w:r>
        <w:rPr>
          <w:color w:val="222222"/>
          <w:sz w:val="23"/>
          <w:szCs w:val="23"/>
        </w:rPr>
        <w:t xml:space="preserve"> </w:t>
      </w:r>
      <w:proofErr w:type="spellStart"/>
      <w:r>
        <w:rPr>
          <w:color w:val="222222"/>
          <w:sz w:val="23"/>
          <w:szCs w:val="23"/>
        </w:rPr>
        <w:t>Social</w:t>
      </w:r>
      <w:proofErr w:type="spellEnd"/>
      <w:r>
        <w:rPr>
          <w:color w:val="222222"/>
          <w:sz w:val="23"/>
          <w:szCs w:val="23"/>
        </w:rPr>
        <w:t xml:space="preserve"> </w:t>
      </w:r>
      <w:proofErr w:type="spellStart"/>
      <w:r>
        <w:rPr>
          <w:color w:val="222222"/>
          <w:sz w:val="23"/>
          <w:szCs w:val="23"/>
        </w:rPr>
        <w:t>Psychology</w:t>
      </w:r>
      <w:proofErr w:type="spellEnd"/>
      <w:r>
        <w:rPr>
          <w:color w:val="222222"/>
          <w:sz w:val="23"/>
          <w:szCs w:val="23"/>
        </w:rPr>
        <w:t xml:space="preserve"> </w:t>
      </w:r>
      <w:proofErr w:type="spellStart"/>
      <w:r>
        <w:rPr>
          <w:color w:val="222222"/>
          <w:sz w:val="23"/>
          <w:szCs w:val="23"/>
        </w:rPr>
        <w:t>Review</w:t>
      </w:r>
      <w:proofErr w:type="spellEnd"/>
      <w:r>
        <w:rPr>
          <w:color w:val="222222"/>
          <w:sz w:val="23"/>
          <w:szCs w:val="23"/>
        </w:rPr>
        <w:t>, 3(3), 193–209.</w:t>
      </w:r>
    </w:p>
    <w:p w14:paraId="795ED0A0" w14:textId="77777777" w:rsidR="005A6F55" w:rsidRDefault="00000000">
      <w:pPr>
        <w:spacing w:after="100"/>
        <w:ind w:right="300" w:hanging="300"/>
        <w:jc w:val="right"/>
      </w:pPr>
      <w:r>
        <w:rPr>
          <w:color w:val="222222"/>
          <w:sz w:val="23"/>
          <w:szCs w:val="23"/>
        </w:rPr>
        <w:t xml:space="preserve">16. </w:t>
      </w:r>
      <w:proofErr w:type="spellStart"/>
      <w:r>
        <w:rPr>
          <w:color w:val="222222"/>
          <w:sz w:val="23"/>
          <w:szCs w:val="23"/>
        </w:rPr>
        <w:t>Selye</w:t>
      </w:r>
      <w:proofErr w:type="spellEnd"/>
      <w:r>
        <w:rPr>
          <w:color w:val="222222"/>
          <w:sz w:val="23"/>
          <w:szCs w:val="23"/>
        </w:rPr>
        <w:t xml:space="preserve">, H. (1956). </w:t>
      </w:r>
      <w:proofErr w:type="spellStart"/>
      <w:r>
        <w:rPr>
          <w:color w:val="222222"/>
          <w:sz w:val="23"/>
          <w:szCs w:val="23"/>
        </w:rPr>
        <w:t>The</w:t>
      </w:r>
      <w:proofErr w:type="spellEnd"/>
      <w:r>
        <w:rPr>
          <w:color w:val="222222"/>
          <w:sz w:val="23"/>
          <w:szCs w:val="23"/>
        </w:rPr>
        <w:t xml:space="preserve"> </w:t>
      </w:r>
      <w:proofErr w:type="spellStart"/>
      <w:r>
        <w:rPr>
          <w:color w:val="222222"/>
          <w:sz w:val="23"/>
          <w:szCs w:val="23"/>
        </w:rPr>
        <w:t>Stress</w:t>
      </w:r>
      <w:proofErr w:type="spellEnd"/>
      <w:r>
        <w:rPr>
          <w:color w:val="222222"/>
          <w:sz w:val="23"/>
          <w:szCs w:val="23"/>
        </w:rPr>
        <w:t xml:space="preserve"> </w:t>
      </w:r>
      <w:proofErr w:type="spellStart"/>
      <w:r>
        <w:rPr>
          <w:color w:val="222222"/>
          <w:sz w:val="23"/>
          <w:szCs w:val="23"/>
        </w:rPr>
        <w:t>of</w:t>
      </w:r>
      <w:proofErr w:type="spellEnd"/>
      <w:r>
        <w:rPr>
          <w:color w:val="222222"/>
          <w:sz w:val="23"/>
          <w:szCs w:val="23"/>
        </w:rPr>
        <w:t xml:space="preserve"> </w:t>
      </w:r>
      <w:proofErr w:type="spellStart"/>
      <w:r>
        <w:rPr>
          <w:color w:val="222222"/>
          <w:sz w:val="23"/>
          <w:szCs w:val="23"/>
        </w:rPr>
        <w:t>Life</w:t>
      </w:r>
      <w:proofErr w:type="spellEnd"/>
      <w:r>
        <w:rPr>
          <w:color w:val="222222"/>
          <w:sz w:val="23"/>
          <w:szCs w:val="23"/>
        </w:rPr>
        <w:t xml:space="preserve">. </w:t>
      </w:r>
      <w:proofErr w:type="spellStart"/>
      <w:r>
        <w:rPr>
          <w:color w:val="222222"/>
          <w:sz w:val="23"/>
          <w:szCs w:val="23"/>
        </w:rPr>
        <w:t>New</w:t>
      </w:r>
      <w:proofErr w:type="spellEnd"/>
      <w:r>
        <w:rPr>
          <w:color w:val="222222"/>
          <w:sz w:val="23"/>
          <w:szCs w:val="23"/>
        </w:rPr>
        <w:t xml:space="preserve"> </w:t>
      </w:r>
      <w:proofErr w:type="spellStart"/>
      <w:r>
        <w:rPr>
          <w:color w:val="222222"/>
          <w:sz w:val="23"/>
          <w:szCs w:val="23"/>
        </w:rPr>
        <w:t>York</w:t>
      </w:r>
      <w:proofErr w:type="spellEnd"/>
      <w:r>
        <w:rPr>
          <w:color w:val="222222"/>
          <w:sz w:val="23"/>
          <w:szCs w:val="23"/>
        </w:rPr>
        <w:t xml:space="preserve">: </w:t>
      </w:r>
      <w:proofErr w:type="spellStart"/>
      <w:r>
        <w:rPr>
          <w:color w:val="222222"/>
          <w:sz w:val="23"/>
          <w:szCs w:val="23"/>
        </w:rPr>
        <w:t>McGraw-Hill</w:t>
      </w:r>
      <w:proofErr w:type="spellEnd"/>
      <w:r>
        <w:rPr>
          <w:color w:val="222222"/>
          <w:sz w:val="23"/>
          <w:szCs w:val="23"/>
        </w:rPr>
        <w:t>.</w:t>
      </w:r>
    </w:p>
    <w:p w14:paraId="4576786B" w14:textId="77777777" w:rsidR="005A6F55" w:rsidRDefault="00000000">
      <w:pPr>
        <w:spacing w:after="100"/>
        <w:ind w:right="300" w:hanging="300"/>
        <w:jc w:val="right"/>
      </w:pPr>
      <w:r>
        <w:rPr>
          <w:color w:val="222222"/>
          <w:sz w:val="23"/>
          <w:szCs w:val="23"/>
        </w:rPr>
        <w:t xml:space="preserve">17. </w:t>
      </w:r>
      <w:proofErr w:type="spellStart"/>
      <w:r>
        <w:rPr>
          <w:color w:val="222222"/>
          <w:sz w:val="23"/>
          <w:szCs w:val="23"/>
        </w:rPr>
        <w:t>Rizzuto</w:t>
      </w:r>
      <w:proofErr w:type="spellEnd"/>
      <w:r>
        <w:rPr>
          <w:color w:val="222222"/>
          <w:sz w:val="23"/>
          <w:szCs w:val="23"/>
        </w:rPr>
        <w:t xml:space="preserve">, A.-M. (1979). </w:t>
      </w:r>
      <w:proofErr w:type="spellStart"/>
      <w:r>
        <w:rPr>
          <w:color w:val="222222"/>
          <w:sz w:val="23"/>
          <w:szCs w:val="23"/>
        </w:rPr>
        <w:t>The</w:t>
      </w:r>
      <w:proofErr w:type="spellEnd"/>
      <w:r>
        <w:rPr>
          <w:color w:val="222222"/>
          <w:sz w:val="23"/>
          <w:szCs w:val="23"/>
        </w:rPr>
        <w:t xml:space="preserve"> </w:t>
      </w:r>
      <w:proofErr w:type="spellStart"/>
      <w:r>
        <w:rPr>
          <w:color w:val="222222"/>
          <w:sz w:val="23"/>
          <w:szCs w:val="23"/>
        </w:rPr>
        <w:t>Birth</w:t>
      </w:r>
      <w:proofErr w:type="spellEnd"/>
      <w:r>
        <w:rPr>
          <w:color w:val="222222"/>
          <w:sz w:val="23"/>
          <w:szCs w:val="23"/>
        </w:rPr>
        <w:t xml:space="preserve"> </w:t>
      </w:r>
      <w:proofErr w:type="spellStart"/>
      <w:r>
        <w:rPr>
          <w:color w:val="222222"/>
          <w:sz w:val="23"/>
          <w:szCs w:val="23"/>
        </w:rPr>
        <w:t>of</w:t>
      </w:r>
      <w:proofErr w:type="spellEnd"/>
      <w:r>
        <w:rPr>
          <w:color w:val="222222"/>
          <w:sz w:val="23"/>
          <w:szCs w:val="23"/>
        </w:rPr>
        <w:t xml:space="preserve"> </w:t>
      </w:r>
      <w:proofErr w:type="spellStart"/>
      <w:r>
        <w:rPr>
          <w:color w:val="222222"/>
          <w:sz w:val="23"/>
          <w:szCs w:val="23"/>
        </w:rPr>
        <w:t>the</w:t>
      </w:r>
      <w:proofErr w:type="spellEnd"/>
      <w:r>
        <w:rPr>
          <w:color w:val="222222"/>
          <w:sz w:val="23"/>
          <w:szCs w:val="23"/>
        </w:rPr>
        <w:t xml:space="preserve"> </w:t>
      </w:r>
      <w:proofErr w:type="spellStart"/>
      <w:r>
        <w:rPr>
          <w:color w:val="222222"/>
          <w:sz w:val="23"/>
          <w:szCs w:val="23"/>
        </w:rPr>
        <w:t>Living</w:t>
      </w:r>
      <w:proofErr w:type="spellEnd"/>
      <w:r>
        <w:rPr>
          <w:color w:val="222222"/>
          <w:sz w:val="23"/>
          <w:szCs w:val="23"/>
        </w:rPr>
        <w:t xml:space="preserve"> </w:t>
      </w:r>
      <w:proofErr w:type="spellStart"/>
      <w:r>
        <w:rPr>
          <w:color w:val="222222"/>
          <w:sz w:val="23"/>
          <w:szCs w:val="23"/>
        </w:rPr>
        <w:t>God</w:t>
      </w:r>
      <w:proofErr w:type="spellEnd"/>
      <w:r>
        <w:rPr>
          <w:color w:val="222222"/>
          <w:sz w:val="23"/>
          <w:szCs w:val="23"/>
        </w:rPr>
        <w:t xml:space="preserve">: A </w:t>
      </w:r>
      <w:proofErr w:type="spellStart"/>
      <w:r>
        <w:rPr>
          <w:color w:val="222222"/>
          <w:sz w:val="23"/>
          <w:szCs w:val="23"/>
        </w:rPr>
        <w:t>Psychoanalytic</w:t>
      </w:r>
      <w:proofErr w:type="spellEnd"/>
      <w:r>
        <w:rPr>
          <w:color w:val="222222"/>
          <w:sz w:val="23"/>
          <w:szCs w:val="23"/>
        </w:rPr>
        <w:t xml:space="preserve"> </w:t>
      </w:r>
      <w:proofErr w:type="spellStart"/>
      <w:r>
        <w:rPr>
          <w:color w:val="222222"/>
          <w:sz w:val="23"/>
          <w:szCs w:val="23"/>
        </w:rPr>
        <w:t>Study</w:t>
      </w:r>
      <w:proofErr w:type="spellEnd"/>
      <w:r>
        <w:rPr>
          <w:color w:val="222222"/>
          <w:sz w:val="23"/>
          <w:szCs w:val="23"/>
        </w:rPr>
        <w:t xml:space="preserve">. </w:t>
      </w:r>
      <w:proofErr w:type="spellStart"/>
      <w:r>
        <w:rPr>
          <w:color w:val="222222"/>
          <w:sz w:val="23"/>
          <w:szCs w:val="23"/>
        </w:rPr>
        <w:t>Chicago</w:t>
      </w:r>
      <w:proofErr w:type="spellEnd"/>
      <w:r>
        <w:rPr>
          <w:color w:val="222222"/>
          <w:sz w:val="23"/>
          <w:szCs w:val="23"/>
        </w:rPr>
        <w:t xml:space="preserve">: </w:t>
      </w:r>
      <w:proofErr w:type="spellStart"/>
      <w:r>
        <w:rPr>
          <w:color w:val="222222"/>
          <w:sz w:val="23"/>
          <w:szCs w:val="23"/>
        </w:rPr>
        <w:t>University</w:t>
      </w:r>
      <w:proofErr w:type="spellEnd"/>
      <w:r>
        <w:rPr>
          <w:color w:val="222222"/>
          <w:sz w:val="23"/>
          <w:szCs w:val="23"/>
        </w:rPr>
        <w:t xml:space="preserve"> </w:t>
      </w:r>
      <w:proofErr w:type="spellStart"/>
      <w:r>
        <w:rPr>
          <w:color w:val="222222"/>
          <w:sz w:val="23"/>
          <w:szCs w:val="23"/>
        </w:rPr>
        <w:t>of</w:t>
      </w:r>
      <w:proofErr w:type="spellEnd"/>
      <w:r>
        <w:rPr>
          <w:color w:val="222222"/>
          <w:sz w:val="23"/>
          <w:szCs w:val="23"/>
        </w:rPr>
        <w:t xml:space="preserve"> </w:t>
      </w:r>
      <w:proofErr w:type="spellStart"/>
      <w:r>
        <w:rPr>
          <w:color w:val="222222"/>
          <w:sz w:val="23"/>
          <w:szCs w:val="23"/>
        </w:rPr>
        <w:t>Chicago</w:t>
      </w:r>
      <w:proofErr w:type="spellEnd"/>
      <w:r>
        <w:rPr>
          <w:color w:val="222222"/>
          <w:sz w:val="23"/>
          <w:szCs w:val="23"/>
        </w:rPr>
        <w:t xml:space="preserve"> </w:t>
      </w:r>
      <w:proofErr w:type="spellStart"/>
      <w:r>
        <w:rPr>
          <w:color w:val="222222"/>
          <w:sz w:val="23"/>
          <w:szCs w:val="23"/>
        </w:rPr>
        <w:t>Press</w:t>
      </w:r>
      <w:proofErr w:type="spellEnd"/>
      <w:r>
        <w:rPr>
          <w:color w:val="222222"/>
          <w:sz w:val="23"/>
          <w:szCs w:val="23"/>
        </w:rPr>
        <w:t>.</w:t>
      </w:r>
    </w:p>
    <w:p w14:paraId="6CF68918" w14:textId="77777777" w:rsidR="005A6F55" w:rsidRDefault="00000000">
      <w:pPr>
        <w:spacing w:after="100"/>
        <w:ind w:right="300" w:hanging="300"/>
        <w:jc w:val="right"/>
      </w:pPr>
      <w:r>
        <w:rPr>
          <w:color w:val="222222"/>
          <w:sz w:val="23"/>
          <w:szCs w:val="23"/>
        </w:rPr>
        <w:t xml:space="preserve">18. </w:t>
      </w:r>
      <w:proofErr w:type="spellStart"/>
      <w:r>
        <w:rPr>
          <w:color w:val="222222"/>
          <w:sz w:val="23"/>
          <w:szCs w:val="23"/>
        </w:rPr>
        <w:t>Popper</w:t>
      </w:r>
      <w:proofErr w:type="spellEnd"/>
      <w:r>
        <w:rPr>
          <w:color w:val="222222"/>
          <w:sz w:val="23"/>
          <w:szCs w:val="23"/>
        </w:rPr>
        <w:t xml:space="preserve">, K. (1959). </w:t>
      </w:r>
      <w:proofErr w:type="spellStart"/>
      <w:r>
        <w:rPr>
          <w:color w:val="222222"/>
          <w:sz w:val="23"/>
          <w:szCs w:val="23"/>
        </w:rPr>
        <w:t>The</w:t>
      </w:r>
      <w:proofErr w:type="spellEnd"/>
      <w:r>
        <w:rPr>
          <w:color w:val="222222"/>
          <w:sz w:val="23"/>
          <w:szCs w:val="23"/>
        </w:rPr>
        <w:t xml:space="preserve"> </w:t>
      </w:r>
      <w:proofErr w:type="spellStart"/>
      <w:r>
        <w:rPr>
          <w:color w:val="222222"/>
          <w:sz w:val="23"/>
          <w:szCs w:val="23"/>
        </w:rPr>
        <w:t>Logic</w:t>
      </w:r>
      <w:proofErr w:type="spellEnd"/>
      <w:r>
        <w:rPr>
          <w:color w:val="222222"/>
          <w:sz w:val="23"/>
          <w:szCs w:val="23"/>
        </w:rPr>
        <w:t xml:space="preserve"> </w:t>
      </w:r>
      <w:proofErr w:type="spellStart"/>
      <w:r>
        <w:rPr>
          <w:color w:val="222222"/>
          <w:sz w:val="23"/>
          <w:szCs w:val="23"/>
        </w:rPr>
        <w:t>of</w:t>
      </w:r>
      <w:proofErr w:type="spellEnd"/>
      <w:r>
        <w:rPr>
          <w:color w:val="222222"/>
          <w:sz w:val="23"/>
          <w:szCs w:val="23"/>
        </w:rPr>
        <w:t xml:space="preserve"> </w:t>
      </w:r>
      <w:proofErr w:type="spellStart"/>
      <w:r>
        <w:rPr>
          <w:color w:val="222222"/>
          <w:sz w:val="23"/>
          <w:szCs w:val="23"/>
        </w:rPr>
        <w:t>Scientific</w:t>
      </w:r>
      <w:proofErr w:type="spellEnd"/>
      <w:r>
        <w:rPr>
          <w:color w:val="222222"/>
          <w:sz w:val="23"/>
          <w:szCs w:val="23"/>
        </w:rPr>
        <w:t xml:space="preserve"> </w:t>
      </w:r>
      <w:proofErr w:type="spellStart"/>
      <w:r>
        <w:rPr>
          <w:color w:val="222222"/>
          <w:sz w:val="23"/>
          <w:szCs w:val="23"/>
        </w:rPr>
        <w:t>Discovery</w:t>
      </w:r>
      <w:proofErr w:type="spellEnd"/>
      <w:r>
        <w:rPr>
          <w:color w:val="222222"/>
          <w:sz w:val="23"/>
          <w:szCs w:val="23"/>
        </w:rPr>
        <w:t xml:space="preserve">. </w:t>
      </w:r>
      <w:proofErr w:type="spellStart"/>
      <w:r>
        <w:rPr>
          <w:color w:val="222222"/>
          <w:sz w:val="23"/>
          <w:szCs w:val="23"/>
        </w:rPr>
        <w:t>London</w:t>
      </w:r>
      <w:proofErr w:type="spellEnd"/>
      <w:r>
        <w:rPr>
          <w:color w:val="222222"/>
          <w:sz w:val="23"/>
          <w:szCs w:val="23"/>
        </w:rPr>
        <w:t xml:space="preserve">: </w:t>
      </w:r>
      <w:proofErr w:type="spellStart"/>
      <w:r>
        <w:rPr>
          <w:color w:val="222222"/>
          <w:sz w:val="23"/>
          <w:szCs w:val="23"/>
        </w:rPr>
        <w:t>Hutchinson</w:t>
      </w:r>
      <w:proofErr w:type="spellEnd"/>
      <w:r>
        <w:rPr>
          <w:color w:val="222222"/>
          <w:sz w:val="23"/>
          <w:szCs w:val="23"/>
        </w:rPr>
        <w:t>.</w:t>
      </w:r>
    </w:p>
    <w:p w14:paraId="48F650F5" w14:textId="77777777" w:rsidR="005A6F55" w:rsidRDefault="00000000">
      <w:pPr>
        <w:pStyle w:val="2"/>
        <w:bidi/>
        <w:spacing w:before="300" w:after="160"/>
        <w:jc w:val="right"/>
      </w:pPr>
      <w:r>
        <w:rPr>
          <w:b/>
          <w:bCs/>
          <w:color w:val="0F6674"/>
          <w:sz w:val="28"/>
          <w:szCs w:val="28"/>
        </w:rPr>
        <w:t>خامساً: مراجع في التراث الإسلامي</w:t>
      </w:r>
    </w:p>
    <w:p w14:paraId="2C8CAEC8" w14:textId="77777777" w:rsidR="005A6F55" w:rsidRDefault="00000000">
      <w:pPr>
        <w:spacing w:after="100"/>
        <w:ind w:right="300" w:hanging="300"/>
        <w:jc w:val="right"/>
      </w:pPr>
      <w:r>
        <w:rPr>
          <w:color w:val="222222"/>
          <w:sz w:val="23"/>
          <w:szCs w:val="23"/>
        </w:rPr>
        <w:t>19. القرآن الكريم.</w:t>
      </w:r>
    </w:p>
    <w:p w14:paraId="2C19F816" w14:textId="77777777" w:rsidR="005A6F55" w:rsidRDefault="00000000">
      <w:pPr>
        <w:spacing w:after="100"/>
        <w:ind w:right="300" w:hanging="300"/>
        <w:jc w:val="right"/>
      </w:pPr>
      <w:r>
        <w:rPr>
          <w:color w:val="222222"/>
          <w:sz w:val="23"/>
          <w:szCs w:val="23"/>
        </w:rPr>
        <w:t>20. الغزالي، أبو حامد. (د.ت.). إحياء علوم الدين. بيروت: دار المعرفة.</w:t>
      </w:r>
    </w:p>
    <w:sectPr w:rsidR="005A6F55">
      <w:headerReference w:type="default" r:id="rId7"/>
      <w:footerReference w:type="default" r:id="rId8"/>
      <w:pgSz w:w="11906" w:h="16838"/>
      <w:pgMar w:top="1134" w:right="1417" w:bottom="1134"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BBA57" w14:textId="77777777" w:rsidR="007301D8" w:rsidRDefault="007301D8">
      <w:r>
        <w:separator/>
      </w:r>
    </w:p>
  </w:endnote>
  <w:endnote w:type="continuationSeparator" w:id="0">
    <w:p w14:paraId="62DB7DD0" w14:textId="77777777" w:rsidR="007301D8" w:rsidRDefault="007301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aditional Arabic">
    <w:panose1 w:val="02020603050405020304"/>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 w:name="Aptos">
    <w:panose1 w:val="020B0004020202020204"/>
    <w:charset w:val="00"/>
    <w:family w:val="roman"/>
    <w:notTrueType/>
    <w:pitch w:val="default"/>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975C8" w14:textId="77777777" w:rsidR="005A6F55" w:rsidRDefault="00000000">
    <w:pPr>
      <w:jc w:val="center"/>
    </w:pPr>
    <w:r>
      <w:rPr>
        <w:color w:val="777777"/>
        <w:sz w:val="18"/>
        <w:szCs w:val="18"/>
      </w:rPr>
      <w:t xml:space="preserve">صفحة </w:t>
    </w:r>
    <w:r>
      <w:rPr>
        <w:color w:val="777777"/>
        <w:sz w:val="18"/>
        <w:szCs w:val="18"/>
      </w:rPr>
      <w:fldChar w:fldCharType="begin"/>
    </w:r>
    <w:r>
      <w:rPr>
        <w:color w:val="777777"/>
        <w:sz w:val="18"/>
        <w:szCs w:val="18"/>
      </w:rPr>
      <w:instrText>PAGE</w:instrText>
    </w:r>
    <w:r>
      <w:rPr>
        <w:color w:val="777777"/>
        <w:sz w:val="18"/>
        <w:szCs w:val="18"/>
      </w:rPr>
      <w:fldChar w:fldCharType="separate"/>
    </w:r>
    <w:r>
      <w:rPr>
        <w:color w:val="777777"/>
        <w:sz w:val="18"/>
        <w:szCs w:val="18"/>
      </w:rPr>
      <w:fldChar w:fldCharType="end"/>
    </w:r>
    <w:r>
      <w:rPr>
        <w:color w:val="777777"/>
        <w:sz w:val="18"/>
        <w:szCs w:val="18"/>
      </w:rPr>
      <w:t xml:space="preserve"> من </w:t>
    </w:r>
    <w:r>
      <w:rPr>
        <w:color w:val="777777"/>
        <w:sz w:val="18"/>
        <w:szCs w:val="18"/>
      </w:rPr>
      <w:fldChar w:fldCharType="begin"/>
    </w:r>
    <w:r>
      <w:rPr>
        <w:color w:val="777777"/>
        <w:sz w:val="18"/>
        <w:szCs w:val="18"/>
      </w:rPr>
      <w:instrText>NUMPAGES</w:instrText>
    </w:r>
    <w:r>
      <w:rPr>
        <w:color w:val="777777"/>
        <w:sz w:val="18"/>
        <w:szCs w:val="18"/>
      </w:rPr>
      <w:fldChar w:fldCharType="separate"/>
    </w:r>
    <w:r>
      <w:rPr>
        <w:color w:val="777777"/>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C9B45" w14:textId="77777777" w:rsidR="007301D8" w:rsidRDefault="007301D8">
      <w:r>
        <w:separator/>
      </w:r>
    </w:p>
  </w:footnote>
  <w:footnote w:type="continuationSeparator" w:id="0">
    <w:p w14:paraId="1DA274C8" w14:textId="77777777" w:rsidR="007301D8" w:rsidRDefault="007301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29978" w14:textId="77777777" w:rsidR="005A6F55" w:rsidRDefault="00000000">
    <w:pPr>
      <w:pBdr>
        <w:bottom w:val="single" w:sz="6" w:space="4" w:color="B8860B"/>
      </w:pBdr>
      <w:jc w:val="center"/>
    </w:pPr>
    <w:r>
      <w:rPr>
        <w:color w:val="0F6674"/>
        <w:sz w:val="18"/>
        <w:szCs w:val="18"/>
      </w:rPr>
      <w:t>علم النفس الاستخلافي — دراسة حالة موسّعة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8D5286"/>
    <w:multiLevelType w:val="hybridMultilevel"/>
    <w:tmpl w:val="FFFFFFFF"/>
    <w:lvl w:ilvl="0" w:tplc="3034A4CA">
      <w:start w:val="1"/>
      <w:numFmt w:val="bullet"/>
      <w:lvlText w:val="●"/>
      <w:lvlJc w:val="left"/>
      <w:pPr>
        <w:ind w:left="720" w:hanging="360"/>
      </w:pPr>
    </w:lvl>
    <w:lvl w:ilvl="1" w:tplc="75D282C2">
      <w:start w:val="1"/>
      <w:numFmt w:val="bullet"/>
      <w:lvlText w:val="○"/>
      <w:lvlJc w:val="left"/>
      <w:pPr>
        <w:ind w:left="1440" w:hanging="360"/>
      </w:pPr>
    </w:lvl>
    <w:lvl w:ilvl="2" w:tplc="DCB23772">
      <w:start w:val="1"/>
      <w:numFmt w:val="bullet"/>
      <w:lvlText w:val="■"/>
      <w:lvlJc w:val="left"/>
      <w:pPr>
        <w:ind w:left="2160" w:hanging="360"/>
      </w:pPr>
    </w:lvl>
    <w:lvl w:ilvl="3" w:tplc="8BB64D4E">
      <w:start w:val="1"/>
      <w:numFmt w:val="bullet"/>
      <w:lvlText w:val="●"/>
      <w:lvlJc w:val="left"/>
      <w:pPr>
        <w:ind w:left="2880" w:hanging="360"/>
      </w:pPr>
    </w:lvl>
    <w:lvl w:ilvl="4" w:tplc="FC420A52">
      <w:start w:val="1"/>
      <w:numFmt w:val="bullet"/>
      <w:lvlText w:val="○"/>
      <w:lvlJc w:val="left"/>
      <w:pPr>
        <w:ind w:left="3600" w:hanging="360"/>
      </w:pPr>
    </w:lvl>
    <w:lvl w:ilvl="5" w:tplc="549C35B2">
      <w:start w:val="1"/>
      <w:numFmt w:val="bullet"/>
      <w:lvlText w:val="■"/>
      <w:lvlJc w:val="left"/>
      <w:pPr>
        <w:ind w:left="4320" w:hanging="360"/>
      </w:pPr>
    </w:lvl>
    <w:lvl w:ilvl="6" w:tplc="77D0DB5C">
      <w:start w:val="1"/>
      <w:numFmt w:val="bullet"/>
      <w:lvlText w:val="●"/>
      <w:lvlJc w:val="left"/>
      <w:pPr>
        <w:ind w:left="5040" w:hanging="360"/>
      </w:pPr>
    </w:lvl>
    <w:lvl w:ilvl="7" w:tplc="D700C3C8">
      <w:start w:val="1"/>
      <w:numFmt w:val="bullet"/>
      <w:lvlText w:val="●"/>
      <w:lvlJc w:val="left"/>
      <w:pPr>
        <w:ind w:left="5760" w:hanging="360"/>
      </w:pPr>
    </w:lvl>
    <w:lvl w:ilvl="8" w:tplc="8A125776">
      <w:start w:val="1"/>
      <w:numFmt w:val="bullet"/>
      <w:lvlText w:val="●"/>
      <w:lvlJc w:val="left"/>
      <w:pPr>
        <w:ind w:left="6480" w:hanging="360"/>
      </w:pPr>
    </w:lvl>
  </w:abstractNum>
  <w:num w:numId="1" w16cid:durableId="12277346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F55"/>
    <w:rsid w:val="00377FD8"/>
    <w:rsid w:val="005A6F55"/>
    <w:rsid w:val="007301D8"/>
    <w:rsid w:val="007C3FB0"/>
    <w:rsid w:val="00BD78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B3BE119"/>
  <w15:docId w15:val="{E395CD1E-FF53-3445-A110-356C04407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aditional Arabic" w:eastAsia="Traditional Arabic" w:hAnsi="Traditional Arabic" w:cs="Traditional Arabic"/>
        <w:sz w:val="25"/>
        <w:szCs w:val="25"/>
        <w:rt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uiPriority w:val="9"/>
    <w:qFormat/>
    <w:pPr>
      <w:outlineLvl w:val="0"/>
    </w:pPr>
    <w:rPr>
      <w:color w:val="2E74B5"/>
      <w:sz w:val="32"/>
      <w:szCs w:val="32"/>
    </w:rPr>
  </w:style>
  <w:style w:type="paragraph" w:styleId="2">
    <w:name w:val="heading 2"/>
    <w:uiPriority w:val="9"/>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تشديد1"/>
    <w:qFormat/>
    <w:rPr>
      <w:b/>
      <w:bCs/>
    </w:rPr>
  </w:style>
  <w:style w:type="paragraph" w:styleId="a4">
    <w:name w:val="List Paragraph"/>
    <w:qFormat/>
  </w:style>
  <w:style w:type="character" w:styleId="Hyperlink">
    <w:name w:val="Hyperlink"/>
    <w:uiPriority w:val="99"/>
    <w:unhideWhenUsed/>
    <w:rPr>
      <w:color w:val="0563C1"/>
      <w:u w:val="single"/>
    </w:rPr>
  </w:style>
  <w:style w:type="character" w:styleId="a5">
    <w:name w:val="footnote reference"/>
    <w:uiPriority w:val="99"/>
    <w:semiHidden/>
    <w:unhideWhenUsed/>
    <w:rPr>
      <w:vertAlign w:val="superscript"/>
    </w:rPr>
  </w:style>
  <w:style w:type="paragraph" w:styleId="a6">
    <w:name w:val="footnote text"/>
    <w:link w:val="Char"/>
    <w:uiPriority w:val="99"/>
    <w:semiHidden/>
    <w:unhideWhenUsed/>
    <w:rPr>
      <w:sz w:val="20"/>
      <w:szCs w:val="20"/>
    </w:rPr>
  </w:style>
  <w:style w:type="character" w:customStyle="1" w:styleId="Char">
    <w:name w:val="نص حاشية سفلية Char"/>
    <w:link w:val="a6"/>
    <w:uiPriority w:val="99"/>
    <w:semiHidden/>
    <w:unhideWhenUsed/>
    <w:rPr>
      <w:sz w:val="20"/>
      <w:szCs w:val="20"/>
    </w:rPr>
  </w:style>
  <w:style w:type="character" w:styleId="a7">
    <w:name w:val="endnote reference"/>
    <w:uiPriority w:val="99"/>
    <w:semiHidden/>
    <w:unhideWhenUsed/>
    <w:rPr>
      <w:vertAlign w:val="superscript"/>
    </w:rPr>
  </w:style>
  <w:style w:type="paragraph" w:styleId="a8">
    <w:name w:val="endnote text"/>
    <w:link w:val="Char0"/>
    <w:uiPriority w:val="99"/>
    <w:semiHidden/>
    <w:unhideWhenUsed/>
    <w:rPr>
      <w:sz w:val="20"/>
      <w:szCs w:val="20"/>
    </w:rPr>
  </w:style>
  <w:style w:type="character" w:customStyle="1" w:styleId="Char0">
    <w:name w:val="نص تعليق ختامي Char"/>
    <w:link w:val="a8"/>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3032</Words>
  <Characters>17288</Characters>
  <Application>Microsoft Office Word</Application>
  <DocSecurity>0</DocSecurity>
  <Lines>144</Lines>
  <Paragraphs>40</Paragraphs>
  <ScaleCrop>false</ScaleCrop>
  <Company/>
  <LinksUpToDate>false</LinksUpToDate>
  <CharactersWithSpaces>20280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من الصياغة السريرية إلى التشخيص الوجودي</dc:title>
  <dc:creator>Istikhlafi Psychology Research</dc:creator>
  <cp:lastModifiedBy>zaraaabdesslem@gmail.com</cp:lastModifiedBy>
  <cp:revision>3</cp:revision>
  <dcterms:created xsi:type="dcterms:W3CDTF">2026-09-11T21:51:00Z</dcterms:created>
  <dcterms:modified xsi:type="dcterms:W3CDTF">2026-09-11T21:52:00Z</dcterms:modified>
</cp:coreProperties>
</file>