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F5463" w14:textId="0A05BC2E" w:rsidR="00BF71BF" w:rsidRDefault="00FE2050">
      <w:pPr>
        <w:spacing w:after="100"/>
        <w:jc w:val="center"/>
      </w:pPr>
      <w:r>
        <w:rPr>
          <w:rFonts w:ascii="Traditional Arabic" w:eastAsia="Traditional Arabic" w:hAnsi="Traditional Arabic" w:cs="Traditional Arabic" w:hint="cs"/>
          <w:b/>
          <w:bCs/>
          <w:color w:val="1B2A4A"/>
          <w:sz w:val="40"/>
          <w:szCs w:val="40"/>
          <w:rtl/>
        </w:rPr>
        <w:t>د</w:t>
      </w:r>
      <w:r>
        <w:rPr>
          <w:rFonts w:ascii="Traditional Arabic" w:eastAsia="Traditional Arabic" w:hAnsi="Traditional Arabic" w:cs="Traditional Arabic"/>
          <w:b/>
          <w:bCs/>
          <w:color w:val="1B2A4A"/>
          <w:sz w:val="40"/>
          <w:szCs w:val="40"/>
          <w:rtl/>
        </w:rPr>
        <w:t xml:space="preserve">راسة تحليلية في علم النفس </w:t>
      </w:r>
      <w:r w:rsidR="003B6697">
        <w:rPr>
          <w:rFonts w:ascii="Traditional Arabic" w:eastAsia="Traditional Arabic" w:hAnsi="Traditional Arabic" w:cs="Traditional Arabic" w:hint="cs"/>
          <w:b/>
          <w:bCs/>
          <w:color w:val="1B2A4A"/>
          <w:sz w:val="40"/>
          <w:szCs w:val="40"/>
          <w:rtl/>
        </w:rPr>
        <w:t>الغربي</w:t>
      </w:r>
    </w:p>
    <w:p w14:paraId="400558D2" w14:textId="77777777" w:rsidR="00BF71BF" w:rsidRDefault="00FE2050">
      <w:pPr>
        <w:spacing w:after="100"/>
        <w:jc w:val="center"/>
      </w:pPr>
      <w:r>
        <w:rPr>
          <w:rFonts w:ascii="Traditional Arabic" w:eastAsia="Traditional Arabic" w:hAnsi="Traditional Arabic" w:cs="Traditional Arabic"/>
          <w:b/>
          <w:bCs/>
          <w:color w:val="1F6F6B"/>
          <w:sz w:val="30"/>
          <w:szCs w:val="30"/>
          <w:rtl/>
        </w:rPr>
        <w:t>النرجسية الأبوية وأنماط التعلّق غير الآمن: دراسة حالة في ديناميكا الأسرة وامتداداتها على الزواج والحميمية</w:t>
      </w:r>
    </w:p>
    <w:p w14:paraId="0BDB0243" w14:textId="77777777" w:rsidR="004452B2" w:rsidRDefault="004452B2">
      <w:pPr>
        <w:spacing w:after="400"/>
        <w:jc w:val="center"/>
        <w:rPr>
          <w:rFonts w:ascii="Traditional Arabic" w:eastAsia="Traditional Arabic" w:hAnsi="Traditional Arabic" w:cs="Traditional Arabic"/>
          <w:i/>
          <w:iCs/>
          <w:color w:val="1A1A1A"/>
          <w:sz w:val="22"/>
          <w:szCs w:val="22"/>
          <w:rtl/>
        </w:rPr>
      </w:pPr>
      <w:r>
        <w:rPr>
          <w:rFonts w:ascii="Traditional Arabic" w:eastAsia="Traditional Arabic" w:hAnsi="Traditional Arabic" w:cs="Traditional Arabic" w:hint="cs"/>
          <w:i/>
          <w:iCs/>
          <w:color w:val="1A1A1A"/>
          <w:sz w:val="22"/>
          <w:szCs w:val="22"/>
          <w:rtl/>
        </w:rPr>
        <w:t xml:space="preserve"> </w:t>
      </w:r>
    </w:p>
    <w:p w14:paraId="282D37B3" w14:textId="34C88675" w:rsidR="00BF71BF" w:rsidRDefault="00FE2050">
      <w:pPr>
        <w:spacing w:after="400"/>
        <w:jc w:val="center"/>
        <w:rPr>
          <w:rtl/>
        </w:rPr>
      </w:pPr>
      <w:r>
        <w:rPr>
          <w:rFonts w:ascii="Traditional Arabic" w:eastAsia="Traditional Arabic" w:hAnsi="Traditional Arabic" w:cs="Traditional Arabic"/>
          <w:i/>
          <w:iCs/>
          <w:color w:val="1A1A1A"/>
          <w:sz w:val="22"/>
          <w:szCs w:val="22"/>
          <w:rtl/>
        </w:rPr>
        <w:t xml:space="preserve">قراءة سيكولوجية مقارنة في ضوء المعايير التشخيصية لاضطراب الشخصية النرجسية (DSM-5) ونظرية التعلّق عند جون </w:t>
      </w:r>
      <w:proofErr w:type="spellStart"/>
      <w:r>
        <w:rPr>
          <w:rFonts w:ascii="Traditional Arabic" w:eastAsia="Traditional Arabic" w:hAnsi="Traditional Arabic" w:cs="Traditional Arabic"/>
          <w:i/>
          <w:iCs/>
          <w:color w:val="1A1A1A"/>
          <w:sz w:val="22"/>
          <w:szCs w:val="22"/>
          <w:rtl/>
        </w:rPr>
        <w:t>بولبي</w:t>
      </w:r>
      <w:proofErr w:type="spellEnd"/>
    </w:p>
    <w:p w14:paraId="49E66AA3" w14:textId="674A9053" w:rsidR="00AB5212" w:rsidRDefault="00AB5212">
      <w:pPr>
        <w:spacing w:after="400"/>
        <w:jc w:val="center"/>
        <w:rPr>
          <w:rtl/>
        </w:rPr>
      </w:pPr>
      <w:r>
        <w:rPr>
          <w:rFonts w:hint="cs"/>
          <w:rtl/>
        </w:rPr>
        <w:t xml:space="preserve">بقلم :عبد السلام الزراع </w:t>
      </w:r>
    </w:p>
    <w:p w14:paraId="53C6756C" w14:textId="1E0689C6" w:rsidR="00EE33EF" w:rsidRDefault="00EE33EF">
      <w:pPr>
        <w:spacing w:after="400"/>
        <w:jc w:val="center"/>
      </w:pPr>
      <w:r>
        <w:rPr>
          <w:rFonts w:hint="cs"/>
          <w:rtl/>
        </w:rPr>
        <w:t>ج : (1)</w:t>
      </w:r>
    </w:p>
    <w:p w14:paraId="69BE8579" w14:textId="77777777" w:rsidR="00BF71BF" w:rsidRDefault="00BF71BF">
      <w:pPr>
        <w:pBdr>
          <w:bottom w:val="single" w:sz="6" w:space="1" w:color="B8912F"/>
        </w:pBdr>
        <w:spacing w:before="200" w:after="200"/>
      </w:pPr>
    </w:p>
    <w:p w14:paraId="4D135CAE" w14:textId="77777777" w:rsidR="00BF71BF" w:rsidRDefault="00FE2050" w:rsidP="00E00B54">
      <w:pPr>
        <w:pStyle w:val="1"/>
        <w:pBdr>
          <w:bottom w:val="single" w:sz="8" w:space="4" w:color="B8912F"/>
        </w:pBdr>
        <w:bidi/>
        <w:spacing w:before="400" w:after="200"/>
      </w:pPr>
      <w:r>
        <w:rPr>
          <w:rFonts w:ascii="Traditional Arabic" w:eastAsia="Traditional Arabic" w:hAnsi="Traditional Arabic" w:cs="Traditional Arabic"/>
          <w:b/>
          <w:bCs/>
          <w:color w:val="1B2A4A"/>
          <w:rtl/>
        </w:rPr>
        <w:t>مقدمة نظرية: الإطار المرجعي المزدوج</w:t>
      </w:r>
    </w:p>
    <w:p w14:paraId="7AD7645C" w14:textId="77777777" w:rsidR="00BF71BF" w:rsidRDefault="00FE2050" w:rsidP="00E00B54">
      <w:pPr>
        <w:spacing w:after="180" w:line="336" w:lineRule="auto"/>
      </w:pPr>
      <w:r>
        <w:rPr>
          <w:rFonts w:ascii="Traditional Arabic" w:eastAsia="Traditional Arabic" w:hAnsi="Traditional Arabic" w:cs="Traditional Arabic"/>
          <w:color w:val="1A1A1A"/>
          <w:sz w:val="24"/>
          <w:szCs w:val="24"/>
          <w:rtl/>
        </w:rPr>
        <w:t>تنطلق هذه الدراسة من افتراض منهجي مفاده أن الظواهر الأسرية المعقّدة لا تُفهم فهماً كافياً من خلال منظور تفسيري واحد، بل تستدعي تقاطع أُطر نظرية متكاملة. يُعتمد هنا إطاران مرجعيان أساسيان: الإطار الأول إكلينيكي-تصنيفي يتمثّل في المعايير التشخيصية لاضطراب الشخصية النرجسية كما وردت في الدليل التشخيصي والإحصائي الخامس للاضطرابات النفسية الصادر عن الجمعية الأمريكية للطب النفسي (</w:t>
      </w:r>
      <w:proofErr w:type="spellStart"/>
      <w:r>
        <w:rPr>
          <w:rFonts w:ascii="Traditional Arabic" w:eastAsia="Traditional Arabic" w:hAnsi="Traditional Arabic" w:cs="Traditional Arabic"/>
          <w:color w:val="1A1A1A"/>
          <w:sz w:val="24"/>
          <w:szCs w:val="24"/>
          <w:rtl/>
        </w:rPr>
        <w:t>American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Psychiatric</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Association</w:t>
      </w:r>
      <w:proofErr w:type="spellEnd"/>
      <w:r>
        <w:rPr>
          <w:rFonts w:ascii="Traditional Arabic" w:eastAsia="Traditional Arabic" w:hAnsi="Traditional Arabic" w:cs="Traditional Arabic"/>
          <w:color w:val="1A1A1A"/>
          <w:sz w:val="24"/>
          <w:szCs w:val="24"/>
          <w:rtl/>
        </w:rPr>
        <w:t xml:space="preserve">, 2013)، والإطار الثاني نمائي-علائقي يتمثّل في نظرية التعلّق التي </w:t>
      </w:r>
      <w:proofErr w:type="spellStart"/>
      <w:r>
        <w:rPr>
          <w:rFonts w:ascii="Traditional Arabic" w:eastAsia="Traditional Arabic" w:hAnsi="Traditional Arabic" w:cs="Traditional Arabic"/>
          <w:color w:val="1A1A1A"/>
          <w:sz w:val="24"/>
          <w:szCs w:val="24"/>
          <w:rtl/>
        </w:rPr>
        <w:t>أرساها</w:t>
      </w:r>
      <w:proofErr w:type="spellEnd"/>
      <w:r>
        <w:rPr>
          <w:rFonts w:ascii="Traditional Arabic" w:eastAsia="Traditional Arabic" w:hAnsi="Traditional Arabic" w:cs="Traditional Arabic"/>
          <w:color w:val="1A1A1A"/>
          <w:sz w:val="24"/>
          <w:szCs w:val="24"/>
          <w:rtl/>
        </w:rPr>
        <w:t xml:space="preserve"> جون </w:t>
      </w:r>
      <w:proofErr w:type="spellStart"/>
      <w:r>
        <w:rPr>
          <w:rFonts w:ascii="Traditional Arabic" w:eastAsia="Traditional Arabic" w:hAnsi="Traditional Arabic" w:cs="Traditional Arabic"/>
          <w:color w:val="1A1A1A"/>
          <w:sz w:val="24"/>
          <w:szCs w:val="24"/>
          <w:rtl/>
        </w:rPr>
        <w:t>بولبي</w:t>
      </w:r>
      <w:proofErr w:type="spellEnd"/>
      <w:r>
        <w:rPr>
          <w:rFonts w:ascii="Traditional Arabic" w:eastAsia="Traditional Arabic" w:hAnsi="Traditional Arabic" w:cs="Traditional Arabic"/>
          <w:color w:val="1A1A1A"/>
          <w:sz w:val="24"/>
          <w:szCs w:val="24"/>
          <w:rtl/>
        </w:rPr>
        <w:t xml:space="preserve"> في </w:t>
      </w:r>
      <w:proofErr w:type="spellStart"/>
      <w:r>
        <w:rPr>
          <w:rFonts w:ascii="Traditional Arabic" w:eastAsia="Traditional Arabic" w:hAnsi="Traditional Arabic" w:cs="Traditional Arabic"/>
          <w:color w:val="1A1A1A"/>
          <w:sz w:val="24"/>
          <w:szCs w:val="24"/>
          <w:rtl/>
        </w:rPr>
        <w:t>ثلاثيته</w:t>
      </w:r>
      <w:proofErr w:type="spellEnd"/>
      <w:r>
        <w:rPr>
          <w:rFonts w:ascii="Traditional Arabic" w:eastAsia="Traditional Arabic" w:hAnsi="Traditional Arabic" w:cs="Traditional Arabic"/>
          <w:color w:val="1A1A1A"/>
          <w:sz w:val="24"/>
          <w:szCs w:val="24"/>
          <w:rtl/>
        </w:rPr>
        <w:t xml:space="preserve"> المرجعية </w:t>
      </w:r>
      <w:proofErr w:type="spellStart"/>
      <w:r>
        <w:rPr>
          <w:rFonts w:ascii="Traditional Arabic" w:eastAsia="Traditional Arabic" w:hAnsi="Traditional Arabic" w:cs="Traditional Arabic"/>
          <w:color w:val="1A1A1A"/>
          <w:sz w:val="24"/>
          <w:szCs w:val="24"/>
          <w:rtl/>
        </w:rPr>
        <w:t>Attachment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Loss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Bowlby</w:t>
      </w:r>
      <w:proofErr w:type="spellEnd"/>
      <w:r>
        <w:rPr>
          <w:rFonts w:ascii="Traditional Arabic" w:eastAsia="Traditional Arabic" w:hAnsi="Traditional Arabic" w:cs="Traditional Arabic"/>
          <w:color w:val="1A1A1A"/>
          <w:sz w:val="24"/>
          <w:szCs w:val="24"/>
          <w:rtl/>
        </w:rPr>
        <w:t xml:space="preserve">, 1969, 1973, 1980)، وطوّرتها لاحقاً ماري </w:t>
      </w:r>
      <w:proofErr w:type="spellStart"/>
      <w:r>
        <w:rPr>
          <w:rFonts w:ascii="Traditional Arabic" w:eastAsia="Traditional Arabic" w:hAnsi="Traditional Arabic" w:cs="Traditional Arabic"/>
          <w:color w:val="1A1A1A"/>
          <w:sz w:val="24"/>
          <w:szCs w:val="24"/>
          <w:rtl/>
        </w:rPr>
        <w:t>أينسورث</w:t>
      </w:r>
      <w:proofErr w:type="spellEnd"/>
      <w:r>
        <w:rPr>
          <w:rFonts w:ascii="Traditional Arabic" w:eastAsia="Traditional Arabic" w:hAnsi="Traditional Arabic" w:cs="Traditional Arabic"/>
          <w:color w:val="1A1A1A"/>
          <w:sz w:val="24"/>
          <w:szCs w:val="24"/>
          <w:rtl/>
        </w:rPr>
        <w:t xml:space="preserve"> من خلال منهجية «الموقف الغريب» (</w:t>
      </w:r>
      <w:proofErr w:type="spellStart"/>
      <w:r>
        <w:rPr>
          <w:rFonts w:ascii="Traditional Arabic" w:eastAsia="Traditional Arabic" w:hAnsi="Traditional Arabic" w:cs="Traditional Arabic"/>
          <w:color w:val="1A1A1A"/>
          <w:sz w:val="24"/>
          <w:szCs w:val="24"/>
          <w:rtl/>
        </w:rPr>
        <w:t>Ainsworth</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Blehar</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Waters</w:t>
      </w:r>
      <w:proofErr w:type="spellEnd"/>
      <w:r>
        <w:rPr>
          <w:rFonts w:ascii="Traditional Arabic" w:eastAsia="Traditional Arabic" w:hAnsi="Traditional Arabic" w:cs="Traditional Arabic"/>
          <w:color w:val="1A1A1A"/>
          <w:sz w:val="24"/>
          <w:szCs w:val="24"/>
          <w:rtl/>
        </w:rPr>
        <w:t xml:space="preserve"> &amp; </w:t>
      </w:r>
      <w:proofErr w:type="spellStart"/>
      <w:r>
        <w:rPr>
          <w:rFonts w:ascii="Traditional Arabic" w:eastAsia="Traditional Arabic" w:hAnsi="Traditional Arabic" w:cs="Traditional Arabic"/>
          <w:color w:val="1A1A1A"/>
          <w:sz w:val="24"/>
          <w:szCs w:val="24"/>
          <w:rtl/>
        </w:rPr>
        <w:t>Wall</w:t>
      </w:r>
      <w:proofErr w:type="spellEnd"/>
      <w:r>
        <w:rPr>
          <w:rFonts w:ascii="Traditional Arabic" w:eastAsia="Traditional Arabic" w:hAnsi="Traditional Arabic" w:cs="Traditional Arabic"/>
          <w:color w:val="1A1A1A"/>
          <w:sz w:val="24"/>
          <w:szCs w:val="24"/>
          <w:rtl/>
        </w:rPr>
        <w:t>, 1978).</w:t>
      </w:r>
    </w:p>
    <w:p w14:paraId="343225DE" w14:textId="77777777" w:rsidR="00BF71BF" w:rsidRDefault="00FE2050" w:rsidP="00E00B54">
      <w:pPr>
        <w:spacing w:after="180" w:line="336" w:lineRule="auto"/>
      </w:pPr>
      <w:r>
        <w:rPr>
          <w:rFonts w:ascii="Traditional Arabic" w:eastAsia="Traditional Arabic" w:hAnsi="Traditional Arabic" w:cs="Traditional Arabic"/>
          <w:color w:val="1A1A1A"/>
          <w:sz w:val="24"/>
          <w:szCs w:val="24"/>
          <w:rtl/>
        </w:rPr>
        <w:t>يتيح الجمع بين الإطارين تفسير الحالة موضوع الدراسة على مستويين متكاملين: مستوى بنيوي يتعلّق بسمات الشخصية الوالدية المهيمنة على النسق الأسري، ومستوى نمائي-وظيفي يتعلّق بالكيفية التي يُدمج بها الأبناء هذه التجربة العلائقية في «نماذج العمل الداخلية» (</w:t>
      </w:r>
      <w:proofErr w:type="spellStart"/>
      <w:r>
        <w:rPr>
          <w:rFonts w:ascii="Traditional Arabic" w:eastAsia="Traditional Arabic" w:hAnsi="Traditional Arabic" w:cs="Traditional Arabic"/>
          <w:color w:val="1A1A1A"/>
          <w:sz w:val="24"/>
          <w:szCs w:val="24"/>
          <w:rtl/>
        </w:rPr>
        <w:t>Internal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Working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Models</w:t>
      </w:r>
      <w:proofErr w:type="spellEnd"/>
      <w:r>
        <w:rPr>
          <w:rFonts w:ascii="Traditional Arabic" w:eastAsia="Traditional Arabic" w:hAnsi="Traditional Arabic" w:cs="Traditional Arabic"/>
          <w:color w:val="1A1A1A"/>
          <w:sz w:val="24"/>
          <w:szCs w:val="24"/>
          <w:rtl/>
        </w:rPr>
        <w:t>) التي توجّه سلوكهم العاطفي والعلائقي لاحقاً في الحياة، بما في ذلك الزواج والحميمية الجنسية. وتجدر الإشارة منهجياً إلى أن أي وصف لسمات نرجسية في سياق أسري لا يُعدّ بالضرورة تشخيصاً إكلينيكياً رسمياً بالمعنى الدقيق، إذ يستلزم التشخيص الرسمي تقييماً سريرياً مباشراً؛ وإنما هو قراءة تحليلية تستند إلى مؤشرات سلوكية موصوفة، تُستخدم لأغراض الفهم النظري والتوعوي.</w:t>
      </w:r>
    </w:p>
    <w:p w14:paraId="02E386A6" w14:textId="77777777" w:rsidR="00BF71BF" w:rsidRDefault="00FE2050" w:rsidP="00E00B54">
      <w:pPr>
        <w:pStyle w:val="1"/>
        <w:pBdr>
          <w:bottom w:val="single" w:sz="8" w:space="4" w:color="B8912F"/>
        </w:pBdr>
        <w:bidi/>
        <w:spacing w:before="400" w:after="200"/>
      </w:pPr>
      <w:r>
        <w:rPr>
          <w:rFonts w:ascii="Traditional Arabic" w:eastAsia="Traditional Arabic" w:hAnsi="Traditional Arabic" w:cs="Traditional Arabic"/>
          <w:b/>
          <w:bCs/>
          <w:color w:val="1B2A4A"/>
          <w:rtl/>
        </w:rPr>
        <w:t>أولاً: البنية النرجسية للأب — قراءة في ضوء معايير DSM-5</w:t>
      </w:r>
    </w:p>
    <w:p w14:paraId="6DB14F57" w14:textId="77777777" w:rsidR="00BF71BF" w:rsidRDefault="00FE2050" w:rsidP="00E00B54">
      <w:pPr>
        <w:spacing w:after="180" w:line="336" w:lineRule="auto"/>
      </w:pPr>
      <w:r>
        <w:rPr>
          <w:rFonts w:ascii="Traditional Arabic" w:eastAsia="Traditional Arabic" w:hAnsi="Traditional Arabic" w:cs="Traditional Arabic"/>
          <w:color w:val="1A1A1A"/>
          <w:sz w:val="24"/>
          <w:szCs w:val="24"/>
          <w:rtl/>
        </w:rPr>
        <w:t>يشترط الدليل التشخيصي والإحصائي الخامس توفر خمسة معايير على الأقل من تسعة لتشخيص اضطراب الشخصية النرجسية (</w:t>
      </w:r>
      <w:proofErr w:type="spellStart"/>
      <w:r>
        <w:rPr>
          <w:rFonts w:ascii="Traditional Arabic" w:eastAsia="Traditional Arabic" w:hAnsi="Traditional Arabic" w:cs="Traditional Arabic"/>
          <w:color w:val="1A1A1A"/>
          <w:sz w:val="24"/>
          <w:szCs w:val="24"/>
          <w:rtl/>
        </w:rPr>
        <w:t>American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Psychiatric</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Association</w:t>
      </w:r>
      <w:proofErr w:type="spellEnd"/>
      <w:r>
        <w:rPr>
          <w:rFonts w:ascii="Traditional Arabic" w:eastAsia="Traditional Arabic" w:hAnsi="Traditional Arabic" w:cs="Traditional Arabic"/>
          <w:color w:val="1A1A1A"/>
          <w:sz w:val="24"/>
          <w:szCs w:val="24"/>
          <w:rtl/>
        </w:rPr>
        <w:t xml:space="preserve">, 2013, </w:t>
      </w:r>
      <w:proofErr w:type="spellStart"/>
      <w:r>
        <w:rPr>
          <w:rFonts w:ascii="Traditional Arabic" w:eastAsia="Traditional Arabic" w:hAnsi="Traditional Arabic" w:cs="Traditional Arabic"/>
          <w:color w:val="1A1A1A"/>
          <w:sz w:val="24"/>
          <w:szCs w:val="24"/>
          <w:rtl/>
        </w:rPr>
        <w:t>pp</w:t>
      </w:r>
      <w:proofErr w:type="spellEnd"/>
      <w:r>
        <w:rPr>
          <w:rFonts w:ascii="Traditional Arabic" w:eastAsia="Traditional Arabic" w:hAnsi="Traditional Arabic" w:cs="Traditional Arabic"/>
          <w:color w:val="1A1A1A"/>
          <w:sz w:val="24"/>
          <w:szCs w:val="24"/>
          <w:rtl/>
        </w:rPr>
        <w:t>. 669–670)، وأبرزها إحساس متضخم بالأهمية الذاتية، وانشغال بخيالات النجاح أو السلطة أو الإعجاب المطلق، والاعتقاد بالتفرّد، والحاجة المفرطة للإعجاب، والشعور بالاستحقاق، واستغلال الآخرين لتحقيق مآرب شخصية، وغياب التعاطف. وتتقاطع السلوكيات الموصوفة في الحالة قيد البحث مع عدد من هذه المعايير على النحو التالي:</w:t>
      </w:r>
    </w:p>
    <w:p w14:paraId="463DAFEC" w14:textId="77777777" w:rsidR="00BF71BF" w:rsidRDefault="00FE2050" w:rsidP="00E00B54">
      <w:pPr>
        <w:pStyle w:val="2"/>
        <w:bidi/>
        <w:spacing w:before="300" w:after="150"/>
      </w:pPr>
      <w:r>
        <w:rPr>
          <w:rFonts w:ascii="Traditional Arabic" w:eastAsia="Traditional Arabic" w:hAnsi="Traditional Arabic" w:cs="Traditional Arabic"/>
          <w:b/>
          <w:bCs/>
          <w:color w:val="1F6F6B"/>
          <w:sz w:val="27"/>
          <w:szCs w:val="27"/>
          <w:rtl/>
        </w:rPr>
        <w:t>١. الحاجة المفرطة للإعجاب وإدارة الصورة الاجتماعية</w:t>
      </w:r>
    </w:p>
    <w:p w14:paraId="4792D01E" w14:textId="77777777" w:rsidR="00BF71BF" w:rsidRDefault="00FE2050" w:rsidP="00E00B54">
      <w:pPr>
        <w:spacing w:after="180" w:line="336" w:lineRule="auto"/>
      </w:pPr>
      <w:r>
        <w:rPr>
          <w:rFonts w:ascii="Traditional Arabic" w:eastAsia="Traditional Arabic" w:hAnsi="Traditional Arabic" w:cs="Traditional Arabic"/>
          <w:color w:val="1A1A1A"/>
          <w:sz w:val="24"/>
          <w:szCs w:val="24"/>
          <w:rtl/>
        </w:rPr>
        <w:t xml:space="preserve">يُظهر الأب حرصاً بالغاً على إبراز صورة «الأب المتفاني» أمام المحيط الاجتماعي، وهو سلوك يتسق مع ما يصفه </w:t>
      </w:r>
      <w:proofErr w:type="spellStart"/>
      <w:r>
        <w:rPr>
          <w:rFonts w:ascii="Traditional Arabic" w:eastAsia="Traditional Arabic" w:hAnsi="Traditional Arabic" w:cs="Traditional Arabic"/>
          <w:color w:val="1A1A1A"/>
          <w:sz w:val="24"/>
          <w:szCs w:val="24"/>
          <w:rtl/>
        </w:rPr>
        <w:t>هاينز</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كوهوت</w:t>
      </w:r>
      <w:proofErr w:type="spellEnd"/>
      <w:r>
        <w:rPr>
          <w:rFonts w:ascii="Traditional Arabic" w:eastAsia="Traditional Arabic" w:hAnsi="Traditional Arabic" w:cs="Traditional Arabic"/>
          <w:color w:val="1A1A1A"/>
          <w:sz w:val="24"/>
          <w:szCs w:val="24"/>
          <w:rtl/>
        </w:rPr>
        <w:t xml:space="preserve"> بـ«الذات </w:t>
      </w:r>
      <w:proofErr w:type="spellStart"/>
      <w:r>
        <w:rPr>
          <w:rFonts w:ascii="Traditional Arabic" w:eastAsia="Traditional Arabic" w:hAnsi="Traditional Arabic" w:cs="Traditional Arabic"/>
          <w:color w:val="1A1A1A"/>
          <w:sz w:val="24"/>
          <w:szCs w:val="24"/>
          <w:rtl/>
        </w:rPr>
        <w:t>الكبراوية</w:t>
      </w:r>
      <w:proofErr w:type="spellEnd"/>
      <w:r>
        <w:rPr>
          <w:rFonts w:ascii="Traditional Arabic" w:eastAsia="Traditional Arabic" w:hAnsi="Traditional Arabic" w:cs="Traditional Arabic"/>
          <w:color w:val="1A1A1A"/>
          <w:sz w:val="24"/>
          <w:szCs w:val="24"/>
          <w:rtl/>
        </w:rPr>
        <w:t>» (</w:t>
      </w:r>
      <w:proofErr w:type="spellStart"/>
      <w:r>
        <w:rPr>
          <w:rFonts w:ascii="Traditional Arabic" w:eastAsia="Traditional Arabic" w:hAnsi="Traditional Arabic" w:cs="Traditional Arabic"/>
          <w:color w:val="1A1A1A"/>
          <w:sz w:val="24"/>
          <w:szCs w:val="24"/>
          <w:rtl/>
        </w:rPr>
        <w:t>grandiose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self</w:t>
      </w:r>
      <w:proofErr w:type="spellEnd"/>
      <w:r>
        <w:rPr>
          <w:rFonts w:ascii="Traditional Arabic" w:eastAsia="Traditional Arabic" w:hAnsi="Traditional Arabic" w:cs="Traditional Arabic"/>
          <w:color w:val="1A1A1A"/>
          <w:sz w:val="24"/>
          <w:szCs w:val="24"/>
          <w:rtl/>
        </w:rPr>
        <w:t>) التي تحتاج إلى تصديق خارجي مستمر لتثبيت تماسكها الداخلي الهش (</w:t>
      </w:r>
      <w:proofErr w:type="spellStart"/>
      <w:r>
        <w:rPr>
          <w:rFonts w:ascii="Traditional Arabic" w:eastAsia="Traditional Arabic" w:hAnsi="Traditional Arabic" w:cs="Traditional Arabic"/>
          <w:color w:val="1A1A1A"/>
          <w:sz w:val="24"/>
          <w:szCs w:val="24"/>
          <w:rtl/>
        </w:rPr>
        <w:t>Kohut</w:t>
      </w:r>
      <w:proofErr w:type="spellEnd"/>
      <w:r>
        <w:rPr>
          <w:rFonts w:ascii="Traditional Arabic" w:eastAsia="Traditional Arabic" w:hAnsi="Traditional Arabic" w:cs="Traditional Arabic"/>
          <w:color w:val="1A1A1A"/>
          <w:sz w:val="24"/>
          <w:szCs w:val="24"/>
          <w:rtl/>
        </w:rPr>
        <w:t xml:space="preserve">, 1971,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Analysis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Self</w:t>
      </w:r>
      <w:proofErr w:type="spellEnd"/>
      <w:r>
        <w:rPr>
          <w:rFonts w:ascii="Traditional Arabic" w:eastAsia="Traditional Arabic" w:hAnsi="Traditional Arabic" w:cs="Traditional Arabic"/>
          <w:color w:val="1A1A1A"/>
          <w:sz w:val="24"/>
          <w:szCs w:val="24"/>
          <w:rtl/>
        </w:rPr>
        <w:t>). فالمظهر الخارجي هنا ليس تعبيراً عن رعاية حقيقية بقدر ما هو آلية دفاعية لتعويض هشاشة تقدير الذات الداخلي، وهو ما يفسّر التناقض الملحوظ بين الصورة العلنية للأب وسلوكه الفعلي داخل الأسرة.</w:t>
      </w:r>
    </w:p>
    <w:p w14:paraId="6646F181" w14:textId="77777777" w:rsidR="00BF71BF" w:rsidRDefault="00FE2050" w:rsidP="00E00B54">
      <w:pPr>
        <w:pStyle w:val="2"/>
        <w:bidi/>
        <w:spacing w:before="300" w:after="150"/>
      </w:pPr>
      <w:r>
        <w:rPr>
          <w:rFonts w:ascii="Traditional Arabic" w:eastAsia="Traditional Arabic" w:hAnsi="Traditional Arabic" w:cs="Traditional Arabic"/>
          <w:b/>
          <w:bCs/>
          <w:color w:val="1F6F6B"/>
          <w:sz w:val="27"/>
          <w:szCs w:val="27"/>
          <w:rtl/>
        </w:rPr>
        <w:t>٢. استغلال الآخرين وغياب التعاطف</w:t>
      </w:r>
    </w:p>
    <w:p w14:paraId="4AABBD33" w14:textId="77777777" w:rsidR="00BF71BF" w:rsidRDefault="00FE2050" w:rsidP="00E00B54">
      <w:pPr>
        <w:spacing w:after="180" w:line="336" w:lineRule="auto"/>
      </w:pPr>
      <w:r>
        <w:rPr>
          <w:rFonts w:ascii="Traditional Arabic" w:eastAsia="Traditional Arabic" w:hAnsi="Traditional Arabic" w:cs="Traditional Arabic"/>
          <w:color w:val="1A1A1A"/>
          <w:sz w:val="24"/>
          <w:szCs w:val="24"/>
          <w:rtl/>
        </w:rPr>
        <w:t xml:space="preserve">يمثّل تعامل الأب مع أبنائه بوصفهم امتداداً وظيفياً لذاته، لا كذوات مستقلة، جوهر ما يسميه </w:t>
      </w:r>
      <w:proofErr w:type="spellStart"/>
      <w:r>
        <w:rPr>
          <w:rFonts w:ascii="Traditional Arabic" w:eastAsia="Traditional Arabic" w:hAnsi="Traditional Arabic" w:cs="Traditional Arabic"/>
          <w:color w:val="1A1A1A"/>
          <w:sz w:val="24"/>
          <w:szCs w:val="24"/>
          <w:rtl/>
        </w:rPr>
        <w:t>أوتو</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كيرنبرغ</w:t>
      </w:r>
      <w:proofErr w:type="spellEnd"/>
      <w:r>
        <w:rPr>
          <w:rFonts w:ascii="Traditional Arabic" w:eastAsia="Traditional Arabic" w:hAnsi="Traditional Arabic" w:cs="Traditional Arabic"/>
          <w:color w:val="1A1A1A"/>
          <w:sz w:val="24"/>
          <w:szCs w:val="24"/>
          <w:rtl/>
        </w:rPr>
        <w:t xml:space="preserve"> «العلاقات الموضوعية الاستغلالية» في البنية النرجسية المرضية (</w:t>
      </w:r>
      <w:proofErr w:type="spellStart"/>
      <w:r>
        <w:rPr>
          <w:rFonts w:ascii="Traditional Arabic" w:eastAsia="Traditional Arabic" w:hAnsi="Traditional Arabic" w:cs="Traditional Arabic"/>
          <w:color w:val="1A1A1A"/>
          <w:sz w:val="24"/>
          <w:szCs w:val="24"/>
          <w:rtl/>
        </w:rPr>
        <w:t>Kernberg</w:t>
      </w:r>
      <w:proofErr w:type="spellEnd"/>
      <w:r>
        <w:rPr>
          <w:rFonts w:ascii="Traditional Arabic" w:eastAsia="Traditional Arabic" w:hAnsi="Traditional Arabic" w:cs="Traditional Arabic"/>
          <w:color w:val="1A1A1A"/>
          <w:sz w:val="24"/>
          <w:szCs w:val="24"/>
          <w:rtl/>
        </w:rPr>
        <w:t>, 1975). ويتجلّى غياب التعاطف بوضوح في إصراره على فرض قرارات تمسّ الاستقرار الأسري رغم إدراكه المعلن أو الضمني لأثرها النفسي على زوجته وأبنائه، وهو ما يتوافق مع المعيار السابع في DSM-5: «نقص الرغبة في التعرّف على مشاعر الآخرين واحتياجاتهم أو التماهي معها».</w:t>
      </w:r>
    </w:p>
    <w:p w14:paraId="3986377A" w14:textId="77777777" w:rsidR="00BF71BF" w:rsidRDefault="00FE2050" w:rsidP="00E00B54">
      <w:pPr>
        <w:pStyle w:val="2"/>
        <w:bidi/>
        <w:spacing w:before="300" w:after="150"/>
      </w:pPr>
      <w:r>
        <w:rPr>
          <w:rFonts w:ascii="Traditional Arabic" w:eastAsia="Traditional Arabic" w:hAnsi="Traditional Arabic" w:cs="Traditional Arabic"/>
          <w:b/>
          <w:bCs/>
          <w:color w:val="1F6F6B"/>
          <w:sz w:val="27"/>
          <w:szCs w:val="27"/>
          <w:rtl/>
        </w:rPr>
        <w:t>٣. تجاوز الحدود الأسرية كتعبير عن الحاجة للسيطرة</w:t>
      </w:r>
    </w:p>
    <w:p w14:paraId="6D0B1703" w14:textId="77777777" w:rsidR="00BF71BF" w:rsidRDefault="00FE2050" w:rsidP="00E00B54">
      <w:pPr>
        <w:spacing w:after="180" w:line="336" w:lineRule="auto"/>
      </w:pPr>
      <w:r>
        <w:rPr>
          <w:rFonts w:ascii="Traditional Arabic" w:eastAsia="Traditional Arabic" w:hAnsi="Traditional Arabic" w:cs="Traditional Arabic"/>
          <w:color w:val="1A1A1A"/>
          <w:sz w:val="24"/>
          <w:szCs w:val="24"/>
          <w:rtl/>
        </w:rPr>
        <w:t xml:space="preserve">إن إصرار الأب على فرض قراراته العلائقية رغم اعتراض الزوجة يعكس، في ضوء أدبيات </w:t>
      </w:r>
      <w:proofErr w:type="spellStart"/>
      <w:r>
        <w:rPr>
          <w:rFonts w:ascii="Traditional Arabic" w:eastAsia="Traditional Arabic" w:hAnsi="Traditional Arabic" w:cs="Traditional Arabic"/>
          <w:color w:val="1A1A1A"/>
          <w:sz w:val="24"/>
          <w:szCs w:val="24"/>
          <w:rtl/>
        </w:rPr>
        <w:t>الأنساق</w:t>
      </w:r>
      <w:proofErr w:type="spellEnd"/>
      <w:r>
        <w:rPr>
          <w:rFonts w:ascii="Traditional Arabic" w:eastAsia="Traditional Arabic" w:hAnsi="Traditional Arabic" w:cs="Traditional Arabic"/>
          <w:color w:val="1A1A1A"/>
          <w:sz w:val="24"/>
          <w:szCs w:val="24"/>
          <w:rtl/>
        </w:rPr>
        <w:t xml:space="preserve"> الأسرية (</w:t>
      </w:r>
      <w:proofErr w:type="spellStart"/>
      <w:r>
        <w:rPr>
          <w:rFonts w:ascii="Traditional Arabic" w:eastAsia="Traditional Arabic" w:hAnsi="Traditional Arabic" w:cs="Traditional Arabic"/>
          <w:color w:val="1A1A1A"/>
          <w:sz w:val="24"/>
          <w:szCs w:val="24"/>
          <w:rtl/>
        </w:rPr>
        <w:t>Minuchin</w:t>
      </w:r>
      <w:proofErr w:type="spellEnd"/>
      <w:r>
        <w:rPr>
          <w:rFonts w:ascii="Traditional Arabic" w:eastAsia="Traditional Arabic" w:hAnsi="Traditional Arabic" w:cs="Traditional Arabic"/>
          <w:color w:val="1A1A1A"/>
          <w:sz w:val="24"/>
          <w:szCs w:val="24"/>
          <w:rtl/>
        </w:rPr>
        <w:t xml:space="preserve">, 1974, </w:t>
      </w:r>
      <w:proofErr w:type="spellStart"/>
      <w:r>
        <w:rPr>
          <w:rFonts w:ascii="Traditional Arabic" w:eastAsia="Traditional Arabic" w:hAnsi="Traditional Arabic" w:cs="Traditional Arabic"/>
          <w:color w:val="1A1A1A"/>
          <w:sz w:val="24"/>
          <w:szCs w:val="24"/>
          <w:rtl/>
        </w:rPr>
        <w:t>Families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Family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Therapy</w:t>
      </w:r>
      <w:proofErr w:type="spellEnd"/>
      <w:r>
        <w:rPr>
          <w:rFonts w:ascii="Traditional Arabic" w:eastAsia="Traditional Arabic" w:hAnsi="Traditional Arabic" w:cs="Traditional Arabic"/>
          <w:color w:val="1A1A1A"/>
          <w:sz w:val="24"/>
          <w:szCs w:val="24"/>
          <w:rtl/>
        </w:rPr>
        <w:t xml:space="preserve">)، اختلالاً في التراتبية الوظيفية للأسرة، حيث تتحوّل السلطة الأبوية من وظيفة </w:t>
      </w:r>
      <w:proofErr w:type="spellStart"/>
      <w:r>
        <w:rPr>
          <w:rFonts w:ascii="Traditional Arabic" w:eastAsia="Traditional Arabic" w:hAnsi="Traditional Arabic" w:cs="Traditional Arabic"/>
          <w:color w:val="1A1A1A"/>
          <w:sz w:val="24"/>
          <w:szCs w:val="24"/>
          <w:rtl/>
        </w:rPr>
        <w:t>حمائية</w:t>
      </w:r>
      <w:proofErr w:type="spellEnd"/>
      <w:r>
        <w:rPr>
          <w:rFonts w:ascii="Traditional Arabic" w:eastAsia="Traditional Arabic" w:hAnsi="Traditional Arabic" w:cs="Traditional Arabic"/>
          <w:color w:val="1A1A1A"/>
          <w:sz w:val="24"/>
          <w:szCs w:val="24"/>
          <w:rtl/>
        </w:rPr>
        <w:t xml:space="preserve"> إلى أداة لإثبات الهيمنة والحفاظ على صورة «كبير العائلة»، بصرف النظر عن الكلفة العلائقية المترتبة على ذلك.</w:t>
      </w:r>
    </w:p>
    <w:p w14:paraId="5D7ECA2B" w14:textId="77777777" w:rsidR="00BF71BF" w:rsidRDefault="00FE2050" w:rsidP="00E00B54">
      <w:pPr>
        <w:pStyle w:val="1"/>
        <w:pBdr>
          <w:bottom w:val="single" w:sz="8" w:space="4" w:color="B8912F"/>
        </w:pBdr>
        <w:bidi/>
        <w:spacing w:before="400" w:after="200"/>
      </w:pPr>
      <w:r>
        <w:rPr>
          <w:rFonts w:ascii="Traditional Arabic" w:eastAsia="Traditional Arabic" w:hAnsi="Traditional Arabic" w:cs="Traditional Arabic"/>
          <w:b/>
          <w:bCs/>
          <w:color w:val="1B2A4A"/>
          <w:rtl/>
        </w:rPr>
        <w:t xml:space="preserve">ثانياً: نموذج العمل الداخلي لدى الابنة — اضطراب التعلّق وصراع </w:t>
      </w:r>
      <w:proofErr w:type="spellStart"/>
      <w:r>
        <w:rPr>
          <w:rFonts w:ascii="Traditional Arabic" w:eastAsia="Traditional Arabic" w:hAnsi="Traditional Arabic" w:cs="Traditional Arabic"/>
          <w:b/>
          <w:bCs/>
          <w:color w:val="1B2A4A"/>
          <w:rtl/>
        </w:rPr>
        <w:t>الفردنة</w:t>
      </w:r>
      <w:proofErr w:type="spellEnd"/>
    </w:p>
    <w:p w14:paraId="641ECC07" w14:textId="77777777" w:rsidR="00BF71BF" w:rsidRDefault="00FE2050" w:rsidP="00E00B54">
      <w:pPr>
        <w:spacing w:after="180" w:line="336" w:lineRule="auto"/>
      </w:pPr>
      <w:r>
        <w:rPr>
          <w:rFonts w:ascii="Traditional Arabic" w:eastAsia="Traditional Arabic" w:hAnsi="Traditional Arabic" w:cs="Traditional Arabic"/>
          <w:color w:val="1A1A1A"/>
          <w:sz w:val="24"/>
          <w:szCs w:val="24"/>
          <w:rtl/>
        </w:rPr>
        <w:t>يُعدّ مفهوم «نموذج العمل الداخلي» (</w:t>
      </w:r>
      <w:proofErr w:type="spellStart"/>
      <w:r>
        <w:rPr>
          <w:rFonts w:ascii="Traditional Arabic" w:eastAsia="Traditional Arabic" w:hAnsi="Traditional Arabic" w:cs="Traditional Arabic"/>
          <w:color w:val="1A1A1A"/>
          <w:sz w:val="24"/>
          <w:szCs w:val="24"/>
          <w:rtl/>
        </w:rPr>
        <w:t>Internal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Working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Model</w:t>
      </w:r>
      <w:proofErr w:type="spellEnd"/>
      <w:r>
        <w:rPr>
          <w:rFonts w:ascii="Traditional Arabic" w:eastAsia="Traditional Arabic" w:hAnsi="Traditional Arabic" w:cs="Traditional Arabic"/>
          <w:color w:val="1A1A1A"/>
          <w:sz w:val="24"/>
          <w:szCs w:val="24"/>
          <w:rtl/>
        </w:rPr>
        <w:t xml:space="preserve">) حجر الزاوية في النظرية </w:t>
      </w:r>
      <w:proofErr w:type="spellStart"/>
      <w:r>
        <w:rPr>
          <w:rFonts w:ascii="Traditional Arabic" w:eastAsia="Traditional Arabic" w:hAnsi="Traditional Arabic" w:cs="Traditional Arabic"/>
          <w:color w:val="1A1A1A"/>
          <w:sz w:val="24"/>
          <w:szCs w:val="24"/>
          <w:rtl/>
        </w:rPr>
        <w:t>البولبية</w:t>
      </w:r>
      <w:proofErr w:type="spellEnd"/>
      <w:r>
        <w:rPr>
          <w:rFonts w:ascii="Traditional Arabic" w:eastAsia="Traditional Arabic" w:hAnsi="Traditional Arabic" w:cs="Traditional Arabic"/>
          <w:color w:val="1A1A1A"/>
          <w:sz w:val="24"/>
          <w:szCs w:val="24"/>
          <w:rtl/>
        </w:rPr>
        <w:t>؛ إذ يبني الطفل، من خلال تفاعلاته المتكررة مع مقدّم الرعاية الأول، تمثيلات ذهنية-انفعالية عن الذات (هل أنا جدير بالحب؟) وعن الآخر (هل هو موثوق ومتاح؟)، تعمل كقالب تفسيري ضمني يوجّه توقعاته وسلوكه في العلاقات اللاحقة (</w:t>
      </w:r>
      <w:proofErr w:type="spellStart"/>
      <w:r>
        <w:rPr>
          <w:rFonts w:ascii="Traditional Arabic" w:eastAsia="Traditional Arabic" w:hAnsi="Traditional Arabic" w:cs="Traditional Arabic"/>
          <w:color w:val="1A1A1A"/>
          <w:sz w:val="24"/>
          <w:szCs w:val="24"/>
          <w:rtl/>
        </w:rPr>
        <w:t>Bowlby</w:t>
      </w:r>
      <w:proofErr w:type="spellEnd"/>
      <w:r>
        <w:rPr>
          <w:rFonts w:ascii="Traditional Arabic" w:eastAsia="Traditional Arabic" w:hAnsi="Traditional Arabic" w:cs="Traditional Arabic"/>
          <w:color w:val="1A1A1A"/>
          <w:sz w:val="24"/>
          <w:szCs w:val="24"/>
          <w:rtl/>
        </w:rPr>
        <w:t xml:space="preserve">, 1973, </w:t>
      </w:r>
      <w:proofErr w:type="spellStart"/>
      <w:r>
        <w:rPr>
          <w:rFonts w:ascii="Traditional Arabic" w:eastAsia="Traditional Arabic" w:hAnsi="Traditional Arabic" w:cs="Traditional Arabic"/>
          <w:color w:val="1A1A1A"/>
          <w:sz w:val="24"/>
          <w:szCs w:val="24"/>
          <w:rtl/>
        </w:rPr>
        <w:t>pp</w:t>
      </w:r>
      <w:proofErr w:type="spellEnd"/>
      <w:r>
        <w:rPr>
          <w:rFonts w:ascii="Traditional Arabic" w:eastAsia="Traditional Arabic" w:hAnsi="Traditional Arabic" w:cs="Traditional Arabic"/>
          <w:color w:val="1A1A1A"/>
          <w:sz w:val="24"/>
          <w:szCs w:val="24"/>
          <w:rtl/>
        </w:rPr>
        <w:t xml:space="preserve">. 203–208؛ </w:t>
      </w:r>
      <w:proofErr w:type="spellStart"/>
      <w:r>
        <w:rPr>
          <w:rFonts w:ascii="Traditional Arabic" w:eastAsia="Traditional Arabic" w:hAnsi="Traditional Arabic" w:cs="Traditional Arabic"/>
          <w:color w:val="1A1A1A"/>
          <w:sz w:val="24"/>
          <w:szCs w:val="24"/>
          <w:rtl/>
        </w:rPr>
        <w:t>Bretherton</w:t>
      </w:r>
      <w:proofErr w:type="spellEnd"/>
      <w:r>
        <w:rPr>
          <w:rFonts w:ascii="Traditional Arabic" w:eastAsia="Traditional Arabic" w:hAnsi="Traditional Arabic" w:cs="Traditional Arabic"/>
          <w:color w:val="1A1A1A"/>
          <w:sz w:val="24"/>
          <w:szCs w:val="24"/>
          <w:rtl/>
        </w:rPr>
        <w:t xml:space="preserve"> &amp; </w:t>
      </w:r>
      <w:proofErr w:type="spellStart"/>
      <w:r>
        <w:rPr>
          <w:rFonts w:ascii="Traditional Arabic" w:eastAsia="Traditional Arabic" w:hAnsi="Traditional Arabic" w:cs="Traditional Arabic"/>
          <w:color w:val="1A1A1A"/>
          <w:sz w:val="24"/>
          <w:szCs w:val="24"/>
          <w:rtl/>
        </w:rPr>
        <w:t>Munholland</w:t>
      </w:r>
      <w:proofErr w:type="spellEnd"/>
      <w:r>
        <w:rPr>
          <w:rFonts w:ascii="Traditional Arabic" w:eastAsia="Traditional Arabic" w:hAnsi="Traditional Arabic" w:cs="Traditional Arabic"/>
          <w:color w:val="1A1A1A"/>
          <w:sz w:val="24"/>
          <w:szCs w:val="24"/>
          <w:rtl/>
        </w:rPr>
        <w:t>, 2008).</w:t>
      </w:r>
    </w:p>
    <w:p w14:paraId="0C8624C7" w14:textId="77777777" w:rsidR="00BF71BF" w:rsidRDefault="00FE2050" w:rsidP="00E00B54">
      <w:pPr>
        <w:pStyle w:val="a4"/>
        <w:numPr>
          <w:ilvl w:val="0"/>
          <w:numId w:val="2"/>
        </w:numPr>
        <w:bidi/>
        <w:spacing w:after="140" w:line="320" w:lineRule="auto"/>
      </w:pPr>
      <w:r>
        <w:rPr>
          <w:rFonts w:ascii="Traditional Arabic" w:eastAsia="Traditional Arabic" w:hAnsi="Traditional Arabic" w:cs="Traditional Arabic"/>
          <w:b/>
          <w:bCs/>
          <w:color w:val="1B2A4A"/>
          <w:sz w:val="24"/>
          <w:szCs w:val="24"/>
          <w:rtl/>
        </w:rPr>
        <w:t xml:space="preserve">نمط التعلّق القلق-المتناقض: </w:t>
      </w:r>
      <w:r>
        <w:rPr>
          <w:rFonts w:ascii="Traditional Arabic" w:eastAsia="Traditional Arabic" w:hAnsi="Traditional Arabic" w:cs="Traditional Arabic"/>
          <w:color w:val="1A1A1A"/>
          <w:sz w:val="24"/>
          <w:szCs w:val="24"/>
          <w:rtl/>
        </w:rPr>
        <w:t>حين يكون الحب الوالدي مشروطاً بالطاعة والامتثال، يتعلّم الطفل أن قيمته الذاتية رهينة برضا الوالد المهيمن، فينشأ نمط تعلّق قلق يتّسم بالتشبث والخوف الدائم من الفقدان (</w:t>
      </w:r>
      <w:proofErr w:type="spellStart"/>
      <w:r>
        <w:rPr>
          <w:rFonts w:ascii="Traditional Arabic" w:eastAsia="Traditional Arabic" w:hAnsi="Traditional Arabic" w:cs="Traditional Arabic"/>
          <w:color w:val="1A1A1A"/>
          <w:sz w:val="24"/>
          <w:szCs w:val="24"/>
          <w:rtl/>
        </w:rPr>
        <w:t>Ainsworth</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et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al</w:t>
      </w:r>
      <w:proofErr w:type="spellEnd"/>
      <w:r>
        <w:rPr>
          <w:rFonts w:ascii="Traditional Arabic" w:eastAsia="Traditional Arabic" w:hAnsi="Traditional Arabic" w:cs="Traditional Arabic"/>
          <w:color w:val="1A1A1A"/>
          <w:sz w:val="24"/>
          <w:szCs w:val="24"/>
          <w:rtl/>
        </w:rPr>
        <w:t xml:space="preserve">., 1978؛ </w:t>
      </w:r>
      <w:proofErr w:type="spellStart"/>
      <w:r>
        <w:rPr>
          <w:rFonts w:ascii="Traditional Arabic" w:eastAsia="Traditional Arabic" w:hAnsi="Traditional Arabic" w:cs="Traditional Arabic"/>
          <w:color w:val="1A1A1A"/>
          <w:sz w:val="24"/>
          <w:szCs w:val="24"/>
          <w:rtl/>
        </w:rPr>
        <w:t>Mikulincer</w:t>
      </w:r>
      <w:proofErr w:type="spellEnd"/>
      <w:r>
        <w:rPr>
          <w:rFonts w:ascii="Traditional Arabic" w:eastAsia="Traditional Arabic" w:hAnsi="Traditional Arabic" w:cs="Traditional Arabic"/>
          <w:color w:val="1A1A1A"/>
          <w:sz w:val="24"/>
          <w:szCs w:val="24"/>
          <w:rtl/>
        </w:rPr>
        <w:t xml:space="preserve"> &amp; </w:t>
      </w:r>
      <w:proofErr w:type="spellStart"/>
      <w:r>
        <w:rPr>
          <w:rFonts w:ascii="Traditional Arabic" w:eastAsia="Traditional Arabic" w:hAnsi="Traditional Arabic" w:cs="Traditional Arabic"/>
          <w:color w:val="1A1A1A"/>
          <w:sz w:val="24"/>
          <w:szCs w:val="24"/>
          <w:rtl/>
        </w:rPr>
        <w:t>Shaver</w:t>
      </w:r>
      <w:proofErr w:type="spellEnd"/>
      <w:r>
        <w:rPr>
          <w:rFonts w:ascii="Traditional Arabic" w:eastAsia="Traditional Arabic" w:hAnsi="Traditional Arabic" w:cs="Traditional Arabic"/>
          <w:color w:val="1A1A1A"/>
          <w:sz w:val="24"/>
          <w:szCs w:val="24"/>
          <w:rtl/>
        </w:rPr>
        <w:t xml:space="preserve">, 2016, </w:t>
      </w:r>
      <w:proofErr w:type="spellStart"/>
      <w:r>
        <w:rPr>
          <w:rFonts w:ascii="Traditional Arabic" w:eastAsia="Traditional Arabic" w:hAnsi="Traditional Arabic" w:cs="Traditional Arabic"/>
          <w:color w:val="1A1A1A"/>
          <w:sz w:val="24"/>
          <w:szCs w:val="24"/>
          <w:rtl/>
        </w:rPr>
        <w:t>Attachment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Adulthood</w:t>
      </w:r>
      <w:proofErr w:type="spellEnd"/>
      <w:r>
        <w:rPr>
          <w:rFonts w:ascii="Traditional Arabic" w:eastAsia="Traditional Arabic" w:hAnsi="Traditional Arabic" w:cs="Traditional Arabic"/>
          <w:color w:val="1A1A1A"/>
          <w:sz w:val="24"/>
          <w:szCs w:val="24"/>
          <w:rtl/>
        </w:rPr>
        <w:t>).</w:t>
      </w:r>
    </w:p>
    <w:p w14:paraId="113D9FEA" w14:textId="77777777" w:rsidR="00BF71BF" w:rsidRDefault="00FE2050" w:rsidP="00E00B54">
      <w:pPr>
        <w:pStyle w:val="a4"/>
        <w:numPr>
          <w:ilvl w:val="0"/>
          <w:numId w:val="2"/>
        </w:numPr>
        <w:bidi/>
        <w:spacing w:after="140" w:line="320" w:lineRule="auto"/>
      </w:pPr>
      <w:r>
        <w:rPr>
          <w:rFonts w:ascii="Traditional Arabic" w:eastAsia="Traditional Arabic" w:hAnsi="Traditional Arabic" w:cs="Traditional Arabic"/>
          <w:b/>
          <w:bCs/>
          <w:color w:val="1B2A4A"/>
          <w:sz w:val="24"/>
          <w:szCs w:val="24"/>
          <w:rtl/>
        </w:rPr>
        <w:t xml:space="preserve">قلق الانفصال كعتبة نمائية: </w:t>
      </w:r>
      <w:r>
        <w:rPr>
          <w:rFonts w:ascii="Traditional Arabic" w:eastAsia="Traditional Arabic" w:hAnsi="Traditional Arabic" w:cs="Traditional Arabic"/>
          <w:color w:val="1A1A1A"/>
          <w:sz w:val="24"/>
          <w:szCs w:val="24"/>
          <w:rtl/>
        </w:rPr>
        <w:t>يكتسب بلوغ الابنة سن الحادية والثلاثين دلالة نمائية مزدوجة؛ فهو من جهة ضغط اجتماعي-ثقافي مرتبط بمنظومة القيم السائدة حول سن الزواج، ومن جهة أخرى نقطة تحوّل نفسي تُتيح، وفق أدبيات علم نفس النمو، تجاوزاً تدريجياً لقلق الانفصال المزمن عبر بناء هوية أكثر استقلالية (</w:t>
      </w:r>
      <w:proofErr w:type="spellStart"/>
      <w:r>
        <w:rPr>
          <w:rFonts w:ascii="Traditional Arabic" w:eastAsia="Traditional Arabic" w:hAnsi="Traditional Arabic" w:cs="Traditional Arabic"/>
          <w:color w:val="1A1A1A"/>
          <w:sz w:val="24"/>
          <w:szCs w:val="24"/>
          <w:rtl/>
        </w:rPr>
        <w:t>Arnett</w:t>
      </w:r>
      <w:proofErr w:type="spellEnd"/>
      <w:r>
        <w:rPr>
          <w:rFonts w:ascii="Traditional Arabic" w:eastAsia="Traditional Arabic" w:hAnsi="Traditional Arabic" w:cs="Traditional Arabic"/>
          <w:color w:val="1A1A1A"/>
          <w:sz w:val="24"/>
          <w:szCs w:val="24"/>
          <w:rtl/>
        </w:rPr>
        <w:t xml:space="preserve">, 2000, </w:t>
      </w:r>
      <w:proofErr w:type="spellStart"/>
      <w:r>
        <w:rPr>
          <w:rFonts w:ascii="Traditional Arabic" w:eastAsia="Traditional Arabic" w:hAnsi="Traditional Arabic" w:cs="Traditional Arabic"/>
          <w:color w:val="1A1A1A"/>
          <w:sz w:val="24"/>
          <w:szCs w:val="24"/>
          <w:rtl/>
        </w:rPr>
        <w:t>Emerging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Adulthood</w:t>
      </w:r>
      <w:proofErr w:type="spellEnd"/>
      <w:r>
        <w:rPr>
          <w:rFonts w:ascii="Traditional Arabic" w:eastAsia="Traditional Arabic" w:hAnsi="Traditional Arabic" w:cs="Traditional Arabic"/>
          <w:color w:val="1A1A1A"/>
          <w:sz w:val="24"/>
          <w:szCs w:val="24"/>
          <w:rtl/>
        </w:rPr>
        <w:t>).</w:t>
      </w:r>
    </w:p>
    <w:p w14:paraId="042CA1A3" w14:textId="77777777" w:rsidR="00BF71BF" w:rsidRDefault="00FE2050" w:rsidP="00E00B54">
      <w:pPr>
        <w:pStyle w:val="a4"/>
        <w:numPr>
          <w:ilvl w:val="0"/>
          <w:numId w:val="2"/>
        </w:numPr>
        <w:bidi/>
        <w:spacing w:after="140" w:line="320" w:lineRule="auto"/>
      </w:pPr>
      <w:r>
        <w:rPr>
          <w:rFonts w:ascii="Traditional Arabic" w:eastAsia="Traditional Arabic" w:hAnsi="Traditional Arabic" w:cs="Traditional Arabic"/>
          <w:b/>
          <w:bCs/>
          <w:color w:val="1B2A4A"/>
          <w:sz w:val="24"/>
          <w:szCs w:val="24"/>
          <w:rtl/>
        </w:rPr>
        <w:t xml:space="preserve">البحث عن قاعدة آمنة بديلة: </w:t>
      </w:r>
      <w:r>
        <w:rPr>
          <w:rFonts w:ascii="Traditional Arabic" w:eastAsia="Traditional Arabic" w:hAnsi="Traditional Arabic" w:cs="Traditional Arabic"/>
          <w:color w:val="1A1A1A"/>
          <w:sz w:val="24"/>
          <w:szCs w:val="24"/>
          <w:rtl/>
        </w:rPr>
        <w:t>يمكن قراءة اختيار الزواج من شريك مقيم خارج الإطار الجغرافي للأسرة الأصل بوصفه محاولة لإعادة تشكيل «القاعدة الآمنة» (</w:t>
      </w:r>
      <w:proofErr w:type="spellStart"/>
      <w:r>
        <w:rPr>
          <w:rFonts w:ascii="Traditional Arabic" w:eastAsia="Traditional Arabic" w:hAnsi="Traditional Arabic" w:cs="Traditional Arabic"/>
          <w:color w:val="1A1A1A"/>
          <w:sz w:val="24"/>
          <w:szCs w:val="24"/>
          <w:rtl/>
        </w:rPr>
        <w:t>secure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base</w:t>
      </w:r>
      <w:proofErr w:type="spellEnd"/>
      <w:r>
        <w:rPr>
          <w:rFonts w:ascii="Traditional Arabic" w:eastAsia="Traditional Arabic" w:hAnsi="Traditional Arabic" w:cs="Traditional Arabic"/>
          <w:color w:val="1A1A1A"/>
          <w:sz w:val="24"/>
          <w:szCs w:val="24"/>
          <w:rtl/>
        </w:rPr>
        <w:t>) خارج دائرة السيطرة الوالدية، وهو سلوك يتقاطع مع ما وصفته أدبيات التعلّق البالغ بـ«البحث عن ملاذ تعويضي» عند غياب الأمان الأسري الأصلي (</w:t>
      </w:r>
      <w:proofErr w:type="spellStart"/>
      <w:r>
        <w:rPr>
          <w:rFonts w:ascii="Traditional Arabic" w:eastAsia="Traditional Arabic" w:hAnsi="Traditional Arabic" w:cs="Traditional Arabic"/>
          <w:color w:val="1A1A1A"/>
          <w:sz w:val="24"/>
          <w:szCs w:val="24"/>
          <w:rtl/>
        </w:rPr>
        <w:t>Hazan</w:t>
      </w:r>
      <w:proofErr w:type="spellEnd"/>
      <w:r>
        <w:rPr>
          <w:rFonts w:ascii="Traditional Arabic" w:eastAsia="Traditional Arabic" w:hAnsi="Traditional Arabic" w:cs="Traditional Arabic"/>
          <w:color w:val="1A1A1A"/>
          <w:sz w:val="24"/>
          <w:szCs w:val="24"/>
          <w:rtl/>
        </w:rPr>
        <w:t xml:space="preserve"> &amp; </w:t>
      </w:r>
      <w:proofErr w:type="spellStart"/>
      <w:r>
        <w:rPr>
          <w:rFonts w:ascii="Traditional Arabic" w:eastAsia="Traditional Arabic" w:hAnsi="Traditional Arabic" w:cs="Traditional Arabic"/>
          <w:color w:val="1A1A1A"/>
          <w:sz w:val="24"/>
          <w:szCs w:val="24"/>
          <w:rtl/>
        </w:rPr>
        <w:t>Shaver</w:t>
      </w:r>
      <w:proofErr w:type="spellEnd"/>
      <w:r>
        <w:rPr>
          <w:rFonts w:ascii="Traditional Arabic" w:eastAsia="Traditional Arabic" w:hAnsi="Traditional Arabic" w:cs="Traditional Arabic"/>
          <w:color w:val="1A1A1A"/>
          <w:sz w:val="24"/>
          <w:szCs w:val="24"/>
          <w:rtl/>
        </w:rPr>
        <w:t>, 1987).</w:t>
      </w:r>
    </w:p>
    <w:p w14:paraId="3F41A496" w14:textId="77777777" w:rsidR="00BF71BF" w:rsidRDefault="00FE2050" w:rsidP="00262343">
      <w:pPr>
        <w:pStyle w:val="1"/>
        <w:pBdr>
          <w:bottom w:val="single" w:sz="8" w:space="4" w:color="B8912F"/>
        </w:pBdr>
        <w:bidi/>
        <w:spacing w:before="400" w:after="200"/>
      </w:pPr>
      <w:r>
        <w:rPr>
          <w:rFonts w:ascii="Traditional Arabic" w:eastAsia="Traditional Arabic" w:hAnsi="Traditional Arabic" w:cs="Traditional Arabic"/>
          <w:b/>
          <w:bCs/>
          <w:color w:val="1B2A4A"/>
          <w:rtl/>
        </w:rPr>
        <w:t xml:space="preserve">ثالثاً: موقع الأم — تعطّل وظيفة القاعدة الآمنة </w:t>
      </w:r>
      <w:proofErr w:type="spellStart"/>
      <w:r>
        <w:rPr>
          <w:rFonts w:ascii="Traditional Arabic" w:eastAsia="Traditional Arabic" w:hAnsi="Traditional Arabic" w:cs="Traditional Arabic"/>
          <w:b/>
          <w:bCs/>
          <w:color w:val="1B2A4A"/>
          <w:rtl/>
        </w:rPr>
        <w:t>والجسدنة</w:t>
      </w:r>
      <w:proofErr w:type="spellEnd"/>
    </w:p>
    <w:p w14:paraId="5453D513" w14:textId="77777777" w:rsidR="00BF71BF" w:rsidRDefault="00FE2050" w:rsidP="00262343">
      <w:pPr>
        <w:spacing w:after="180" w:line="336" w:lineRule="auto"/>
      </w:pPr>
      <w:r>
        <w:rPr>
          <w:rFonts w:ascii="Traditional Arabic" w:eastAsia="Traditional Arabic" w:hAnsi="Traditional Arabic" w:cs="Traditional Arabic"/>
          <w:color w:val="1A1A1A"/>
          <w:sz w:val="24"/>
          <w:szCs w:val="24"/>
          <w:rtl/>
        </w:rPr>
        <w:t>تُظهر المصادر السريرية أن الوالد غير النرجسي في الأسرة ذات البنية النرجسية غالباً ما ينزلق إلى موقع «الشريك الممكِّن» (</w:t>
      </w:r>
      <w:proofErr w:type="spellStart"/>
      <w:r>
        <w:rPr>
          <w:rFonts w:ascii="Traditional Arabic" w:eastAsia="Traditional Arabic" w:hAnsi="Traditional Arabic" w:cs="Traditional Arabic"/>
          <w:color w:val="1A1A1A"/>
          <w:sz w:val="24"/>
          <w:szCs w:val="24"/>
          <w:rtl/>
        </w:rPr>
        <w:t>enabling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partner</w:t>
      </w:r>
      <w:proofErr w:type="spellEnd"/>
      <w:r>
        <w:rPr>
          <w:rFonts w:ascii="Traditional Arabic" w:eastAsia="Traditional Arabic" w:hAnsi="Traditional Arabic" w:cs="Traditional Arabic"/>
          <w:color w:val="1A1A1A"/>
          <w:sz w:val="24"/>
          <w:szCs w:val="24"/>
          <w:rtl/>
        </w:rPr>
        <w:t xml:space="preserve">)، حيث يفضي الخضوع المزمن لمطالب الطرف المهيمن إلى تآكل تدريجي في القدرة على أداء وظيفة الحماية والاحتواء العاطفي التي تفترضها نظرية التعلّق في الوالد بوصفه «قاعدة آمنة» </w:t>
      </w:r>
      <w:proofErr w:type="spellStart"/>
      <w:r>
        <w:rPr>
          <w:rFonts w:ascii="Traditional Arabic" w:eastAsia="Traditional Arabic" w:hAnsi="Traditional Arabic" w:cs="Traditional Arabic"/>
          <w:color w:val="1A1A1A"/>
          <w:sz w:val="24"/>
          <w:szCs w:val="24"/>
          <w:rtl/>
        </w:rPr>
        <w:t>و«ملاذاً</w:t>
      </w:r>
      <w:proofErr w:type="spellEnd"/>
      <w:r>
        <w:rPr>
          <w:rFonts w:ascii="Traditional Arabic" w:eastAsia="Traditional Arabic" w:hAnsi="Traditional Arabic" w:cs="Traditional Arabic"/>
          <w:color w:val="1A1A1A"/>
          <w:sz w:val="24"/>
          <w:szCs w:val="24"/>
          <w:rtl/>
        </w:rPr>
        <w:t xml:space="preserve"> آمناً» في آن (</w:t>
      </w:r>
      <w:proofErr w:type="spellStart"/>
      <w:r>
        <w:rPr>
          <w:rFonts w:ascii="Traditional Arabic" w:eastAsia="Traditional Arabic" w:hAnsi="Traditional Arabic" w:cs="Traditional Arabic"/>
          <w:color w:val="1A1A1A"/>
          <w:sz w:val="24"/>
          <w:szCs w:val="24"/>
          <w:rtl/>
        </w:rPr>
        <w:t>Bowlby</w:t>
      </w:r>
      <w:proofErr w:type="spellEnd"/>
      <w:r>
        <w:rPr>
          <w:rFonts w:ascii="Traditional Arabic" w:eastAsia="Traditional Arabic" w:hAnsi="Traditional Arabic" w:cs="Traditional Arabic"/>
          <w:color w:val="1A1A1A"/>
          <w:sz w:val="24"/>
          <w:szCs w:val="24"/>
          <w:rtl/>
        </w:rPr>
        <w:t xml:space="preserve">, 1988, A </w:t>
      </w:r>
      <w:proofErr w:type="spellStart"/>
      <w:r>
        <w:rPr>
          <w:rFonts w:ascii="Traditional Arabic" w:eastAsia="Traditional Arabic" w:hAnsi="Traditional Arabic" w:cs="Traditional Arabic"/>
          <w:color w:val="1A1A1A"/>
          <w:sz w:val="24"/>
          <w:szCs w:val="24"/>
          <w:rtl/>
        </w:rPr>
        <w:t>Secure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Base</w:t>
      </w:r>
      <w:proofErr w:type="spellEnd"/>
      <w:r>
        <w:rPr>
          <w:rFonts w:ascii="Traditional Arabic" w:eastAsia="Traditional Arabic" w:hAnsi="Traditional Arabic" w:cs="Traditional Arabic"/>
          <w:color w:val="1A1A1A"/>
          <w:sz w:val="24"/>
          <w:szCs w:val="24"/>
          <w:rtl/>
        </w:rPr>
        <w:t>). وينتج عن هذا التعطّل الوظيفي فراغ حمائي يترك الأبناء في مواجهة مباشرة وغير مُخفَّفة مع النمط الوالدي المهيمن.</w:t>
      </w:r>
    </w:p>
    <w:p w14:paraId="2F2217CA" w14:textId="77777777" w:rsidR="00BF71BF" w:rsidRDefault="00FE2050" w:rsidP="00262343">
      <w:pPr>
        <w:spacing w:after="180" w:line="336" w:lineRule="auto"/>
      </w:pPr>
      <w:r>
        <w:rPr>
          <w:rFonts w:ascii="Traditional Arabic" w:eastAsia="Traditional Arabic" w:hAnsi="Traditional Arabic" w:cs="Traditional Arabic"/>
          <w:color w:val="1A1A1A"/>
          <w:sz w:val="24"/>
          <w:szCs w:val="24"/>
          <w:rtl/>
        </w:rPr>
        <w:t xml:space="preserve">أما على المستوى الجسدي، فإن الأعراض الفيزيولوجية التي تظهر لدى الأم كارتفاع ضغط الدم يمكن تناولها في ضوء أدبيات الطب </w:t>
      </w:r>
      <w:proofErr w:type="spellStart"/>
      <w:r>
        <w:rPr>
          <w:rFonts w:ascii="Traditional Arabic" w:eastAsia="Traditional Arabic" w:hAnsi="Traditional Arabic" w:cs="Traditional Arabic"/>
          <w:color w:val="1A1A1A"/>
          <w:sz w:val="24"/>
          <w:szCs w:val="24"/>
          <w:rtl/>
        </w:rPr>
        <w:t>النفسجسدي</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psychosomatic</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medicine</w:t>
      </w:r>
      <w:proofErr w:type="spellEnd"/>
      <w:r>
        <w:rPr>
          <w:rFonts w:ascii="Traditional Arabic" w:eastAsia="Traditional Arabic" w:hAnsi="Traditional Arabic" w:cs="Traditional Arabic"/>
          <w:color w:val="1A1A1A"/>
          <w:sz w:val="24"/>
          <w:szCs w:val="24"/>
          <w:rtl/>
        </w:rPr>
        <w:t xml:space="preserve">) بوصفها تعبيراً عضوياً عن كبت انفعالي مزمن، حيث تتحوّل الضائقة العاطفية غير المُعبَّر عنها لفظياً إلى استجابة جسدية عبر محاور فيزيولوجية معروفة، أبرزها محور الوطاء-الغدة النخامية-الكظرية (HPA </w:t>
      </w:r>
      <w:proofErr w:type="spellStart"/>
      <w:r>
        <w:rPr>
          <w:rFonts w:ascii="Traditional Arabic" w:eastAsia="Traditional Arabic" w:hAnsi="Traditional Arabic" w:cs="Traditional Arabic"/>
          <w:color w:val="1A1A1A"/>
          <w:sz w:val="24"/>
          <w:szCs w:val="24"/>
          <w:rtl/>
        </w:rPr>
        <w:t>axis</w:t>
      </w:r>
      <w:proofErr w:type="spellEnd"/>
      <w:r>
        <w:rPr>
          <w:rFonts w:ascii="Traditional Arabic" w:eastAsia="Traditional Arabic" w:hAnsi="Traditional Arabic" w:cs="Traditional Arabic"/>
          <w:color w:val="1A1A1A"/>
          <w:sz w:val="24"/>
          <w:szCs w:val="24"/>
          <w:rtl/>
        </w:rPr>
        <w:t>) الذي يتفاعل مع الإجهاد المزمن (</w:t>
      </w:r>
      <w:proofErr w:type="spellStart"/>
      <w:r>
        <w:rPr>
          <w:rFonts w:ascii="Traditional Arabic" w:eastAsia="Traditional Arabic" w:hAnsi="Traditional Arabic" w:cs="Traditional Arabic"/>
          <w:color w:val="1A1A1A"/>
          <w:sz w:val="24"/>
          <w:szCs w:val="24"/>
          <w:rtl/>
        </w:rPr>
        <w:t>McEwen</w:t>
      </w:r>
      <w:proofErr w:type="spellEnd"/>
      <w:r>
        <w:rPr>
          <w:rFonts w:ascii="Traditional Arabic" w:eastAsia="Traditional Arabic" w:hAnsi="Traditional Arabic" w:cs="Traditional Arabic"/>
          <w:color w:val="1A1A1A"/>
          <w:sz w:val="24"/>
          <w:szCs w:val="24"/>
          <w:rtl/>
        </w:rPr>
        <w:t>, 1998, «</w:t>
      </w:r>
      <w:proofErr w:type="spellStart"/>
      <w:r>
        <w:rPr>
          <w:rFonts w:ascii="Traditional Arabic" w:eastAsia="Traditional Arabic" w:hAnsi="Traditional Arabic" w:cs="Traditional Arabic"/>
          <w:color w:val="1A1A1A"/>
          <w:sz w:val="24"/>
          <w:szCs w:val="24"/>
          <w:rtl/>
        </w:rPr>
        <w:t>Protective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Damaging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Effects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of</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Stress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Mediators</w:t>
      </w:r>
      <w:proofErr w:type="spellEnd"/>
      <w:r>
        <w:rPr>
          <w:rFonts w:ascii="Traditional Arabic" w:eastAsia="Traditional Arabic" w:hAnsi="Traditional Arabic" w:cs="Traditional Arabic"/>
          <w:color w:val="1A1A1A"/>
          <w:sz w:val="24"/>
          <w:szCs w:val="24"/>
          <w:rtl/>
        </w:rPr>
        <w:t>»).</w:t>
      </w:r>
    </w:p>
    <w:p w14:paraId="49F76AB6" w14:textId="77777777" w:rsidR="00BF71BF" w:rsidRDefault="00FE2050" w:rsidP="00262343">
      <w:pPr>
        <w:pStyle w:val="1"/>
        <w:pBdr>
          <w:bottom w:val="single" w:sz="8" w:space="4" w:color="B8912F"/>
        </w:pBdr>
        <w:bidi/>
        <w:spacing w:before="400" w:after="200"/>
      </w:pPr>
      <w:r>
        <w:rPr>
          <w:rFonts w:ascii="Traditional Arabic" w:eastAsia="Traditional Arabic" w:hAnsi="Traditional Arabic" w:cs="Traditional Arabic"/>
          <w:b/>
          <w:bCs/>
          <w:color w:val="1B2A4A"/>
          <w:rtl/>
        </w:rPr>
        <w:t xml:space="preserve">رابعاً: الديناميكا الأسرية — الحب المشروط والضغط </w:t>
      </w:r>
      <w:proofErr w:type="spellStart"/>
      <w:r>
        <w:rPr>
          <w:rFonts w:ascii="Traditional Arabic" w:eastAsia="Traditional Arabic" w:hAnsi="Traditional Arabic" w:cs="Traditional Arabic"/>
          <w:b/>
          <w:bCs/>
          <w:color w:val="1B2A4A"/>
          <w:rtl/>
        </w:rPr>
        <w:t>السوسيوثقافي</w:t>
      </w:r>
      <w:proofErr w:type="spellEnd"/>
    </w:p>
    <w:p w14:paraId="33C5A927" w14:textId="77777777" w:rsidR="00BF71BF" w:rsidRDefault="00FE2050" w:rsidP="00262343">
      <w:pPr>
        <w:spacing w:after="180" w:line="336" w:lineRule="auto"/>
      </w:pPr>
      <w:r>
        <w:rPr>
          <w:rFonts w:ascii="Traditional Arabic" w:eastAsia="Traditional Arabic" w:hAnsi="Traditional Arabic" w:cs="Traditional Arabic"/>
          <w:color w:val="1A1A1A"/>
          <w:sz w:val="24"/>
          <w:szCs w:val="24"/>
          <w:rtl/>
        </w:rPr>
        <w:t>يُنتج نمط «الحب المشروط بالامتثال» بيئة نمائية تُصعّب على الأبناء تطوير تقدير ذات مستقل عن الموافقة الخارجية، وهو ما تُجمع عليه أدبيات علم نفس النمو المتعلقة بأثر أساليب التنشئة الاستبدادية (</w:t>
      </w:r>
      <w:proofErr w:type="spellStart"/>
      <w:r>
        <w:rPr>
          <w:rFonts w:ascii="Traditional Arabic" w:eastAsia="Traditional Arabic" w:hAnsi="Traditional Arabic" w:cs="Traditional Arabic"/>
          <w:color w:val="1A1A1A"/>
          <w:sz w:val="24"/>
          <w:szCs w:val="24"/>
          <w:rtl/>
        </w:rPr>
        <w:t>authoritarian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parenting</w:t>
      </w:r>
      <w:proofErr w:type="spellEnd"/>
      <w:r>
        <w:rPr>
          <w:rFonts w:ascii="Traditional Arabic" w:eastAsia="Traditional Arabic" w:hAnsi="Traditional Arabic" w:cs="Traditional Arabic"/>
          <w:color w:val="1A1A1A"/>
          <w:sz w:val="24"/>
          <w:szCs w:val="24"/>
          <w:rtl/>
        </w:rPr>
        <w:t>) على تشكّل مفهوم الذات (</w:t>
      </w:r>
      <w:proofErr w:type="spellStart"/>
      <w:r>
        <w:rPr>
          <w:rFonts w:ascii="Traditional Arabic" w:eastAsia="Traditional Arabic" w:hAnsi="Traditional Arabic" w:cs="Traditional Arabic"/>
          <w:color w:val="1A1A1A"/>
          <w:sz w:val="24"/>
          <w:szCs w:val="24"/>
          <w:rtl/>
        </w:rPr>
        <w:t>Baumrind</w:t>
      </w:r>
      <w:proofErr w:type="spellEnd"/>
      <w:r>
        <w:rPr>
          <w:rFonts w:ascii="Traditional Arabic" w:eastAsia="Traditional Arabic" w:hAnsi="Traditional Arabic" w:cs="Traditional Arabic"/>
          <w:color w:val="1A1A1A"/>
          <w:sz w:val="24"/>
          <w:szCs w:val="24"/>
          <w:rtl/>
        </w:rPr>
        <w:t xml:space="preserve">, 1991). ويتقاطع هذا العامل البنيوي مع ضغط </w:t>
      </w:r>
      <w:proofErr w:type="spellStart"/>
      <w:r>
        <w:rPr>
          <w:rFonts w:ascii="Traditional Arabic" w:eastAsia="Traditional Arabic" w:hAnsi="Traditional Arabic" w:cs="Traditional Arabic"/>
          <w:color w:val="1A1A1A"/>
          <w:sz w:val="24"/>
          <w:szCs w:val="24"/>
          <w:rtl/>
        </w:rPr>
        <w:t>سوسيوثقافي</w:t>
      </w:r>
      <w:proofErr w:type="spellEnd"/>
      <w:r>
        <w:rPr>
          <w:rFonts w:ascii="Traditional Arabic" w:eastAsia="Traditional Arabic" w:hAnsi="Traditional Arabic" w:cs="Traditional Arabic"/>
          <w:color w:val="1A1A1A"/>
          <w:sz w:val="24"/>
          <w:szCs w:val="24"/>
          <w:rtl/>
        </w:rPr>
        <w:t xml:space="preserve"> إضافي يتمثّل في القلق الاجتماعي المرتبط بتأخر سن الزواج في السياقات المجتمعية التقليدية، بحيث يصبح تهديد «الوصم الاجتماعي» أكثر إلحاحاً، من الناحية الذاتية، من تهديد مواجهة السلطة الوالدية.</w:t>
      </w:r>
    </w:p>
    <w:p w14:paraId="40F6F943" w14:textId="77777777" w:rsidR="00BF71BF" w:rsidRDefault="00FE2050" w:rsidP="00262343">
      <w:pPr>
        <w:pStyle w:val="1"/>
        <w:pBdr>
          <w:bottom w:val="single" w:sz="8" w:space="4" w:color="B8912F"/>
        </w:pBdr>
        <w:bidi/>
        <w:spacing w:before="400" w:after="200"/>
      </w:pPr>
      <w:r>
        <w:rPr>
          <w:rFonts w:ascii="Traditional Arabic" w:eastAsia="Traditional Arabic" w:hAnsi="Traditional Arabic" w:cs="Traditional Arabic"/>
          <w:b/>
          <w:bCs/>
          <w:color w:val="1B2A4A"/>
          <w:rtl/>
        </w:rPr>
        <w:t>خامساً: امتداد الأثر إلى العلاقة الزوجية</w:t>
      </w:r>
    </w:p>
    <w:p w14:paraId="5DC54CBD" w14:textId="77777777" w:rsidR="00BF71BF" w:rsidRDefault="00FE2050" w:rsidP="00262343">
      <w:pPr>
        <w:spacing w:after="180" w:line="336" w:lineRule="auto"/>
      </w:pPr>
      <w:r>
        <w:rPr>
          <w:rFonts w:ascii="Traditional Arabic" w:eastAsia="Traditional Arabic" w:hAnsi="Traditional Arabic" w:cs="Traditional Arabic"/>
          <w:color w:val="1A1A1A"/>
          <w:sz w:val="24"/>
          <w:szCs w:val="24"/>
          <w:rtl/>
        </w:rPr>
        <w:t xml:space="preserve">تفترض النظرية </w:t>
      </w:r>
      <w:proofErr w:type="spellStart"/>
      <w:r>
        <w:rPr>
          <w:rFonts w:ascii="Traditional Arabic" w:eastAsia="Traditional Arabic" w:hAnsi="Traditional Arabic" w:cs="Traditional Arabic"/>
          <w:color w:val="1A1A1A"/>
          <w:sz w:val="24"/>
          <w:szCs w:val="24"/>
          <w:rtl/>
        </w:rPr>
        <w:t>البولبية</w:t>
      </w:r>
      <w:proofErr w:type="spellEnd"/>
      <w:r>
        <w:rPr>
          <w:rFonts w:ascii="Traditional Arabic" w:eastAsia="Traditional Arabic" w:hAnsi="Traditional Arabic" w:cs="Traditional Arabic"/>
          <w:color w:val="1A1A1A"/>
          <w:sz w:val="24"/>
          <w:szCs w:val="24"/>
          <w:rtl/>
        </w:rPr>
        <w:t xml:space="preserve"> أن نموذج العمل الداخلي المتشكّل في الطفولة المبكرة لا يبقى حبيس تلك المرحلة، بل يعمل بوصفه «نموذجاً أصلياً» (</w:t>
      </w:r>
      <w:proofErr w:type="spellStart"/>
      <w:r>
        <w:rPr>
          <w:rFonts w:ascii="Traditional Arabic" w:eastAsia="Traditional Arabic" w:hAnsi="Traditional Arabic" w:cs="Traditional Arabic"/>
          <w:color w:val="1A1A1A"/>
          <w:sz w:val="24"/>
          <w:szCs w:val="24"/>
          <w:rtl/>
        </w:rPr>
        <w:t>prototype</w:t>
      </w:r>
      <w:proofErr w:type="spellEnd"/>
      <w:r>
        <w:rPr>
          <w:rFonts w:ascii="Traditional Arabic" w:eastAsia="Traditional Arabic" w:hAnsi="Traditional Arabic" w:cs="Traditional Arabic"/>
          <w:color w:val="1A1A1A"/>
          <w:sz w:val="24"/>
          <w:szCs w:val="24"/>
          <w:rtl/>
        </w:rPr>
        <w:t>) يُسقَط، بدرجات متفاوتة من الوعي، على العلاقات الوجدانية اللاحقة، وفي مقدمتها العلاقة الزوجية (</w:t>
      </w:r>
      <w:proofErr w:type="spellStart"/>
      <w:r>
        <w:rPr>
          <w:rFonts w:ascii="Traditional Arabic" w:eastAsia="Traditional Arabic" w:hAnsi="Traditional Arabic" w:cs="Traditional Arabic"/>
          <w:color w:val="1A1A1A"/>
          <w:sz w:val="24"/>
          <w:szCs w:val="24"/>
          <w:rtl/>
        </w:rPr>
        <w:t>Fraley</w:t>
      </w:r>
      <w:proofErr w:type="spellEnd"/>
      <w:r>
        <w:rPr>
          <w:rFonts w:ascii="Traditional Arabic" w:eastAsia="Traditional Arabic" w:hAnsi="Traditional Arabic" w:cs="Traditional Arabic"/>
          <w:color w:val="1A1A1A"/>
          <w:sz w:val="24"/>
          <w:szCs w:val="24"/>
          <w:rtl/>
        </w:rPr>
        <w:t>, 2002, «</w:t>
      </w:r>
      <w:proofErr w:type="spellStart"/>
      <w:r>
        <w:rPr>
          <w:rFonts w:ascii="Traditional Arabic" w:eastAsia="Traditional Arabic" w:hAnsi="Traditional Arabic" w:cs="Traditional Arabic"/>
          <w:color w:val="1A1A1A"/>
          <w:sz w:val="24"/>
          <w:szCs w:val="24"/>
          <w:rtl/>
        </w:rPr>
        <w:t>Attachment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Stability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from</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Infancy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Adulthood</w:t>
      </w:r>
      <w:proofErr w:type="spellEnd"/>
      <w:r>
        <w:rPr>
          <w:rFonts w:ascii="Traditional Arabic" w:eastAsia="Traditional Arabic" w:hAnsi="Traditional Arabic" w:cs="Traditional Arabic"/>
          <w:color w:val="1A1A1A"/>
          <w:sz w:val="24"/>
          <w:szCs w:val="24"/>
          <w:rtl/>
        </w:rPr>
        <w:t>»). ويمكن تحديد ثلاثة مسارات محتملة لهذا الامتداد:</w:t>
      </w:r>
    </w:p>
    <w:p w14:paraId="751DE0D9" w14:textId="77777777" w:rsidR="00BF71BF" w:rsidRDefault="00FE2050" w:rsidP="00262343">
      <w:pPr>
        <w:pStyle w:val="a4"/>
        <w:numPr>
          <w:ilvl w:val="0"/>
          <w:numId w:val="2"/>
        </w:numPr>
        <w:bidi/>
        <w:spacing w:after="140" w:line="320" w:lineRule="auto"/>
      </w:pPr>
      <w:r>
        <w:rPr>
          <w:rFonts w:ascii="Traditional Arabic" w:eastAsia="Traditional Arabic" w:hAnsi="Traditional Arabic" w:cs="Traditional Arabic"/>
          <w:b/>
          <w:bCs/>
          <w:color w:val="1B2A4A"/>
          <w:sz w:val="24"/>
          <w:szCs w:val="24"/>
          <w:rtl/>
        </w:rPr>
        <w:t xml:space="preserve">مسار التعلّق القلق: </w:t>
      </w:r>
      <w:r>
        <w:rPr>
          <w:rFonts w:ascii="Traditional Arabic" w:eastAsia="Traditional Arabic" w:hAnsi="Traditional Arabic" w:cs="Traditional Arabic"/>
          <w:color w:val="1A1A1A"/>
          <w:sz w:val="24"/>
          <w:szCs w:val="24"/>
          <w:rtl/>
        </w:rPr>
        <w:t>اعتمادية عاطفية مفرطة على الزوج، وحاجة مستمرة لإثبات الرضا، وتضخّم القلق عند أي مؤشر خلاف، على نحو يُعيد إنتاج ديناميكا «استرضاء السلطة» التي عاشتها مع الأب (</w:t>
      </w:r>
      <w:proofErr w:type="spellStart"/>
      <w:r>
        <w:rPr>
          <w:rFonts w:ascii="Traditional Arabic" w:eastAsia="Traditional Arabic" w:hAnsi="Traditional Arabic" w:cs="Traditional Arabic"/>
          <w:color w:val="1A1A1A"/>
          <w:sz w:val="24"/>
          <w:szCs w:val="24"/>
          <w:rtl/>
        </w:rPr>
        <w:t>Mikulincer</w:t>
      </w:r>
      <w:proofErr w:type="spellEnd"/>
      <w:r>
        <w:rPr>
          <w:rFonts w:ascii="Traditional Arabic" w:eastAsia="Traditional Arabic" w:hAnsi="Traditional Arabic" w:cs="Traditional Arabic"/>
          <w:color w:val="1A1A1A"/>
          <w:sz w:val="24"/>
          <w:szCs w:val="24"/>
          <w:rtl/>
        </w:rPr>
        <w:t xml:space="preserve"> &amp; </w:t>
      </w:r>
      <w:proofErr w:type="spellStart"/>
      <w:r>
        <w:rPr>
          <w:rFonts w:ascii="Traditional Arabic" w:eastAsia="Traditional Arabic" w:hAnsi="Traditional Arabic" w:cs="Traditional Arabic"/>
          <w:color w:val="1A1A1A"/>
          <w:sz w:val="24"/>
          <w:szCs w:val="24"/>
          <w:rtl/>
        </w:rPr>
        <w:t>Shaver</w:t>
      </w:r>
      <w:proofErr w:type="spellEnd"/>
      <w:r>
        <w:rPr>
          <w:rFonts w:ascii="Traditional Arabic" w:eastAsia="Traditional Arabic" w:hAnsi="Traditional Arabic" w:cs="Traditional Arabic"/>
          <w:color w:val="1A1A1A"/>
          <w:sz w:val="24"/>
          <w:szCs w:val="24"/>
          <w:rtl/>
        </w:rPr>
        <w:t>, 2016).</w:t>
      </w:r>
    </w:p>
    <w:p w14:paraId="1647DE25" w14:textId="77777777" w:rsidR="00BF71BF" w:rsidRDefault="00FE2050" w:rsidP="00262343">
      <w:pPr>
        <w:pStyle w:val="a4"/>
        <w:numPr>
          <w:ilvl w:val="0"/>
          <w:numId w:val="2"/>
        </w:numPr>
        <w:bidi/>
        <w:spacing w:after="140" w:line="320" w:lineRule="auto"/>
      </w:pPr>
      <w:r>
        <w:rPr>
          <w:rFonts w:ascii="Traditional Arabic" w:eastAsia="Traditional Arabic" w:hAnsi="Traditional Arabic" w:cs="Traditional Arabic"/>
          <w:b/>
          <w:bCs/>
          <w:color w:val="1B2A4A"/>
          <w:sz w:val="24"/>
          <w:szCs w:val="24"/>
          <w:rtl/>
        </w:rPr>
        <w:t xml:space="preserve">مسار التعلّق </w:t>
      </w:r>
      <w:proofErr w:type="spellStart"/>
      <w:r>
        <w:rPr>
          <w:rFonts w:ascii="Traditional Arabic" w:eastAsia="Traditional Arabic" w:hAnsi="Traditional Arabic" w:cs="Traditional Arabic"/>
          <w:b/>
          <w:bCs/>
          <w:color w:val="1B2A4A"/>
          <w:sz w:val="24"/>
          <w:szCs w:val="24"/>
          <w:rtl/>
        </w:rPr>
        <w:t>التجنّبي</w:t>
      </w:r>
      <w:proofErr w:type="spellEnd"/>
      <w:r>
        <w:rPr>
          <w:rFonts w:ascii="Traditional Arabic" w:eastAsia="Traditional Arabic" w:hAnsi="Traditional Arabic" w:cs="Traditional Arabic"/>
          <w:b/>
          <w:bCs/>
          <w:color w:val="1B2A4A"/>
          <w:sz w:val="24"/>
          <w:szCs w:val="24"/>
          <w:rtl/>
        </w:rPr>
        <w:t xml:space="preserve">: </w:t>
      </w:r>
      <w:r>
        <w:rPr>
          <w:rFonts w:ascii="Traditional Arabic" w:eastAsia="Traditional Arabic" w:hAnsi="Traditional Arabic" w:cs="Traditional Arabic"/>
          <w:color w:val="1A1A1A"/>
          <w:sz w:val="24"/>
          <w:szCs w:val="24"/>
          <w:rtl/>
        </w:rPr>
        <w:t>الحفاظ على مسافة انفعالية دفاعية، وتجنّب القرب الشديد خشية تكرار تجربة الاستحواذ، وهو ما قد يُفسَّر خطأً بوصفه برودة عاطفية، بينما هو في جوهره آلية حماية من فقدان الاستقلالية المكتسبة حديثاً.</w:t>
      </w:r>
    </w:p>
    <w:p w14:paraId="5E21E7EA" w14:textId="77777777" w:rsidR="00BF71BF" w:rsidRDefault="00FE2050" w:rsidP="00262343">
      <w:pPr>
        <w:pStyle w:val="a4"/>
        <w:numPr>
          <w:ilvl w:val="0"/>
          <w:numId w:val="2"/>
        </w:numPr>
        <w:bidi/>
        <w:spacing w:after="140" w:line="320" w:lineRule="auto"/>
      </w:pPr>
      <w:r>
        <w:rPr>
          <w:rFonts w:ascii="Traditional Arabic" w:eastAsia="Traditional Arabic" w:hAnsi="Traditional Arabic" w:cs="Traditional Arabic"/>
          <w:b/>
          <w:bCs/>
          <w:color w:val="1B2A4A"/>
          <w:sz w:val="24"/>
          <w:szCs w:val="24"/>
          <w:rtl/>
        </w:rPr>
        <w:t xml:space="preserve">مسار التعلّق الآمن المكتسب: </w:t>
      </w:r>
      <w:r>
        <w:rPr>
          <w:rFonts w:ascii="Traditional Arabic" w:eastAsia="Traditional Arabic" w:hAnsi="Traditional Arabic" w:cs="Traditional Arabic"/>
          <w:color w:val="1A1A1A"/>
          <w:sz w:val="24"/>
          <w:szCs w:val="24"/>
          <w:rtl/>
        </w:rPr>
        <w:t>إذا وفّر الشريك الجديد استجابة متّسقة وحسّاسة (</w:t>
      </w:r>
      <w:proofErr w:type="spellStart"/>
      <w:r>
        <w:rPr>
          <w:rFonts w:ascii="Traditional Arabic" w:eastAsia="Traditional Arabic" w:hAnsi="Traditional Arabic" w:cs="Traditional Arabic"/>
          <w:color w:val="1A1A1A"/>
          <w:sz w:val="24"/>
          <w:szCs w:val="24"/>
          <w:rtl/>
        </w:rPr>
        <w:t>responsive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sensitivity</w:t>
      </w:r>
      <w:proofErr w:type="spellEnd"/>
      <w:r>
        <w:rPr>
          <w:rFonts w:ascii="Traditional Arabic" w:eastAsia="Traditional Arabic" w:hAnsi="Traditional Arabic" w:cs="Traditional Arabic"/>
          <w:color w:val="1A1A1A"/>
          <w:sz w:val="24"/>
          <w:szCs w:val="24"/>
          <w:rtl/>
        </w:rPr>
        <w:t xml:space="preserve">)، فإن الأدبيات الحديثة تُظهر إمكانية تطوّر ما يُعرف </w:t>
      </w:r>
      <w:proofErr w:type="spellStart"/>
      <w:r>
        <w:rPr>
          <w:rFonts w:ascii="Traditional Arabic" w:eastAsia="Traditional Arabic" w:hAnsi="Traditional Arabic" w:cs="Traditional Arabic"/>
          <w:color w:val="1A1A1A"/>
          <w:sz w:val="24"/>
          <w:szCs w:val="24"/>
          <w:rtl/>
        </w:rPr>
        <w:t>بـ«التعلّق</w:t>
      </w:r>
      <w:proofErr w:type="spellEnd"/>
      <w:r>
        <w:rPr>
          <w:rFonts w:ascii="Traditional Arabic" w:eastAsia="Traditional Arabic" w:hAnsi="Traditional Arabic" w:cs="Traditional Arabic"/>
          <w:color w:val="1A1A1A"/>
          <w:sz w:val="24"/>
          <w:szCs w:val="24"/>
          <w:rtl/>
        </w:rPr>
        <w:t xml:space="preserve"> الآمن المكتسب» (</w:t>
      </w:r>
      <w:proofErr w:type="spellStart"/>
      <w:r>
        <w:rPr>
          <w:rFonts w:ascii="Traditional Arabic" w:eastAsia="Traditional Arabic" w:hAnsi="Traditional Arabic" w:cs="Traditional Arabic"/>
          <w:color w:val="1A1A1A"/>
          <w:sz w:val="24"/>
          <w:szCs w:val="24"/>
          <w:rtl/>
        </w:rPr>
        <w:t>earned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secure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attachment</w:t>
      </w:r>
      <w:proofErr w:type="spellEnd"/>
      <w:r>
        <w:rPr>
          <w:rFonts w:ascii="Traditional Arabic" w:eastAsia="Traditional Arabic" w:hAnsi="Traditional Arabic" w:cs="Traditional Arabic"/>
          <w:color w:val="1A1A1A"/>
          <w:sz w:val="24"/>
          <w:szCs w:val="24"/>
          <w:rtl/>
        </w:rPr>
        <w:t>)، حيث تُعاد صياغة نموذج العمل الداخلي عبر تجربة علائقية تصحيحية (</w:t>
      </w:r>
      <w:proofErr w:type="spellStart"/>
      <w:r>
        <w:rPr>
          <w:rFonts w:ascii="Traditional Arabic" w:eastAsia="Traditional Arabic" w:hAnsi="Traditional Arabic" w:cs="Traditional Arabic"/>
          <w:color w:val="1A1A1A"/>
          <w:sz w:val="24"/>
          <w:szCs w:val="24"/>
          <w:rtl/>
        </w:rPr>
        <w:t>Saunders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Jacobvitz</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Zaccagnino</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Beverung</w:t>
      </w:r>
      <w:proofErr w:type="spellEnd"/>
      <w:r>
        <w:rPr>
          <w:rFonts w:ascii="Traditional Arabic" w:eastAsia="Traditional Arabic" w:hAnsi="Traditional Arabic" w:cs="Traditional Arabic"/>
          <w:color w:val="1A1A1A"/>
          <w:sz w:val="24"/>
          <w:szCs w:val="24"/>
          <w:rtl/>
        </w:rPr>
        <w:t xml:space="preserve"> &amp; </w:t>
      </w:r>
      <w:proofErr w:type="spellStart"/>
      <w:r>
        <w:rPr>
          <w:rFonts w:ascii="Traditional Arabic" w:eastAsia="Traditional Arabic" w:hAnsi="Traditional Arabic" w:cs="Traditional Arabic"/>
          <w:color w:val="1A1A1A"/>
          <w:sz w:val="24"/>
          <w:szCs w:val="24"/>
          <w:rtl/>
        </w:rPr>
        <w:t>Hazen</w:t>
      </w:r>
      <w:proofErr w:type="spellEnd"/>
      <w:r>
        <w:rPr>
          <w:rFonts w:ascii="Traditional Arabic" w:eastAsia="Traditional Arabic" w:hAnsi="Traditional Arabic" w:cs="Traditional Arabic"/>
          <w:color w:val="1A1A1A"/>
          <w:sz w:val="24"/>
          <w:szCs w:val="24"/>
          <w:rtl/>
        </w:rPr>
        <w:t>, 2011).</w:t>
      </w:r>
    </w:p>
    <w:p w14:paraId="55CAD7DE" w14:textId="77777777" w:rsidR="00BF71BF" w:rsidRDefault="00FE2050" w:rsidP="00262343">
      <w:pPr>
        <w:pStyle w:val="1"/>
        <w:pBdr>
          <w:bottom w:val="single" w:sz="8" w:space="4" w:color="B8912F"/>
        </w:pBdr>
        <w:bidi/>
        <w:spacing w:before="400" w:after="200"/>
      </w:pPr>
      <w:r>
        <w:rPr>
          <w:rFonts w:ascii="Traditional Arabic" w:eastAsia="Traditional Arabic" w:hAnsi="Traditional Arabic" w:cs="Traditional Arabic"/>
          <w:b/>
          <w:bCs/>
          <w:color w:val="1B2A4A"/>
          <w:rtl/>
        </w:rPr>
        <w:t>سادساً: الانعكاسات على الحميمية والحياة الجنسية</w:t>
      </w:r>
    </w:p>
    <w:p w14:paraId="61C85403" w14:textId="77777777" w:rsidR="00BF71BF" w:rsidRDefault="00FE2050" w:rsidP="00262343">
      <w:pPr>
        <w:spacing w:after="180" w:line="336" w:lineRule="auto"/>
      </w:pPr>
      <w:r>
        <w:rPr>
          <w:rFonts w:ascii="Traditional Arabic" w:eastAsia="Traditional Arabic" w:hAnsi="Traditional Arabic" w:cs="Traditional Arabic"/>
          <w:color w:val="1A1A1A"/>
          <w:sz w:val="24"/>
          <w:szCs w:val="24"/>
          <w:rtl/>
        </w:rPr>
        <w:t xml:space="preserve">تشير أدبيات علم النفس الجنسي إلى أن أنماط التعلّق غير الآمن ترتبط إحصائياً بجملة من الصعوبات الجنسية، دون أن تُشكّل علاقة سببية حتمية. فقد بيّنت دراسات مسحية أن التعلّق </w:t>
      </w:r>
      <w:proofErr w:type="spellStart"/>
      <w:r>
        <w:rPr>
          <w:rFonts w:ascii="Traditional Arabic" w:eastAsia="Traditional Arabic" w:hAnsi="Traditional Arabic" w:cs="Traditional Arabic"/>
          <w:color w:val="1A1A1A"/>
          <w:sz w:val="24"/>
          <w:szCs w:val="24"/>
          <w:rtl/>
        </w:rPr>
        <w:t>التجنّبي</w:t>
      </w:r>
      <w:proofErr w:type="spellEnd"/>
      <w:r>
        <w:rPr>
          <w:rFonts w:ascii="Traditional Arabic" w:eastAsia="Traditional Arabic" w:hAnsi="Traditional Arabic" w:cs="Traditional Arabic"/>
          <w:color w:val="1A1A1A"/>
          <w:sz w:val="24"/>
          <w:szCs w:val="24"/>
          <w:rtl/>
        </w:rPr>
        <w:t xml:space="preserve"> يرتبط بميل إلى فصل الجنس عن الألفة العاطفية، بينما يرتبط التعلّق القلق بارتفاع مستوى القلق الأدائي والحاجة إلى </w:t>
      </w:r>
      <w:proofErr w:type="spellStart"/>
      <w:r>
        <w:rPr>
          <w:rFonts w:ascii="Traditional Arabic" w:eastAsia="Traditional Arabic" w:hAnsi="Traditional Arabic" w:cs="Traditional Arabic"/>
          <w:color w:val="1A1A1A"/>
          <w:sz w:val="24"/>
          <w:szCs w:val="24"/>
          <w:rtl/>
        </w:rPr>
        <w:t>الطمأنة</w:t>
      </w:r>
      <w:proofErr w:type="spellEnd"/>
      <w:r>
        <w:rPr>
          <w:rFonts w:ascii="Traditional Arabic" w:eastAsia="Traditional Arabic" w:hAnsi="Traditional Arabic" w:cs="Traditional Arabic"/>
          <w:color w:val="1A1A1A"/>
          <w:sz w:val="24"/>
          <w:szCs w:val="24"/>
          <w:rtl/>
        </w:rPr>
        <w:t xml:space="preserve"> أثناء العلاقة الحميمة (</w:t>
      </w:r>
      <w:proofErr w:type="spellStart"/>
      <w:r>
        <w:rPr>
          <w:rFonts w:ascii="Traditional Arabic" w:eastAsia="Traditional Arabic" w:hAnsi="Traditional Arabic" w:cs="Traditional Arabic"/>
          <w:color w:val="1A1A1A"/>
          <w:sz w:val="24"/>
          <w:szCs w:val="24"/>
          <w:rtl/>
        </w:rPr>
        <w:t>Birnbaum</w:t>
      </w:r>
      <w:proofErr w:type="spellEnd"/>
      <w:r>
        <w:rPr>
          <w:rFonts w:ascii="Traditional Arabic" w:eastAsia="Traditional Arabic" w:hAnsi="Traditional Arabic" w:cs="Traditional Arabic"/>
          <w:color w:val="1A1A1A"/>
          <w:sz w:val="24"/>
          <w:szCs w:val="24"/>
          <w:rtl/>
        </w:rPr>
        <w:t>, 2007, «</w:t>
      </w:r>
      <w:proofErr w:type="spellStart"/>
      <w:r>
        <w:rPr>
          <w:rFonts w:ascii="Traditional Arabic" w:eastAsia="Traditional Arabic" w:hAnsi="Traditional Arabic" w:cs="Traditional Arabic"/>
          <w:color w:val="1A1A1A"/>
          <w:sz w:val="24"/>
          <w:szCs w:val="24"/>
          <w:rtl/>
        </w:rPr>
        <w:t>Attachment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Orientations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Sexual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System</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Brassard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Shaver</w:t>
      </w:r>
      <w:proofErr w:type="spellEnd"/>
      <w:r>
        <w:rPr>
          <w:rFonts w:ascii="Traditional Arabic" w:eastAsia="Traditional Arabic" w:hAnsi="Traditional Arabic" w:cs="Traditional Arabic"/>
          <w:color w:val="1A1A1A"/>
          <w:sz w:val="24"/>
          <w:szCs w:val="24"/>
          <w:rtl/>
        </w:rPr>
        <w:t xml:space="preserve"> &amp; </w:t>
      </w:r>
      <w:proofErr w:type="spellStart"/>
      <w:r>
        <w:rPr>
          <w:rFonts w:ascii="Traditional Arabic" w:eastAsia="Traditional Arabic" w:hAnsi="Traditional Arabic" w:cs="Traditional Arabic"/>
          <w:color w:val="1A1A1A"/>
          <w:sz w:val="24"/>
          <w:szCs w:val="24"/>
          <w:rtl/>
        </w:rPr>
        <w:t>Lussier</w:t>
      </w:r>
      <w:proofErr w:type="spellEnd"/>
      <w:r>
        <w:rPr>
          <w:rFonts w:ascii="Traditional Arabic" w:eastAsia="Traditional Arabic" w:hAnsi="Traditional Arabic" w:cs="Traditional Arabic"/>
          <w:color w:val="1A1A1A"/>
          <w:sz w:val="24"/>
          <w:szCs w:val="24"/>
          <w:rtl/>
        </w:rPr>
        <w:t>, 2007).</w:t>
      </w:r>
    </w:p>
    <w:p w14:paraId="5D4BD44D" w14:textId="77777777" w:rsidR="00BF71BF" w:rsidRDefault="00FE2050" w:rsidP="00262343">
      <w:pPr>
        <w:spacing w:after="180" w:line="336" w:lineRule="auto"/>
      </w:pPr>
      <w:r>
        <w:rPr>
          <w:rFonts w:ascii="Traditional Arabic" w:eastAsia="Traditional Arabic" w:hAnsi="Traditional Arabic" w:cs="Traditional Arabic"/>
          <w:color w:val="1A1A1A"/>
          <w:sz w:val="24"/>
          <w:szCs w:val="24"/>
          <w:rtl/>
        </w:rPr>
        <w:t xml:space="preserve">كما تربط أدبيات الطب النفسي الجنسي بين تاريخ من بيئة أسرية قمعية أو مقيِّدة للاستقلالية وبين بعض اضطرابات الاستجابة الجنسية، كنقص الرغبة والإثارة لدى المرأة أو اضطراب الألم التناسلي-الحوضي، من خلال آلية القلق </w:t>
      </w:r>
      <w:proofErr w:type="spellStart"/>
      <w:r>
        <w:rPr>
          <w:rFonts w:ascii="Traditional Arabic" w:eastAsia="Traditional Arabic" w:hAnsi="Traditional Arabic" w:cs="Traditional Arabic"/>
          <w:color w:val="1A1A1A"/>
          <w:sz w:val="24"/>
          <w:szCs w:val="24"/>
          <w:rtl/>
        </w:rPr>
        <w:t>التوقّعي</w:t>
      </w:r>
      <w:proofErr w:type="spellEnd"/>
      <w:r>
        <w:rPr>
          <w:rFonts w:ascii="Traditional Arabic" w:eastAsia="Traditional Arabic" w:hAnsi="Traditional Arabic" w:cs="Traditional Arabic"/>
          <w:color w:val="1A1A1A"/>
          <w:sz w:val="24"/>
          <w:szCs w:val="24"/>
          <w:rtl/>
        </w:rPr>
        <w:t xml:space="preserve"> وتوتّر عضلات قاع الحوض اللاإرادي (</w:t>
      </w:r>
      <w:proofErr w:type="spellStart"/>
      <w:r>
        <w:rPr>
          <w:rFonts w:ascii="Traditional Arabic" w:eastAsia="Traditional Arabic" w:hAnsi="Traditional Arabic" w:cs="Traditional Arabic"/>
          <w:color w:val="1A1A1A"/>
          <w:sz w:val="24"/>
          <w:szCs w:val="24"/>
          <w:rtl/>
        </w:rPr>
        <w:t>Basson</w:t>
      </w:r>
      <w:proofErr w:type="spellEnd"/>
      <w:r>
        <w:rPr>
          <w:rFonts w:ascii="Traditional Arabic" w:eastAsia="Traditional Arabic" w:hAnsi="Traditional Arabic" w:cs="Traditional Arabic"/>
          <w:color w:val="1A1A1A"/>
          <w:sz w:val="24"/>
          <w:szCs w:val="24"/>
          <w:rtl/>
        </w:rPr>
        <w:t>, 2001, «</w:t>
      </w:r>
      <w:proofErr w:type="spellStart"/>
      <w:r>
        <w:rPr>
          <w:rFonts w:ascii="Traditional Arabic" w:eastAsia="Traditional Arabic" w:hAnsi="Traditional Arabic" w:cs="Traditional Arabic"/>
          <w:color w:val="1A1A1A"/>
          <w:sz w:val="24"/>
          <w:szCs w:val="24"/>
          <w:rtl/>
        </w:rPr>
        <w:t>Using</w:t>
      </w:r>
      <w:proofErr w:type="spellEnd"/>
      <w:r>
        <w:rPr>
          <w:rFonts w:ascii="Traditional Arabic" w:eastAsia="Traditional Arabic" w:hAnsi="Traditional Arabic" w:cs="Traditional Arabic"/>
          <w:color w:val="1A1A1A"/>
          <w:sz w:val="24"/>
          <w:szCs w:val="24"/>
          <w:rtl/>
        </w:rPr>
        <w:t xml:space="preserve"> a </w:t>
      </w:r>
      <w:proofErr w:type="spellStart"/>
      <w:r>
        <w:rPr>
          <w:rFonts w:ascii="Traditional Arabic" w:eastAsia="Traditional Arabic" w:hAnsi="Traditional Arabic" w:cs="Traditional Arabic"/>
          <w:color w:val="1A1A1A"/>
          <w:sz w:val="24"/>
          <w:szCs w:val="24"/>
          <w:rtl/>
        </w:rPr>
        <w:t>Different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Model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for</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Female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Sexuality</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Brotto</w:t>
      </w:r>
      <w:proofErr w:type="spellEnd"/>
      <w:r>
        <w:rPr>
          <w:rFonts w:ascii="Traditional Arabic" w:eastAsia="Traditional Arabic" w:hAnsi="Traditional Arabic" w:cs="Traditional Arabic"/>
          <w:color w:val="1A1A1A"/>
          <w:sz w:val="24"/>
          <w:szCs w:val="24"/>
          <w:rtl/>
        </w:rPr>
        <w:t xml:space="preserve"> &amp; </w:t>
      </w:r>
      <w:proofErr w:type="spellStart"/>
      <w:r>
        <w:rPr>
          <w:rFonts w:ascii="Traditional Arabic" w:eastAsia="Traditional Arabic" w:hAnsi="Traditional Arabic" w:cs="Traditional Arabic"/>
          <w:color w:val="1A1A1A"/>
          <w:sz w:val="24"/>
          <w:szCs w:val="24"/>
          <w:rtl/>
        </w:rPr>
        <w:t>Smith</w:t>
      </w:r>
      <w:proofErr w:type="spellEnd"/>
      <w:r>
        <w:rPr>
          <w:rFonts w:ascii="Traditional Arabic" w:eastAsia="Traditional Arabic" w:hAnsi="Traditional Arabic" w:cs="Traditional Arabic"/>
          <w:color w:val="1A1A1A"/>
          <w:sz w:val="24"/>
          <w:szCs w:val="24"/>
          <w:rtl/>
        </w:rPr>
        <w:t xml:space="preserve">, 2014). ومن المهم التأكيد أن هذه العلاقات ذات طابع احتمالي لا حتمي، </w:t>
      </w:r>
      <w:proofErr w:type="spellStart"/>
      <w:r>
        <w:rPr>
          <w:rFonts w:ascii="Traditional Arabic" w:eastAsia="Traditional Arabic" w:hAnsi="Traditional Arabic" w:cs="Traditional Arabic"/>
          <w:color w:val="1A1A1A"/>
          <w:sz w:val="24"/>
          <w:szCs w:val="24"/>
          <w:rtl/>
        </w:rPr>
        <w:t>وتتوسّطها</w:t>
      </w:r>
      <w:proofErr w:type="spellEnd"/>
      <w:r>
        <w:rPr>
          <w:rFonts w:ascii="Traditional Arabic" w:eastAsia="Traditional Arabic" w:hAnsi="Traditional Arabic" w:cs="Traditional Arabic"/>
          <w:color w:val="1A1A1A"/>
          <w:sz w:val="24"/>
          <w:szCs w:val="24"/>
          <w:rtl/>
        </w:rPr>
        <w:t xml:space="preserve"> عوامل عديدة أهمها نوعية العلاقة الزوجية الجديدة ذاتها ومدى توفرها على أمان انفعالي معاوض.</w:t>
      </w:r>
    </w:p>
    <w:p w14:paraId="411C6650" w14:textId="77777777" w:rsidR="00BF71BF" w:rsidRDefault="00FE2050" w:rsidP="00262343">
      <w:pPr>
        <w:pStyle w:val="1"/>
        <w:pBdr>
          <w:bottom w:val="single" w:sz="8" w:space="4" w:color="B8912F"/>
        </w:pBdr>
        <w:bidi/>
        <w:spacing w:before="400" w:after="200"/>
      </w:pPr>
      <w:r>
        <w:rPr>
          <w:rFonts w:ascii="Traditional Arabic" w:eastAsia="Traditional Arabic" w:hAnsi="Traditional Arabic" w:cs="Traditional Arabic"/>
          <w:b/>
          <w:bCs/>
          <w:color w:val="1B2A4A"/>
          <w:rtl/>
        </w:rPr>
        <w:t>سابعاً: مفهوم «الأشباح في غرفة الحضانة» والانتقال العابر للأجيال</w:t>
      </w:r>
    </w:p>
    <w:p w14:paraId="798DEAD1" w14:textId="77777777" w:rsidR="00BF71BF" w:rsidRDefault="00FE2050" w:rsidP="00262343">
      <w:pPr>
        <w:spacing w:after="180" w:line="336" w:lineRule="auto"/>
      </w:pPr>
      <w:r>
        <w:rPr>
          <w:rFonts w:ascii="Traditional Arabic" w:eastAsia="Traditional Arabic" w:hAnsi="Traditional Arabic" w:cs="Traditional Arabic"/>
          <w:color w:val="1A1A1A"/>
          <w:sz w:val="24"/>
          <w:szCs w:val="24"/>
          <w:rtl/>
        </w:rPr>
        <w:t xml:space="preserve">صاغت سلمى </w:t>
      </w:r>
      <w:proofErr w:type="spellStart"/>
      <w:r>
        <w:rPr>
          <w:rFonts w:ascii="Traditional Arabic" w:eastAsia="Traditional Arabic" w:hAnsi="Traditional Arabic" w:cs="Traditional Arabic"/>
          <w:color w:val="1A1A1A"/>
          <w:sz w:val="24"/>
          <w:szCs w:val="24"/>
          <w:rtl/>
        </w:rPr>
        <w:t>فرايبرغ</w:t>
      </w:r>
      <w:proofErr w:type="spellEnd"/>
      <w:r>
        <w:rPr>
          <w:rFonts w:ascii="Traditional Arabic" w:eastAsia="Traditional Arabic" w:hAnsi="Traditional Arabic" w:cs="Traditional Arabic"/>
          <w:color w:val="1A1A1A"/>
          <w:sz w:val="24"/>
          <w:szCs w:val="24"/>
          <w:rtl/>
        </w:rPr>
        <w:t xml:space="preserve"> مفهوم «الأشباح في غرفة الحضانة» (</w:t>
      </w:r>
      <w:proofErr w:type="spellStart"/>
      <w:r>
        <w:rPr>
          <w:rFonts w:ascii="Traditional Arabic" w:eastAsia="Traditional Arabic" w:hAnsi="Traditional Arabic" w:cs="Traditional Arabic"/>
          <w:color w:val="1A1A1A"/>
          <w:sz w:val="24"/>
          <w:szCs w:val="24"/>
          <w:rtl/>
        </w:rPr>
        <w:t>ghosts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nursery</w:t>
      </w:r>
      <w:proofErr w:type="spellEnd"/>
      <w:r>
        <w:rPr>
          <w:rFonts w:ascii="Traditional Arabic" w:eastAsia="Traditional Arabic" w:hAnsi="Traditional Arabic" w:cs="Traditional Arabic"/>
          <w:color w:val="1A1A1A"/>
          <w:sz w:val="24"/>
          <w:szCs w:val="24"/>
          <w:rtl/>
        </w:rPr>
        <w:t>) للإشارة إلى الصراعات العلائقية غير المحلولة لدى الوالدين والتي تُعاد، دون وعي كامل، في تربيتهم لأبنائهم (</w:t>
      </w:r>
      <w:proofErr w:type="spellStart"/>
      <w:r>
        <w:rPr>
          <w:rFonts w:ascii="Traditional Arabic" w:eastAsia="Traditional Arabic" w:hAnsi="Traditional Arabic" w:cs="Traditional Arabic"/>
          <w:color w:val="1A1A1A"/>
          <w:sz w:val="24"/>
          <w:szCs w:val="24"/>
          <w:rtl/>
        </w:rPr>
        <w:t>Fraiberg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Adelson</w:t>
      </w:r>
      <w:proofErr w:type="spellEnd"/>
      <w:r>
        <w:rPr>
          <w:rFonts w:ascii="Traditional Arabic" w:eastAsia="Traditional Arabic" w:hAnsi="Traditional Arabic" w:cs="Traditional Arabic"/>
          <w:color w:val="1A1A1A"/>
          <w:sz w:val="24"/>
          <w:szCs w:val="24"/>
          <w:rtl/>
        </w:rPr>
        <w:t xml:space="preserve"> &amp; </w:t>
      </w:r>
      <w:proofErr w:type="spellStart"/>
      <w:r>
        <w:rPr>
          <w:rFonts w:ascii="Traditional Arabic" w:eastAsia="Traditional Arabic" w:hAnsi="Traditional Arabic" w:cs="Traditional Arabic"/>
          <w:color w:val="1A1A1A"/>
          <w:sz w:val="24"/>
          <w:szCs w:val="24"/>
          <w:rtl/>
        </w:rPr>
        <w:t>Shapiro</w:t>
      </w:r>
      <w:proofErr w:type="spellEnd"/>
      <w:r>
        <w:rPr>
          <w:rFonts w:ascii="Traditional Arabic" w:eastAsia="Traditional Arabic" w:hAnsi="Traditional Arabic" w:cs="Traditional Arabic"/>
          <w:color w:val="1A1A1A"/>
          <w:sz w:val="24"/>
          <w:szCs w:val="24"/>
          <w:rtl/>
        </w:rPr>
        <w:t>, 1975). وتؤكد الدراسات الطولية أن نمط التعلّق لدى الوالد، كما يُقاس عبر مقابلة التعلّق للراشدين (</w:t>
      </w:r>
      <w:proofErr w:type="spellStart"/>
      <w:r>
        <w:rPr>
          <w:rFonts w:ascii="Traditional Arabic" w:eastAsia="Traditional Arabic" w:hAnsi="Traditional Arabic" w:cs="Traditional Arabic"/>
          <w:color w:val="1A1A1A"/>
          <w:sz w:val="24"/>
          <w:szCs w:val="24"/>
          <w:rtl/>
        </w:rPr>
        <w:t>Adult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Attachment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Interview</w:t>
      </w:r>
      <w:proofErr w:type="spellEnd"/>
      <w:r>
        <w:rPr>
          <w:rFonts w:ascii="Traditional Arabic" w:eastAsia="Traditional Arabic" w:hAnsi="Traditional Arabic" w:cs="Traditional Arabic"/>
          <w:color w:val="1A1A1A"/>
          <w:sz w:val="24"/>
          <w:szCs w:val="24"/>
          <w:rtl/>
        </w:rPr>
        <w:t>)، يتنبأ بنمط تعلّق الطفل بنسبة تطابق تقارب 75% في بعض العينات (</w:t>
      </w:r>
      <w:proofErr w:type="spellStart"/>
      <w:r>
        <w:rPr>
          <w:rFonts w:ascii="Traditional Arabic" w:eastAsia="Traditional Arabic" w:hAnsi="Traditional Arabic" w:cs="Traditional Arabic"/>
          <w:color w:val="1A1A1A"/>
          <w:sz w:val="24"/>
          <w:szCs w:val="24"/>
          <w:rtl/>
        </w:rPr>
        <w:t>Main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Kaplan</w:t>
      </w:r>
      <w:proofErr w:type="spellEnd"/>
      <w:r>
        <w:rPr>
          <w:rFonts w:ascii="Traditional Arabic" w:eastAsia="Traditional Arabic" w:hAnsi="Traditional Arabic" w:cs="Traditional Arabic"/>
          <w:color w:val="1A1A1A"/>
          <w:sz w:val="24"/>
          <w:szCs w:val="24"/>
          <w:rtl/>
        </w:rPr>
        <w:t xml:space="preserve"> &amp; </w:t>
      </w:r>
      <w:proofErr w:type="spellStart"/>
      <w:r>
        <w:rPr>
          <w:rFonts w:ascii="Traditional Arabic" w:eastAsia="Traditional Arabic" w:hAnsi="Traditional Arabic" w:cs="Traditional Arabic"/>
          <w:color w:val="1A1A1A"/>
          <w:sz w:val="24"/>
          <w:szCs w:val="24"/>
          <w:rtl/>
        </w:rPr>
        <w:t>Cassidy</w:t>
      </w:r>
      <w:proofErr w:type="spellEnd"/>
      <w:r>
        <w:rPr>
          <w:rFonts w:ascii="Traditional Arabic" w:eastAsia="Traditional Arabic" w:hAnsi="Traditional Arabic" w:cs="Traditional Arabic"/>
          <w:color w:val="1A1A1A"/>
          <w:sz w:val="24"/>
          <w:szCs w:val="24"/>
          <w:rtl/>
        </w:rPr>
        <w:t xml:space="preserve">, 1985؛ </w:t>
      </w:r>
      <w:proofErr w:type="spellStart"/>
      <w:r>
        <w:rPr>
          <w:rFonts w:ascii="Traditional Arabic" w:eastAsia="Traditional Arabic" w:hAnsi="Traditional Arabic" w:cs="Traditional Arabic"/>
          <w:color w:val="1A1A1A"/>
          <w:sz w:val="24"/>
          <w:szCs w:val="24"/>
          <w:rtl/>
        </w:rPr>
        <w:t>van</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IJzendoorn</w:t>
      </w:r>
      <w:proofErr w:type="spellEnd"/>
      <w:r>
        <w:rPr>
          <w:rFonts w:ascii="Traditional Arabic" w:eastAsia="Traditional Arabic" w:hAnsi="Traditional Arabic" w:cs="Traditional Arabic"/>
          <w:color w:val="1A1A1A"/>
          <w:sz w:val="24"/>
          <w:szCs w:val="24"/>
          <w:rtl/>
        </w:rPr>
        <w:t>, 1995, «</w:t>
      </w:r>
      <w:proofErr w:type="spellStart"/>
      <w:r>
        <w:rPr>
          <w:rFonts w:ascii="Traditional Arabic" w:eastAsia="Traditional Arabic" w:hAnsi="Traditional Arabic" w:cs="Traditional Arabic"/>
          <w:color w:val="1A1A1A"/>
          <w:sz w:val="24"/>
          <w:szCs w:val="24"/>
          <w:rtl/>
        </w:rPr>
        <w:t>Adult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Attachment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Representations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Parental</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Responsiveness</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and</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Infant</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Attachment</w:t>
      </w:r>
      <w:proofErr w:type="spellEnd"/>
      <w:r>
        <w:rPr>
          <w:rFonts w:ascii="Traditional Arabic" w:eastAsia="Traditional Arabic" w:hAnsi="Traditional Arabic" w:cs="Traditional Arabic"/>
          <w:color w:val="1A1A1A"/>
          <w:sz w:val="24"/>
          <w:szCs w:val="24"/>
          <w:rtl/>
        </w:rPr>
        <w:t>»). وهذا يعني أن معالجة نموذج العمل الداخلي لدى الابنة ليست مسألة فردية محضة، بل تحمل أيضاً بُعداً وقائياً بالنسبة للجيل اللاحق.</w:t>
      </w:r>
    </w:p>
    <w:p w14:paraId="5476595F" w14:textId="77777777" w:rsidR="00BF71BF" w:rsidRDefault="00FE2050" w:rsidP="00262343">
      <w:pPr>
        <w:pStyle w:val="1"/>
        <w:pBdr>
          <w:bottom w:val="single" w:sz="8" w:space="4" w:color="B8912F"/>
        </w:pBdr>
        <w:bidi/>
        <w:spacing w:before="400" w:after="200"/>
      </w:pPr>
      <w:r>
        <w:rPr>
          <w:rFonts w:ascii="Traditional Arabic" w:eastAsia="Traditional Arabic" w:hAnsi="Traditional Arabic" w:cs="Traditional Arabic"/>
          <w:b/>
          <w:bCs/>
          <w:color w:val="1B2A4A"/>
          <w:rtl/>
        </w:rPr>
        <w:t>خاتمة: من الاستلاب النرجسي إلى إعادة التشكّل العلائقي</w:t>
      </w:r>
    </w:p>
    <w:p w14:paraId="5B4F7EAE" w14:textId="77777777" w:rsidR="00BF71BF" w:rsidRDefault="00FE2050" w:rsidP="00262343">
      <w:pPr>
        <w:spacing w:after="180" w:line="336" w:lineRule="auto"/>
      </w:pPr>
      <w:r>
        <w:rPr>
          <w:rFonts w:ascii="Traditional Arabic" w:eastAsia="Traditional Arabic" w:hAnsi="Traditional Arabic" w:cs="Traditional Arabic"/>
          <w:color w:val="1A1A1A"/>
          <w:sz w:val="24"/>
          <w:szCs w:val="24"/>
          <w:rtl/>
        </w:rPr>
        <w:t>تخلص هذه القراءة إلى أن الابنة تعيش، في ضوء الإطارين النظريين المعتمدين، حالة ارتباط مزدوجة الدلالة يتقاطع فيها مصدر الأمان النسبي مع مصدر التهديد النفسي في الوقت ذاته، وهو نمط وصفته أدبيات إكلينيكية متخصصة في العلاقات الأسرية المضطربة بأنه شكل من أشكال «الترابط المؤلم» (</w:t>
      </w:r>
      <w:proofErr w:type="spellStart"/>
      <w:r>
        <w:rPr>
          <w:rFonts w:ascii="Traditional Arabic" w:eastAsia="Traditional Arabic" w:hAnsi="Traditional Arabic" w:cs="Traditional Arabic"/>
          <w:color w:val="1A1A1A"/>
          <w:sz w:val="24"/>
          <w:szCs w:val="24"/>
          <w:rtl/>
        </w:rPr>
        <w:t>traumatic</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bonding</w:t>
      </w:r>
      <w:proofErr w:type="spellEnd"/>
      <w:r>
        <w:rPr>
          <w:rFonts w:ascii="Traditional Arabic" w:eastAsia="Traditional Arabic" w:hAnsi="Traditional Arabic" w:cs="Traditional Arabic"/>
          <w:color w:val="1A1A1A"/>
          <w:sz w:val="24"/>
          <w:szCs w:val="24"/>
          <w:rtl/>
        </w:rPr>
        <w:t>) الذي يتطلب معالجة تدريجية لا فورية (</w:t>
      </w:r>
      <w:proofErr w:type="spellStart"/>
      <w:r>
        <w:rPr>
          <w:rFonts w:ascii="Traditional Arabic" w:eastAsia="Traditional Arabic" w:hAnsi="Traditional Arabic" w:cs="Traditional Arabic"/>
          <w:color w:val="1A1A1A"/>
          <w:sz w:val="24"/>
          <w:szCs w:val="24"/>
          <w:rtl/>
        </w:rPr>
        <w:t>Dutton</w:t>
      </w:r>
      <w:proofErr w:type="spellEnd"/>
      <w:r>
        <w:rPr>
          <w:rFonts w:ascii="Traditional Arabic" w:eastAsia="Traditional Arabic" w:hAnsi="Traditional Arabic" w:cs="Traditional Arabic"/>
          <w:color w:val="1A1A1A"/>
          <w:sz w:val="24"/>
          <w:szCs w:val="24"/>
          <w:rtl/>
        </w:rPr>
        <w:t xml:space="preserve"> &amp; </w:t>
      </w:r>
      <w:proofErr w:type="spellStart"/>
      <w:r>
        <w:rPr>
          <w:rFonts w:ascii="Traditional Arabic" w:eastAsia="Traditional Arabic" w:hAnsi="Traditional Arabic" w:cs="Traditional Arabic"/>
          <w:color w:val="1A1A1A"/>
          <w:sz w:val="24"/>
          <w:szCs w:val="24"/>
          <w:rtl/>
        </w:rPr>
        <w:t>Painter</w:t>
      </w:r>
      <w:proofErr w:type="spellEnd"/>
      <w:r>
        <w:rPr>
          <w:rFonts w:ascii="Traditional Arabic" w:eastAsia="Traditional Arabic" w:hAnsi="Traditional Arabic" w:cs="Traditional Arabic"/>
          <w:color w:val="1A1A1A"/>
          <w:sz w:val="24"/>
          <w:szCs w:val="24"/>
          <w:rtl/>
        </w:rPr>
        <w:t xml:space="preserve">, 1981). كما أن الانفصال المُعلَن عبر قرار الزواج يمثّل خطوة جوهرية نحو </w:t>
      </w:r>
      <w:proofErr w:type="spellStart"/>
      <w:r>
        <w:rPr>
          <w:rFonts w:ascii="Traditional Arabic" w:eastAsia="Traditional Arabic" w:hAnsi="Traditional Arabic" w:cs="Traditional Arabic"/>
          <w:color w:val="1A1A1A"/>
          <w:sz w:val="24"/>
          <w:szCs w:val="24"/>
          <w:rtl/>
        </w:rPr>
        <w:t>الفردنة</w:t>
      </w:r>
      <w:proofErr w:type="spellEnd"/>
      <w:r>
        <w:rPr>
          <w:rFonts w:ascii="Traditional Arabic" w:eastAsia="Traditional Arabic" w:hAnsi="Traditional Arabic" w:cs="Traditional Arabic"/>
          <w:color w:val="1A1A1A"/>
          <w:sz w:val="24"/>
          <w:szCs w:val="24"/>
          <w:rtl/>
        </w:rPr>
        <w:t xml:space="preserve"> النفسية، غير أنه لا يُلغي تلقائياً الأنماط الانفعالية المتجذّرة، بل يفتح إمكانية معالجتها ضمن سياق علائقي جديد.</w:t>
      </w:r>
    </w:p>
    <w:p w14:paraId="13BBCC01" w14:textId="77777777" w:rsidR="00BF71BF" w:rsidRDefault="00FE2050">
      <w:pPr>
        <w:spacing w:after="180" w:line="336" w:lineRule="auto"/>
        <w:jc w:val="both"/>
      </w:pPr>
      <w:r>
        <w:rPr>
          <w:rFonts w:ascii="Traditional Arabic" w:eastAsia="Traditional Arabic" w:hAnsi="Traditional Arabic" w:cs="Traditional Arabic"/>
          <w:color w:val="1A1A1A"/>
          <w:sz w:val="24"/>
          <w:szCs w:val="24"/>
          <w:rtl/>
        </w:rPr>
        <w:t>وتؤكد أدبيات التعلّق أن نماذج العمل الداخلية، وإن كانت شديدة الثبات نسبياً، ليست قدَرية غير قابلة للتعديل؛ إذ تُبيّن الدراسات الطولية أن تجارب علائقية تصحيحية لاحقة، ودعم نفسي مهني عند الحاجة، يمكن أن يُفضيا إلى إعادة تشكيل هذه النماذج نحو مزيد من الأمان (</w:t>
      </w:r>
      <w:proofErr w:type="spellStart"/>
      <w:r>
        <w:rPr>
          <w:rFonts w:ascii="Traditional Arabic" w:eastAsia="Traditional Arabic" w:hAnsi="Traditional Arabic" w:cs="Traditional Arabic"/>
          <w:color w:val="1A1A1A"/>
          <w:sz w:val="24"/>
          <w:szCs w:val="24"/>
          <w:rtl/>
        </w:rPr>
        <w:t>Siegel</w:t>
      </w:r>
      <w:proofErr w:type="spellEnd"/>
      <w:r>
        <w:rPr>
          <w:rFonts w:ascii="Traditional Arabic" w:eastAsia="Traditional Arabic" w:hAnsi="Traditional Arabic" w:cs="Traditional Arabic"/>
          <w:color w:val="1A1A1A"/>
          <w:sz w:val="24"/>
          <w:szCs w:val="24"/>
          <w:rtl/>
        </w:rPr>
        <w:t xml:space="preserve">, 2012, </w:t>
      </w:r>
      <w:proofErr w:type="spellStart"/>
      <w:r>
        <w:rPr>
          <w:rFonts w:ascii="Traditional Arabic" w:eastAsia="Traditional Arabic" w:hAnsi="Traditional Arabic" w:cs="Traditional Arabic"/>
          <w:color w:val="1A1A1A"/>
          <w:sz w:val="24"/>
          <w:szCs w:val="24"/>
          <w:rtl/>
        </w:rPr>
        <w:t>The</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Developing</w:t>
      </w:r>
      <w:proofErr w:type="spellEnd"/>
      <w:r>
        <w:rPr>
          <w:rFonts w:ascii="Traditional Arabic" w:eastAsia="Traditional Arabic" w:hAnsi="Traditional Arabic" w:cs="Traditional Arabic"/>
          <w:color w:val="1A1A1A"/>
          <w:sz w:val="24"/>
          <w:szCs w:val="24"/>
          <w:rtl/>
        </w:rPr>
        <w:t xml:space="preserve"> </w:t>
      </w:r>
      <w:proofErr w:type="spellStart"/>
      <w:r>
        <w:rPr>
          <w:rFonts w:ascii="Traditional Arabic" w:eastAsia="Traditional Arabic" w:hAnsi="Traditional Arabic" w:cs="Traditional Arabic"/>
          <w:color w:val="1A1A1A"/>
          <w:sz w:val="24"/>
          <w:szCs w:val="24"/>
          <w:rtl/>
        </w:rPr>
        <w:t>Mind</w:t>
      </w:r>
      <w:proofErr w:type="spellEnd"/>
      <w:r>
        <w:rPr>
          <w:rFonts w:ascii="Traditional Arabic" w:eastAsia="Traditional Arabic" w:hAnsi="Traditional Arabic" w:cs="Traditional Arabic"/>
          <w:color w:val="1A1A1A"/>
          <w:sz w:val="24"/>
          <w:szCs w:val="24"/>
          <w:rtl/>
        </w:rPr>
        <w:t>). ومن هذا المنطلق، فإن المسار العلاجي الأمثل للحالة موضوع الدراسة يقتضي عملاً موازياً على مستويين: مستوى فردي يُعنى بمعالجة نموذج العمل الداخلي عبر العلاقة العلاجية أو العلاقة الزوجية الآمنة، ومستوى أسري يُعنى بإعادة ترسيم الحدود بين الأجيال.</w:t>
      </w:r>
    </w:p>
    <w:p w14:paraId="268E0055" w14:textId="77777777" w:rsidR="00BF71BF" w:rsidRDefault="00BF71BF">
      <w:pPr>
        <w:pBdr>
          <w:bottom w:val="single" w:sz="6" w:space="1" w:color="B8912F"/>
        </w:pBdr>
        <w:spacing w:before="200" w:after="200"/>
      </w:pPr>
    </w:p>
    <w:p w14:paraId="30AF78AC" w14:textId="77777777" w:rsidR="00BF71BF" w:rsidRDefault="00FE2050">
      <w:pPr>
        <w:pStyle w:val="1"/>
        <w:pBdr>
          <w:bottom w:val="single" w:sz="8" w:space="4" w:color="B8912F"/>
        </w:pBdr>
        <w:bidi/>
        <w:spacing w:before="400" w:after="200"/>
        <w:jc w:val="right"/>
      </w:pPr>
      <w:r>
        <w:rPr>
          <w:rFonts w:ascii="Traditional Arabic" w:eastAsia="Traditional Arabic" w:hAnsi="Traditional Arabic" w:cs="Traditional Arabic"/>
          <w:b/>
          <w:bCs/>
          <w:color w:val="1B2A4A"/>
          <w:rtl/>
        </w:rPr>
        <w:t>قائمة المصادر والمراجع</w:t>
      </w:r>
    </w:p>
    <w:p w14:paraId="56B53660"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American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Psychiatric</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Association</w:t>
      </w:r>
      <w:proofErr w:type="spellEnd"/>
      <w:r>
        <w:rPr>
          <w:rFonts w:ascii="Traditional Arabic" w:eastAsia="Traditional Arabic" w:hAnsi="Traditional Arabic" w:cs="Traditional Arabic"/>
          <w:color w:val="1A1A1A"/>
          <w:sz w:val="22"/>
          <w:szCs w:val="22"/>
          <w:rtl/>
        </w:rPr>
        <w:t xml:space="preserve">. (2013). </w:t>
      </w:r>
      <w:proofErr w:type="spellStart"/>
      <w:r>
        <w:rPr>
          <w:rFonts w:ascii="Traditional Arabic" w:eastAsia="Traditional Arabic" w:hAnsi="Traditional Arabic" w:cs="Traditional Arabic"/>
          <w:color w:val="1A1A1A"/>
          <w:sz w:val="22"/>
          <w:szCs w:val="22"/>
          <w:rtl/>
        </w:rPr>
        <w:t>Diagnostic</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Statistical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Manual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Mental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Disorders</w:t>
      </w:r>
      <w:proofErr w:type="spellEnd"/>
      <w:r>
        <w:rPr>
          <w:rFonts w:ascii="Traditional Arabic" w:eastAsia="Traditional Arabic" w:hAnsi="Traditional Arabic" w:cs="Traditional Arabic"/>
          <w:color w:val="1A1A1A"/>
          <w:sz w:val="22"/>
          <w:szCs w:val="22"/>
          <w:rtl/>
        </w:rPr>
        <w:t xml:space="preserve"> (5th </w:t>
      </w:r>
      <w:proofErr w:type="spellStart"/>
      <w:r>
        <w:rPr>
          <w:rFonts w:ascii="Traditional Arabic" w:eastAsia="Traditional Arabic" w:hAnsi="Traditional Arabic" w:cs="Traditional Arabic"/>
          <w:color w:val="1A1A1A"/>
          <w:sz w:val="22"/>
          <w:szCs w:val="22"/>
          <w:rtl/>
        </w:rPr>
        <w:t>ed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Washington</w:t>
      </w:r>
      <w:proofErr w:type="spellEnd"/>
      <w:r>
        <w:rPr>
          <w:rFonts w:ascii="Traditional Arabic" w:eastAsia="Traditional Arabic" w:hAnsi="Traditional Arabic" w:cs="Traditional Arabic"/>
          <w:color w:val="1A1A1A"/>
          <w:sz w:val="22"/>
          <w:szCs w:val="22"/>
          <w:rtl/>
        </w:rPr>
        <w:t>, DC: APA.</w:t>
      </w:r>
    </w:p>
    <w:p w14:paraId="00F3DD31"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Ainsworth</w:t>
      </w:r>
      <w:proofErr w:type="spellEnd"/>
      <w:r>
        <w:rPr>
          <w:rFonts w:ascii="Traditional Arabic" w:eastAsia="Traditional Arabic" w:hAnsi="Traditional Arabic" w:cs="Traditional Arabic"/>
          <w:color w:val="1A1A1A"/>
          <w:sz w:val="22"/>
          <w:szCs w:val="22"/>
          <w:rtl/>
        </w:rPr>
        <w:t xml:space="preserve">, M. D. S., </w:t>
      </w:r>
      <w:proofErr w:type="spellStart"/>
      <w:r>
        <w:rPr>
          <w:rFonts w:ascii="Traditional Arabic" w:eastAsia="Traditional Arabic" w:hAnsi="Traditional Arabic" w:cs="Traditional Arabic"/>
          <w:color w:val="1A1A1A"/>
          <w:sz w:val="22"/>
          <w:szCs w:val="22"/>
          <w:rtl/>
        </w:rPr>
        <w:t>Blehar</w:t>
      </w:r>
      <w:proofErr w:type="spellEnd"/>
      <w:r>
        <w:rPr>
          <w:rFonts w:ascii="Traditional Arabic" w:eastAsia="Traditional Arabic" w:hAnsi="Traditional Arabic" w:cs="Traditional Arabic"/>
          <w:color w:val="1A1A1A"/>
          <w:sz w:val="22"/>
          <w:szCs w:val="22"/>
          <w:rtl/>
        </w:rPr>
        <w:t xml:space="preserve">, M. C., </w:t>
      </w:r>
      <w:proofErr w:type="spellStart"/>
      <w:r>
        <w:rPr>
          <w:rFonts w:ascii="Traditional Arabic" w:eastAsia="Traditional Arabic" w:hAnsi="Traditional Arabic" w:cs="Traditional Arabic"/>
          <w:color w:val="1A1A1A"/>
          <w:sz w:val="22"/>
          <w:szCs w:val="22"/>
          <w:rtl/>
        </w:rPr>
        <w:t>Waters</w:t>
      </w:r>
      <w:proofErr w:type="spellEnd"/>
      <w:r>
        <w:rPr>
          <w:rFonts w:ascii="Traditional Arabic" w:eastAsia="Traditional Arabic" w:hAnsi="Traditional Arabic" w:cs="Traditional Arabic"/>
          <w:color w:val="1A1A1A"/>
          <w:sz w:val="22"/>
          <w:szCs w:val="22"/>
          <w:rtl/>
        </w:rPr>
        <w:t xml:space="preserve">, E., &amp; </w:t>
      </w:r>
      <w:proofErr w:type="spellStart"/>
      <w:r>
        <w:rPr>
          <w:rFonts w:ascii="Traditional Arabic" w:eastAsia="Traditional Arabic" w:hAnsi="Traditional Arabic" w:cs="Traditional Arabic"/>
          <w:color w:val="1A1A1A"/>
          <w:sz w:val="22"/>
          <w:szCs w:val="22"/>
          <w:rtl/>
        </w:rPr>
        <w:t>Wall</w:t>
      </w:r>
      <w:proofErr w:type="spellEnd"/>
      <w:r>
        <w:rPr>
          <w:rFonts w:ascii="Traditional Arabic" w:eastAsia="Traditional Arabic" w:hAnsi="Traditional Arabic" w:cs="Traditional Arabic"/>
          <w:color w:val="1A1A1A"/>
          <w:sz w:val="22"/>
          <w:szCs w:val="22"/>
          <w:rtl/>
        </w:rPr>
        <w:t xml:space="preserve">, S. (1978). </w:t>
      </w:r>
      <w:proofErr w:type="spellStart"/>
      <w:r>
        <w:rPr>
          <w:rFonts w:ascii="Traditional Arabic" w:eastAsia="Traditional Arabic" w:hAnsi="Traditional Arabic" w:cs="Traditional Arabic"/>
          <w:color w:val="1A1A1A"/>
          <w:sz w:val="22"/>
          <w:szCs w:val="22"/>
          <w:rtl/>
        </w:rPr>
        <w:t>Patterns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A </w:t>
      </w:r>
      <w:proofErr w:type="spellStart"/>
      <w:r>
        <w:rPr>
          <w:rFonts w:ascii="Traditional Arabic" w:eastAsia="Traditional Arabic" w:hAnsi="Traditional Arabic" w:cs="Traditional Arabic"/>
          <w:color w:val="1A1A1A"/>
          <w:sz w:val="22"/>
          <w:szCs w:val="22"/>
          <w:rtl/>
        </w:rPr>
        <w:t>Psychological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Study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Strange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Situation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Hillsdale</w:t>
      </w:r>
      <w:proofErr w:type="spellEnd"/>
      <w:r>
        <w:rPr>
          <w:rFonts w:ascii="Traditional Arabic" w:eastAsia="Traditional Arabic" w:hAnsi="Traditional Arabic" w:cs="Traditional Arabic"/>
          <w:color w:val="1A1A1A"/>
          <w:sz w:val="22"/>
          <w:szCs w:val="22"/>
          <w:rtl/>
        </w:rPr>
        <w:t xml:space="preserve">, NJ: </w:t>
      </w:r>
      <w:proofErr w:type="spellStart"/>
      <w:r>
        <w:rPr>
          <w:rFonts w:ascii="Traditional Arabic" w:eastAsia="Traditional Arabic" w:hAnsi="Traditional Arabic" w:cs="Traditional Arabic"/>
          <w:color w:val="1A1A1A"/>
          <w:sz w:val="22"/>
          <w:szCs w:val="22"/>
          <w:rtl/>
        </w:rPr>
        <w:t>Erlbaum</w:t>
      </w:r>
      <w:proofErr w:type="spellEnd"/>
      <w:r>
        <w:rPr>
          <w:rFonts w:ascii="Traditional Arabic" w:eastAsia="Traditional Arabic" w:hAnsi="Traditional Arabic" w:cs="Traditional Arabic"/>
          <w:color w:val="1A1A1A"/>
          <w:sz w:val="22"/>
          <w:szCs w:val="22"/>
          <w:rtl/>
        </w:rPr>
        <w:t>.</w:t>
      </w:r>
    </w:p>
    <w:p w14:paraId="26794BE3"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Arnett</w:t>
      </w:r>
      <w:proofErr w:type="spellEnd"/>
      <w:r>
        <w:rPr>
          <w:rFonts w:ascii="Traditional Arabic" w:eastAsia="Traditional Arabic" w:hAnsi="Traditional Arabic" w:cs="Traditional Arabic"/>
          <w:color w:val="1A1A1A"/>
          <w:sz w:val="22"/>
          <w:szCs w:val="22"/>
          <w:rtl/>
        </w:rPr>
        <w:t xml:space="preserve">, J. J. (2000). </w:t>
      </w:r>
      <w:proofErr w:type="spellStart"/>
      <w:r>
        <w:rPr>
          <w:rFonts w:ascii="Traditional Arabic" w:eastAsia="Traditional Arabic" w:hAnsi="Traditional Arabic" w:cs="Traditional Arabic"/>
          <w:color w:val="1A1A1A"/>
          <w:sz w:val="22"/>
          <w:szCs w:val="22"/>
          <w:rtl/>
        </w:rPr>
        <w:t>Emerging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Adulthood</w:t>
      </w:r>
      <w:proofErr w:type="spellEnd"/>
      <w:r>
        <w:rPr>
          <w:rFonts w:ascii="Traditional Arabic" w:eastAsia="Traditional Arabic" w:hAnsi="Traditional Arabic" w:cs="Traditional Arabic"/>
          <w:color w:val="1A1A1A"/>
          <w:sz w:val="22"/>
          <w:szCs w:val="22"/>
          <w:rtl/>
        </w:rPr>
        <w:t xml:space="preserve">: A </w:t>
      </w:r>
      <w:proofErr w:type="spellStart"/>
      <w:r>
        <w:rPr>
          <w:rFonts w:ascii="Traditional Arabic" w:eastAsia="Traditional Arabic" w:hAnsi="Traditional Arabic" w:cs="Traditional Arabic"/>
          <w:color w:val="1A1A1A"/>
          <w:sz w:val="22"/>
          <w:szCs w:val="22"/>
          <w:rtl/>
        </w:rPr>
        <w:t>Theory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Development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from</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Late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Teens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through</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Twenties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American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Psychologist</w:t>
      </w:r>
      <w:proofErr w:type="spellEnd"/>
      <w:r>
        <w:rPr>
          <w:rFonts w:ascii="Traditional Arabic" w:eastAsia="Traditional Arabic" w:hAnsi="Traditional Arabic" w:cs="Traditional Arabic"/>
          <w:color w:val="1A1A1A"/>
          <w:sz w:val="22"/>
          <w:szCs w:val="22"/>
          <w:rtl/>
        </w:rPr>
        <w:t>, 55(5), 469–480.</w:t>
      </w:r>
    </w:p>
    <w:p w14:paraId="166107F4"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Basson</w:t>
      </w:r>
      <w:proofErr w:type="spellEnd"/>
      <w:r>
        <w:rPr>
          <w:rFonts w:ascii="Traditional Arabic" w:eastAsia="Traditional Arabic" w:hAnsi="Traditional Arabic" w:cs="Traditional Arabic"/>
          <w:color w:val="1A1A1A"/>
          <w:sz w:val="22"/>
          <w:szCs w:val="22"/>
          <w:rtl/>
        </w:rPr>
        <w:t xml:space="preserve">, R. (2001). </w:t>
      </w:r>
      <w:proofErr w:type="spellStart"/>
      <w:r>
        <w:rPr>
          <w:rFonts w:ascii="Traditional Arabic" w:eastAsia="Traditional Arabic" w:hAnsi="Traditional Arabic" w:cs="Traditional Arabic"/>
          <w:color w:val="1A1A1A"/>
          <w:sz w:val="22"/>
          <w:szCs w:val="22"/>
          <w:rtl/>
        </w:rPr>
        <w:t>Using</w:t>
      </w:r>
      <w:proofErr w:type="spellEnd"/>
      <w:r>
        <w:rPr>
          <w:rFonts w:ascii="Traditional Arabic" w:eastAsia="Traditional Arabic" w:hAnsi="Traditional Arabic" w:cs="Traditional Arabic"/>
          <w:color w:val="1A1A1A"/>
          <w:sz w:val="22"/>
          <w:szCs w:val="22"/>
          <w:rtl/>
        </w:rPr>
        <w:t xml:space="preserve"> a </w:t>
      </w:r>
      <w:proofErr w:type="spellStart"/>
      <w:r>
        <w:rPr>
          <w:rFonts w:ascii="Traditional Arabic" w:eastAsia="Traditional Arabic" w:hAnsi="Traditional Arabic" w:cs="Traditional Arabic"/>
          <w:color w:val="1A1A1A"/>
          <w:sz w:val="22"/>
          <w:szCs w:val="22"/>
          <w:rtl/>
        </w:rPr>
        <w:t>Different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Model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for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Female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Sexuality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Address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Women's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Sexual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Complaints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Journal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Sex</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Marital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Therapy</w:t>
      </w:r>
      <w:proofErr w:type="spellEnd"/>
      <w:r>
        <w:rPr>
          <w:rFonts w:ascii="Traditional Arabic" w:eastAsia="Traditional Arabic" w:hAnsi="Traditional Arabic" w:cs="Traditional Arabic"/>
          <w:color w:val="1A1A1A"/>
          <w:sz w:val="22"/>
          <w:szCs w:val="22"/>
          <w:rtl/>
        </w:rPr>
        <w:t>, 27(5), 395–403.</w:t>
      </w:r>
    </w:p>
    <w:p w14:paraId="237ADB5F"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Baumrind</w:t>
      </w:r>
      <w:proofErr w:type="spellEnd"/>
      <w:r>
        <w:rPr>
          <w:rFonts w:ascii="Traditional Arabic" w:eastAsia="Traditional Arabic" w:hAnsi="Traditional Arabic" w:cs="Traditional Arabic"/>
          <w:color w:val="1A1A1A"/>
          <w:sz w:val="22"/>
          <w:szCs w:val="22"/>
          <w:rtl/>
        </w:rPr>
        <w:t xml:space="preserve">, D. (1991).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Influence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Parenting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Style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Adolescent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Competence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Substance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Use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Journal</w:t>
      </w:r>
      <w:proofErr w:type="spellEnd"/>
      <w:r>
        <w:rPr>
          <w:rFonts w:ascii="Traditional Arabic" w:eastAsia="Traditional Arabic" w:hAnsi="Traditional Arabic" w:cs="Traditional Arabic"/>
          <w:color w:val="1A1A1A"/>
          <w:sz w:val="22"/>
          <w:szCs w:val="22"/>
          <w:rtl/>
        </w:rPr>
        <w:t xml:space="preserve"> of </w:t>
      </w:r>
      <w:proofErr w:type="spellStart"/>
      <w:r>
        <w:rPr>
          <w:rFonts w:ascii="Traditional Arabic" w:eastAsia="Traditional Arabic" w:hAnsi="Traditional Arabic" w:cs="Traditional Arabic"/>
          <w:color w:val="1A1A1A"/>
          <w:sz w:val="22"/>
          <w:szCs w:val="22"/>
          <w:rtl/>
        </w:rPr>
        <w:t>Early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Adolescence</w:t>
      </w:r>
      <w:proofErr w:type="spellEnd"/>
      <w:r>
        <w:rPr>
          <w:rFonts w:ascii="Traditional Arabic" w:eastAsia="Traditional Arabic" w:hAnsi="Traditional Arabic" w:cs="Traditional Arabic"/>
          <w:color w:val="1A1A1A"/>
          <w:sz w:val="22"/>
          <w:szCs w:val="22"/>
          <w:rtl/>
        </w:rPr>
        <w:t>, 11(1), 56–95.</w:t>
      </w:r>
    </w:p>
    <w:p w14:paraId="3B3E7E6D"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Birnbaum</w:t>
      </w:r>
      <w:proofErr w:type="spellEnd"/>
      <w:r>
        <w:rPr>
          <w:rFonts w:ascii="Traditional Arabic" w:eastAsia="Traditional Arabic" w:hAnsi="Traditional Arabic" w:cs="Traditional Arabic"/>
          <w:color w:val="1A1A1A"/>
          <w:sz w:val="22"/>
          <w:szCs w:val="22"/>
          <w:rtl/>
        </w:rPr>
        <w:t xml:space="preserve">, G. E. (2007).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Orientations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Sexual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Functioning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Relationship</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Satisfaction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a </w:t>
      </w:r>
      <w:proofErr w:type="spellStart"/>
      <w:r>
        <w:rPr>
          <w:rFonts w:ascii="Traditional Arabic" w:eastAsia="Traditional Arabic" w:hAnsi="Traditional Arabic" w:cs="Traditional Arabic"/>
          <w:color w:val="1A1A1A"/>
          <w:sz w:val="22"/>
          <w:szCs w:val="22"/>
          <w:rtl/>
        </w:rPr>
        <w:t>Community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Sample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Personal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Relationships</w:t>
      </w:r>
      <w:proofErr w:type="spellEnd"/>
      <w:r>
        <w:rPr>
          <w:rFonts w:ascii="Traditional Arabic" w:eastAsia="Traditional Arabic" w:hAnsi="Traditional Arabic" w:cs="Traditional Arabic"/>
          <w:color w:val="1A1A1A"/>
          <w:sz w:val="22"/>
          <w:szCs w:val="22"/>
          <w:rtl/>
        </w:rPr>
        <w:t>, 14(4), 573–587.</w:t>
      </w:r>
    </w:p>
    <w:p w14:paraId="6784F28D"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Bowlby</w:t>
      </w:r>
      <w:proofErr w:type="spellEnd"/>
      <w:r>
        <w:rPr>
          <w:rFonts w:ascii="Traditional Arabic" w:eastAsia="Traditional Arabic" w:hAnsi="Traditional Arabic" w:cs="Traditional Arabic"/>
          <w:color w:val="1A1A1A"/>
          <w:sz w:val="22"/>
          <w:szCs w:val="22"/>
          <w:rtl/>
        </w:rPr>
        <w:t xml:space="preserve">, J. (1969/1973/1980).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Loss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Vols</w:t>
      </w:r>
      <w:proofErr w:type="spellEnd"/>
      <w:r>
        <w:rPr>
          <w:rFonts w:ascii="Traditional Arabic" w:eastAsia="Traditional Arabic" w:hAnsi="Traditional Arabic" w:cs="Traditional Arabic"/>
          <w:color w:val="1A1A1A"/>
          <w:sz w:val="22"/>
          <w:szCs w:val="22"/>
          <w:rtl/>
        </w:rPr>
        <w:t xml:space="preserve">. 1–3).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Basic</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Books</w:t>
      </w:r>
      <w:proofErr w:type="spellEnd"/>
      <w:r>
        <w:rPr>
          <w:rFonts w:ascii="Traditional Arabic" w:eastAsia="Traditional Arabic" w:hAnsi="Traditional Arabic" w:cs="Traditional Arabic"/>
          <w:color w:val="1A1A1A"/>
          <w:sz w:val="22"/>
          <w:szCs w:val="22"/>
          <w:rtl/>
        </w:rPr>
        <w:t>.</w:t>
      </w:r>
    </w:p>
    <w:p w14:paraId="7259F060"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Bowlby</w:t>
      </w:r>
      <w:proofErr w:type="spellEnd"/>
      <w:r>
        <w:rPr>
          <w:rFonts w:ascii="Traditional Arabic" w:eastAsia="Traditional Arabic" w:hAnsi="Traditional Arabic" w:cs="Traditional Arabic"/>
          <w:color w:val="1A1A1A"/>
          <w:sz w:val="22"/>
          <w:szCs w:val="22"/>
          <w:rtl/>
        </w:rPr>
        <w:t xml:space="preserve">, J. (1988). A </w:t>
      </w:r>
      <w:proofErr w:type="spellStart"/>
      <w:r>
        <w:rPr>
          <w:rFonts w:ascii="Traditional Arabic" w:eastAsia="Traditional Arabic" w:hAnsi="Traditional Arabic" w:cs="Traditional Arabic"/>
          <w:color w:val="1A1A1A"/>
          <w:sz w:val="22"/>
          <w:szCs w:val="22"/>
          <w:rtl/>
        </w:rPr>
        <w:t>Secure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Base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Parent-Child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Healthy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Human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Development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Basic</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Books</w:t>
      </w:r>
      <w:proofErr w:type="spellEnd"/>
      <w:r>
        <w:rPr>
          <w:rFonts w:ascii="Traditional Arabic" w:eastAsia="Traditional Arabic" w:hAnsi="Traditional Arabic" w:cs="Traditional Arabic"/>
          <w:color w:val="1A1A1A"/>
          <w:sz w:val="22"/>
          <w:szCs w:val="22"/>
          <w:rtl/>
        </w:rPr>
        <w:t>.</w:t>
      </w:r>
    </w:p>
    <w:p w14:paraId="7F6774F4"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Brassard</w:t>
      </w:r>
      <w:proofErr w:type="spellEnd"/>
      <w:r>
        <w:rPr>
          <w:rFonts w:ascii="Traditional Arabic" w:eastAsia="Traditional Arabic" w:hAnsi="Traditional Arabic" w:cs="Traditional Arabic"/>
          <w:color w:val="1A1A1A"/>
          <w:sz w:val="22"/>
          <w:szCs w:val="22"/>
          <w:rtl/>
        </w:rPr>
        <w:t xml:space="preserve">, A., </w:t>
      </w:r>
      <w:proofErr w:type="spellStart"/>
      <w:r>
        <w:rPr>
          <w:rFonts w:ascii="Traditional Arabic" w:eastAsia="Traditional Arabic" w:hAnsi="Traditional Arabic" w:cs="Traditional Arabic"/>
          <w:color w:val="1A1A1A"/>
          <w:sz w:val="22"/>
          <w:szCs w:val="22"/>
          <w:rtl/>
        </w:rPr>
        <w:t>Shaver</w:t>
      </w:r>
      <w:proofErr w:type="spellEnd"/>
      <w:r>
        <w:rPr>
          <w:rFonts w:ascii="Traditional Arabic" w:eastAsia="Traditional Arabic" w:hAnsi="Traditional Arabic" w:cs="Traditional Arabic"/>
          <w:color w:val="1A1A1A"/>
          <w:sz w:val="22"/>
          <w:szCs w:val="22"/>
          <w:rtl/>
        </w:rPr>
        <w:t xml:space="preserve">, P. R., &amp; </w:t>
      </w:r>
      <w:proofErr w:type="spellStart"/>
      <w:r>
        <w:rPr>
          <w:rFonts w:ascii="Traditional Arabic" w:eastAsia="Traditional Arabic" w:hAnsi="Traditional Arabic" w:cs="Traditional Arabic"/>
          <w:color w:val="1A1A1A"/>
          <w:sz w:val="22"/>
          <w:szCs w:val="22"/>
          <w:rtl/>
        </w:rPr>
        <w:t>Lussier</w:t>
      </w:r>
      <w:proofErr w:type="spellEnd"/>
      <w:r>
        <w:rPr>
          <w:rFonts w:ascii="Traditional Arabic" w:eastAsia="Traditional Arabic" w:hAnsi="Traditional Arabic" w:cs="Traditional Arabic"/>
          <w:color w:val="1A1A1A"/>
          <w:sz w:val="22"/>
          <w:szCs w:val="22"/>
          <w:rtl/>
        </w:rPr>
        <w:t xml:space="preserve">, Y. (2007).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Sexual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Experience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Sexual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Pressure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Romantic</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Relationships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Personal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Relationships</w:t>
      </w:r>
      <w:proofErr w:type="spellEnd"/>
      <w:r>
        <w:rPr>
          <w:rFonts w:ascii="Traditional Arabic" w:eastAsia="Traditional Arabic" w:hAnsi="Traditional Arabic" w:cs="Traditional Arabic"/>
          <w:color w:val="1A1A1A"/>
          <w:sz w:val="22"/>
          <w:szCs w:val="22"/>
          <w:rtl/>
        </w:rPr>
        <w:t>, 14(3), 475–493.</w:t>
      </w:r>
    </w:p>
    <w:p w14:paraId="3EFEAC00"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Bretherton</w:t>
      </w:r>
      <w:proofErr w:type="spellEnd"/>
      <w:r>
        <w:rPr>
          <w:rFonts w:ascii="Traditional Arabic" w:eastAsia="Traditional Arabic" w:hAnsi="Traditional Arabic" w:cs="Traditional Arabic"/>
          <w:color w:val="1A1A1A"/>
          <w:sz w:val="22"/>
          <w:szCs w:val="22"/>
          <w:rtl/>
        </w:rPr>
        <w:t xml:space="preserve">, I., &amp; </w:t>
      </w:r>
      <w:proofErr w:type="spellStart"/>
      <w:r>
        <w:rPr>
          <w:rFonts w:ascii="Traditional Arabic" w:eastAsia="Traditional Arabic" w:hAnsi="Traditional Arabic" w:cs="Traditional Arabic"/>
          <w:color w:val="1A1A1A"/>
          <w:sz w:val="22"/>
          <w:szCs w:val="22"/>
          <w:rtl/>
        </w:rPr>
        <w:t>Munholland</w:t>
      </w:r>
      <w:proofErr w:type="spellEnd"/>
      <w:r>
        <w:rPr>
          <w:rFonts w:ascii="Traditional Arabic" w:eastAsia="Traditional Arabic" w:hAnsi="Traditional Arabic" w:cs="Traditional Arabic"/>
          <w:color w:val="1A1A1A"/>
          <w:sz w:val="22"/>
          <w:szCs w:val="22"/>
          <w:rtl/>
        </w:rPr>
        <w:t xml:space="preserve">, K. A. (2008). </w:t>
      </w:r>
      <w:proofErr w:type="spellStart"/>
      <w:r>
        <w:rPr>
          <w:rFonts w:ascii="Traditional Arabic" w:eastAsia="Traditional Arabic" w:hAnsi="Traditional Arabic" w:cs="Traditional Arabic"/>
          <w:color w:val="1A1A1A"/>
          <w:sz w:val="22"/>
          <w:szCs w:val="22"/>
          <w:rtl/>
        </w:rPr>
        <w:t>Internal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Working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Models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Relationships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J. </w:t>
      </w:r>
      <w:proofErr w:type="spellStart"/>
      <w:r>
        <w:rPr>
          <w:rFonts w:ascii="Traditional Arabic" w:eastAsia="Traditional Arabic" w:hAnsi="Traditional Arabic" w:cs="Traditional Arabic"/>
          <w:color w:val="1A1A1A"/>
          <w:sz w:val="22"/>
          <w:szCs w:val="22"/>
          <w:rtl/>
        </w:rPr>
        <w:t>Cassidy</w:t>
      </w:r>
      <w:proofErr w:type="spellEnd"/>
      <w:r>
        <w:rPr>
          <w:rFonts w:ascii="Traditional Arabic" w:eastAsia="Traditional Arabic" w:hAnsi="Traditional Arabic" w:cs="Traditional Arabic"/>
          <w:color w:val="1A1A1A"/>
          <w:sz w:val="22"/>
          <w:szCs w:val="22"/>
          <w:rtl/>
        </w:rPr>
        <w:t xml:space="preserve"> &amp; P. R. </w:t>
      </w:r>
      <w:proofErr w:type="spellStart"/>
      <w:r>
        <w:rPr>
          <w:rFonts w:ascii="Traditional Arabic" w:eastAsia="Traditional Arabic" w:hAnsi="Traditional Arabic" w:cs="Traditional Arabic"/>
          <w:color w:val="1A1A1A"/>
          <w:sz w:val="22"/>
          <w:szCs w:val="22"/>
          <w:rtl/>
        </w:rPr>
        <w:t>Shaver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Eds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Handbook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(2nd </w:t>
      </w:r>
      <w:proofErr w:type="spellStart"/>
      <w:r>
        <w:rPr>
          <w:rFonts w:ascii="Traditional Arabic" w:eastAsia="Traditional Arabic" w:hAnsi="Traditional Arabic" w:cs="Traditional Arabic"/>
          <w:color w:val="1A1A1A"/>
          <w:sz w:val="22"/>
          <w:szCs w:val="22"/>
          <w:rtl/>
        </w:rPr>
        <w:t>ed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Guilford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Press</w:t>
      </w:r>
      <w:proofErr w:type="spellEnd"/>
      <w:r>
        <w:rPr>
          <w:rFonts w:ascii="Traditional Arabic" w:eastAsia="Traditional Arabic" w:hAnsi="Traditional Arabic" w:cs="Traditional Arabic"/>
          <w:color w:val="1A1A1A"/>
          <w:sz w:val="22"/>
          <w:szCs w:val="22"/>
          <w:rtl/>
        </w:rPr>
        <w:t>.</w:t>
      </w:r>
    </w:p>
    <w:p w14:paraId="4B19637A"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Brotto</w:t>
      </w:r>
      <w:proofErr w:type="spellEnd"/>
      <w:r>
        <w:rPr>
          <w:rFonts w:ascii="Traditional Arabic" w:eastAsia="Traditional Arabic" w:hAnsi="Traditional Arabic" w:cs="Traditional Arabic"/>
          <w:color w:val="1A1A1A"/>
          <w:sz w:val="22"/>
          <w:szCs w:val="22"/>
          <w:rtl/>
        </w:rPr>
        <w:t xml:space="preserve">, L. A., &amp; </w:t>
      </w:r>
      <w:proofErr w:type="spellStart"/>
      <w:r>
        <w:rPr>
          <w:rFonts w:ascii="Traditional Arabic" w:eastAsia="Traditional Arabic" w:hAnsi="Traditional Arabic" w:cs="Traditional Arabic"/>
          <w:color w:val="1A1A1A"/>
          <w:sz w:val="22"/>
          <w:szCs w:val="22"/>
          <w:rtl/>
        </w:rPr>
        <w:t>Smith</w:t>
      </w:r>
      <w:proofErr w:type="spellEnd"/>
      <w:r>
        <w:rPr>
          <w:rFonts w:ascii="Traditional Arabic" w:eastAsia="Traditional Arabic" w:hAnsi="Traditional Arabic" w:cs="Traditional Arabic"/>
          <w:color w:val="1A1A1A"/>
          <w:sz w:val="22"/>
          <w:szCs w:val="22"/>
          <w:rtl/>
        </w:rPr>
        <w:t xml:space="preserve">, K. B. (2014). </w:t>
      </w:r>
      <w:proofErr w:type="spellStart"/>
      <w:r>
        <w:rPr>
          <w:rFonts w:ascii="Traditional Arabic" w:eastAsia="Traditional Arabic" w:hAnsi="Traditional Arabic" w:cs="Traditional Arabic"/>
          <w:color w:val="1A1A1A"/>
          <w:sz w:val="22"/>
          <w:szCs w:val="22"/>
          <w:rtl/>
        </w:rPr>
        <w:t>Sexual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Desire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Pleasure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D. L. </w:t>
      </w:r>
      <w:proofErr w:type="spellStart"/>
      <w:r>
        <w:rPr>
          <w:rFonts w:ascii="Traditional Arabic" w:eastAsia="Traditional Arabic" w:hAnsi="Traditional Arabic" w:cs="Traditional Arabic"/>
          <w:color w:val="1A1A1A"/>
          <w:sz w:val="22"/>
          <w:szCs w:val="22"/>
          <w:rtl/>
        </w:rPr>
        <w:t>Tolman</w:t>
      </w:r>
      <w:proofErr w:type="spellEnd"/>
      <w:r>
        <w:rPr>
          <w:rFonts w:ascii="Traditional Arabic" w:eastAsia="Traditional Arabic" w:hAnsi="Traditional Arabic" w:cs="Traditional Arabic"/>
          <w:color w:val="1A1A1A"/>
          <w:sz w:val="22"/>
          <w:szCs w:val="22"/>
          <w:rtl/>
        </w:rPr>
        <w:t xml:space="preserve"> &amp; L. M. </w:t>
      </w:r>
      <w:proofErr w:type="spellStart"/>
      <w:r>
        <w:rPr>
          <w:rFonts w:ascii="Traditional Arabic" w:eastAsia="Traditional Arabic" w:hAnsi="Traditional Arabic" w:cs="Traditional Arabic"/>
          <w:color w:val="1A1A1A"/>
          <w:sz w:val="22"/>
          <w:szCs w:val="22"/>
          <w:rtl/>
        </w:rPr>
        <w:t>Diamond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Eds</w:t>
      </w:r>
      <w:proofErr w:type="spellEnd"/>
      <w:r>
        <w:rPr>
          <w:rFonts w:ascii="Traditional Arabic" w:eastAsia="Traditional Arabic" w:hAnsi="Traditional Arabic" w:cs="Traditional Arabic"/>
          <w:color w:val="1A1A1A"/>
          <w:sz w:val="22"/>
          <w:szCs w:val="22"/>
          <w:rtl/>
        </w:rPr>
        <w:t xml:space="preserve">.), APA </w:t>
      </w:r>
      <w:proofErr w:type="spellStart"/>
      <w:r>
        <w:rPr>
          <w:rFonts w:ascii="Traditional Arabic" w:eastAsia="Traditional Arabic" w:hAnsi="Traditional Arabic" w:cs="Traditional Arabic"/>
          <w:color w:val="1A1A1A"/>
          <w:sz w:val="22"/>
          <w:szCs w:val="22"/>
          <w:rtl/>
        </w:rPr>
        <w:t>Handbook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Sexuality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Psychology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Washington</w:t>
      </w:r>
      <w:proofErr w:type="spellEnd"/>
      <w:r>
        <w:rPr>
          <w:rFonts w:ascii="Traditional Arabic" w:eastAsia="Traditional Arabic" w:hAnsi="Traditional Arabic" w:cs="Traditional Arabic"/>
          <w:color w:val="1A1A1A"/>
          <w:sz w:val="22"/>
          <w:szCs w:val="22"/>
          <w:rtl/>
        </w:rPr>
        <w:t>, DC: APA.</w:t>
      </w:r>
    </w:p>
    <w:p w14:paraId="280A133E"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Dutton</w:t>
      </w:r>
      <w:proofErr w:type="spellEnd"/>
      <w:r>
        <w:rPr>
          <w:rFonts w:ascii="Traditional Arabic" w:eastAsia="Traditional Arabic" w:hAnsi="Traditional Arabic" w:cs="Traditional Arabic"/>
          <w:color w:val="1A1A1A"/>
          <w:sz w:val="22"/>
          <w:szCs w:val="22"/>
          <w:rtl/>
        </w:rPr>
        <w:t xml:space="preserve">, D. G., &amp; </w:t>
      </w:r>
      <w:proofErr w:type="spellStart"/>
      <w:r>
        <w:rPr>
          <w:rFonts w:ascii="Traditional Arabic" w:eastAsia="Traditional Arabic" w:hAnsi="Traditional Arabic" w:cs="Traditional Arabic"/>
          <w:color w:val="1A1A1A"/>
          <w:sz w:val="22"/>
          <w:szCs w:val="22"/>
          <w:rtl/>
        </w:rPr>
        <w:t>Painter</w:t>
      </w:r>
      <w:proofErr w:type="spellEnd"/>
      <w:r>
        <w:rPr>
          <w:rFonts w:ascii="Traditional Arabic" w:eastAsia="Traditional Arabic" w:hAnsi="Traditional Arabic" w:cs="Traditional Arabic"/>
          <w:color w:val="1A1A1A"/>
          <w:sz w:val="22"/>
          <w:szCs w:val="22"/>
          <w:rtl/>
        </w:rPr>
        <w:t xml:space="preserve">, S. L. (1981). </w:t>
      </w:r>
      <w:proofErr w:type="spellStart"/>
      <w:r>
        <w:rPr>
          <w:rFonts w:ascii="Traditional Arabic" w:eastAsia="Traditional Arabic" w:hAnsi="Traditional Arabic" w:cs="Traditional Arabic"/>
          <w:color w:val="1A1A1A"/>
          <w:sz w:val="22"/>
          <w:szCs w:val="22"/>
          <w:rtl/>
        </w:rPr>
        <w:t>Traumatic</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Bonding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Development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Emotional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Attachments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Battered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Women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Other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Relationships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Intermittent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Abuse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Victimology</w:t>
      </w:r>
      <w:proofErr w:type="spellEnd"/>
      <w:r>
        <w:rPr>
          <w:rFonts w:ascii="Traditional Arabic" w:eastAsia="Traditional Arabic" w:hAnsi="Traditional Arabic" w:cs="Traditional Arabic"/>
          <w:color w:val="1A1A1A"/>
          <w:sz w:val="22"/>
          <w:szCs w:val="22"/>
          <w:rtl/>
        </w:rPr>
        <w:t>, 6, 139–155.</w:t>
      </w:r>
    </w:p>
    <w:p w14:paraId="2590F5C9"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Fraiberg</w:t>
      </w:r>
      <w:proofErr w:type="spellEnd"/>
      <w:r>
        <w:rPr>
          <w:rFonts w:ascii="Traditional Arabic" w:eastAsia="Traditional Arabic" w:hAnsi="Traditional Arabic" w:cs="Traditional Arabic"/>
          <w:color w:val="1A1A1A"/>
          <w:sz w:val="22"/>
          <w:szCs w:val="22"/>
          <w:rtl/>
        </w:rPr>
        <w:t xml:space="preserve">, S., </w:t>
      </w:r>
      <w:proofErr w:type="spellStart"/>
      <w:r>
        <w:rPr>
          <w:rFonts w:ascii="Traditional Arabic" w:eastAsia="Traditional Arabic" w:hAnsi="Traditional Arabic" w:cs="Traditional Arabic"/>
          <w:color w:val="1A1A1A"/>
          <w:sz w:val="22"/>
          <w:szCs w:val="22"/>
          <w:rtl/>
        </w:rPr>
        <w:t>Adelson</w:t>
      </w:r>
      <w:proofErr w:type="spellEnd"/>
      <w:r>
        <w:rPr>
          <w:rFonts w:ascii="Traditional Arabic" w:eastAsia="Traditional Arabic" w:hAnsi="Traditional Arabic" w:cs="Traditional Arabic"/>
          <w:color w:val="1A1A1A"/>
          <w:sz w:val="22"/>
          <w:szCs w:val="22"/>
          <w:rtl/>
        </w:rPr>
        <w:t xml:space="preserve">, E., &amp; </w:t>
      </w:r>
      <w:proofErr w:type="spellStart"/>
      <w:r>
        <w:rPr>
          <w:rFonts w:ascii="Traditional Arabic" w:eastAsia="Traditional Arabic" w:hAnsi="Traditional Arabic" w:cs="Traditional Arabic"/>
          <w:color w:val="1A1A1A"/>
          <w:sz w:val="22"/>
          <w:szCs w:val="22"/>
          <w:rtl/>
        </w:rPr>
        <w:t>Shapiro</w:t>
      </w:r>
      <w:proofErr w:type="spellEnd"/>
      <w:r>
        <w:rPr>
          <w:rFonts w:ascii="Traditional Arabic" w:eastAsia="Traditional Arabic" w:hAnsi="Traditional Arabic" w:cs="Traditional Arabic"/>
          <w:color w:val="1A1A1A"/>
          <w:sz w:val="22"/>
          <w:szCs w:val="22"/>
          <w:rtl/>
        </w:rPr>
        <w:t xml:space="preserve">, V. (1975). </w:t>
      </w:r>
      <w:proofErr w:type="spellStart"/>
      <w:r>
        <w:rPr>
          <w:rFonts w:ascii="Traditional Arabic" w:eastAsia="Traditional Arabic" w:hAnsi="Traditional Arabic" w:cs="Traditional Arabic"/>
          <w:color w:val="1A1A1A"/>
          <w:sz w:val="22"/>
          <w:szCs w:val="22"/>
          <w:rtl/>
        </w:rPr>
        <w:t>Ghosts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Nursery</w:t>
      </w:r>
      <w:proofErr w:type="spellEnd"/>
      <w:r>
        <w:rPr>
          <w:rFonts w:ascii="Traditional Arabic" w:eastAsia="Traditional Arabic" w:hAnsi="Traditional Arabic" w:cs="Traditional Arabic"/>
          <w:color w:val="1A1A1A"/>
          <w:sz w:val="22"/>
          <w:szCs w:val="22"/>
          <w:rtl/>
        </w:rPr>
        <w:t xml:space="preserve">: A </w:t>
      </w:r>
      <w:proofErr w:type="spellStart"/>
      <w:r>
        <w:rPr>
          <w:rFonts w:ascii="Traditional Arabic" w:eastAsia="Traditional Arabic" w:hAnsi="Traditional Arabic" w:cs="Traditional Arabic"/>
          <w:color w:val="1A1A1A"/>
          <w:sz w:val="22"/>
          <w:szCs w:val="22"/>
          <w:rtl/>
        </w:rPr>
        <w:t>Psychoanalytic</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Approach</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Problems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Impaired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Infant-Mother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Relationships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Journal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American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Academy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Child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Psychiatry</w:t>
      </w:r>
      <w:proofErr w:type="spellEnd"/>
      <w:r>
        <w:rPr>
          <w:rFonts w:ascii="Traditional Arabic" w:eastAsia="Traditional Arabic" w:hAnsi="Traditional Arabic" w:cs="Traditional Arabic"/>
          <w:color w:val="1A1A1A"/>
          <w:sz w:val="22"/>
          <w:szCs w:val="22"/>
          <w:rtl/>
        </w:rPr>
        <w:t>, 14(3), 387–421.</w:t>
      </w:r>
    </w:p>
    <w:p w14:paraId="4531E5B4"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Fraley</w:t>
      </w:r>
      <w:proofErr w:type="spellEnd"/>
      <w:r>
        <w:rPr>
          <w:rFonts w:ascii="Traditional Arabic" w:eastAsia="Traditional Arabic" w:hAnsi="Traditional Arabic" w:cs="Traditional Arabic"/>
          <w:color w:val="1A1A1A"/>
          <w:sz w:val="22"/>
          <w:szCs w:val="22"/>
          <w:rtl/>
        </w:rPr>
        <w:t xml:space="preserve">, R. C. (2002).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Stability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from</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Infancy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Adulthood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Meta-Analysis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Dynamic</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Modeling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Developmental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Mechanisms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Personality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Social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Psychology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Review</w:t>
      </w:r>
      <w:proofErr w:type="spellEnd"/>
      <w:r>
        <w:rPr>
          <w:rFonts w:ascii="Traditional Arabic" w:eastAsia="Traditional Arabic" w:hAnsi="Traditional Arabic" w:cs="Traditional Arabic"/>
          <w:color w:val="1A1A1A"/>
          <w:sz w:val="22"/>
          <w:szCs w:val="22"/>
          <w:rtl/>
        </w:rPr>
        <w:t>, 6(2), 123–151.</w:t>
      </w:r>
    </w:p>
    <w:p w14:paraId="26460162"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Hazan</w:t>
      </w:r>
      <w:proofErr w:type="spellEnd"/>
      <w:r>
        <w:rPr>
          <w:rFonts w:ascii="Traditional Arabic" w:eastAsia="Traditional Arabic" w:hAnsi="Traditional Arabic" w:cs="Traditional Arabic"/>
          <w:color w:val="1A1A1A"/>
          <w:sz w:val="22"/>
          <w:szCs w:val="22"/>
          <w:rtl/>
        </w:rPr>
        <w:t xml:space="preserve">, C., &amp; </w:t>
      </w:r>
      <w:proofErr w:type="spellStart"/>
      <w:r>
        <w:rPr>
          <w:rFonts w:ascii="Traditional Arabic" w:eastAsia="Traditional Arabic" w:hAnsi="Traditional Arabic" w:cs="Traditional Arabic"/>
          <w:color w:val="1A1A1A"/>
          <w:sz w:val="22"/>
          <w:szCs w:val="22"/>
          <w:rtl/>
        </w:rPr>
        <w:t>Shaver</w:t>
      </w:r>
      <w:proofErr w:type="spellEnd"/>
      <w:r>
        <w:rPr>
          <w:rFonts w:ascii="Traditional Arabic" w:eastAsia="Traditional Arabic" w:hAnsi="Traditional Arabic" w:cs="Traditional Arabic"/>
          <w:color w:val="1A1A1A"/>
          <w:sz w:val="22"/>
          <w:szCs w:val="22"/>
          <w:rtl/>
        </w:rPr>
        <w:t xml:space="preserve">, P. (1987). </w:t>
      </w:r>
      <w:proofErr w:type="spellStart"/>
      <w:r>
        <w:rPr>
          <w:rFonts w:ascii="Traditional Arabic" w:eastAsia="Traditional Arabic" w:hAnsi="Traditional Arabic" w:cs="Traditional Arabic"/>
          <w:color w:val="1A1A1A"/>
          <w:sz w:val="22"/>
          <w:szCs w:val="22"/>
          <w:rtl/>
        </w:rPr>
        <w:t>Romantic</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Love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Conceptualized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Process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Journal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Personality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Social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Psychology</w:t>
      </w:r>
      <w:proofErr w:type="spellEnd"/>
      <w:r>
        <w:rPr>
          <w:rFonts w:ascii="Traditional Arabic" w:eastAsia="Traditional Arabic" w:hAnsi="Traditional Arabic" w:cs="Traditional Arabic"/>
          <w:color w:val="1A1A1A"/>
          <w:sz w:val="22"/>
          <w:szCs w:val="22"/>
          <w:rtl/>
        </w:rPr>
        <w:t>, 52(3), 511–524.</w:t>
      </w:r>
    </w:p>
    <w:p w14:paraId="66AFE205"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Kernberg</w:t>
      </w:r>
      <w:proofErr w:type="spellEnd"/>
      <w:r>
        <w:rPr>
          <w:rFonts w:ascii="Traditional Arabic" w:eastAsia="Traditional Arabic" w:hAnsi="Traditional Arabic" w:cs="Traditional Arabic"/>
          <w:color w:val="1A1A1A"/>
          <w:sz w:val="22"/>
          <w:szCs w:val="22"/>
          <w:rtl/>
        </w:rPr>
        <w:t xml:space="preserve">, O. F. (1975). </w:t>
      </w:r>
      <w:proofErr w:type="spellStart"/>
      <w:r>
        <w:rPr>
          <w:rFonts w:ascii="Traditional Arabic" w:eastAsia="Traditional Arabic" w:hAnsi="Traditional Arabic" w:cs="Traditional Arabic"/>
          <w:color w:val="1A1A1A"/>
          <w:sz w:val="22"/>
          <w:szCs w:val="22"/>
          <w:rtl/>
        </w:rPr>
        <w:t>Borderline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Conditions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Pathological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Narcissism</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Jason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Aronson</w:t>
      </w:r>
      <w:proofErr w:type="spellEnd"/>
      <w:r>
        <w:rPr>
          <w:rFonts w:ascii="Traditional Arabic" w:eastAsia="Traditional Arabic" w:hAnsi="Traditional Arabic" w:cs="Traditional Arabic"/>
          <w:color w:val="1A1A1A"/>
          <w:sz w:val="22"/>
          <w:szCs w:val="22"/>
          <w:rtl/>
        </w:rPr>
        <w:t>.</w:t>
      </w:r>
    </w:p>
    <w:p w14:paraId="047EB65B"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Kohut</w:t>
      </w:r>
      <w:proofErr w:type="spellEnd"/>
      <w:r>
        <w:rPr>
          <w:rFonts w:ascii="Traditional Arabic" w:eastAsia="Traditional Arabic" w:hAnsi="Traditional Arabic" w:cs="Traditional Arabic"/>
          <w:color w:val="1A1A1A"/>
          <w:sz w:val="22"/>
          <w:szCs w:val="22"/>
          <w:rtl/>
        </w:rPr>
        <w:t xml:space="preserve">, H. (1971).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Analysis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Self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International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Universities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Press</w:t>
      </w:r>
      <w:proofErr w:type="spellEnd"/>
      <w:r>
        <w:rPr>
          <w:rFonts w:ascii="Traditional Arabic" w:eastAsia="Traditional Arabic" w:hAnsi="Traditional Arabic" w:cs="Traditional Arabic"/>
          <w:color w:val="1A1A1A"/>
          <w:sz w:val="22"/>
          <w:szCs w:val="22"/>
          <w:rtl/>
        </w:rPr>
        <w:t>.</w:t>
      </w:r>
    </w:p>
    <w:p w14:paraId="0C26810D"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Main</w:t>
      </w:r>
      <w:proofErr w:type="spellEnd"/>
      <w:r>
        <w:rPr>
          <w:rFonts w:ascii="Traditional Arabic" w:eastAsia="Traditional Arabic" w:hAnsi="Traditional Arabic" w:cs="Traditional Arabic"/>
          <w:color w:val="1A1A1A"/>
          <w:sz w:val="22"/>
          <w:szCs w:val="22"/>
          <w:rtl/>
        </w:rPr>
        <w:t xml:space="preserve">, M., </w:t>
      </w:r>
      <w:proofErr w:type="spellStart"/>
      <w:r>
        <w:rPr>
          <w:rFonts w:ascii="Traditional Arabic" w:eastAsia="Traditional Arabic" w:hAnsi="Traditional Arabic" w:cs="Traditional Arabic"/>
          <w:color w:val="1A1A1A"/>
          <w:sz w:val="22"/>
          <w:szCs w:val="22"/>
          <w:rtl/>
        </w:rPr>
        <w:t>Kaplan</w:t>
      </w:r>
      <w:proofErr w:type="spellEnd"/>
      <w:r>
        <w:rPr>
          <w:rFonts w:ascii="Traditional Arabic" w:eastAsia="Traditional Arabic" w:hAnsi="Traditional Arabic" w:cs="Traditional Arabic"/>
          <w:color w:val="1A1A1A"/>
          <w:sz w:val="22"/>
          <w:szCs w:val="22"/>
          <w:rtl/>
        </w:rPr>
        <w:t xml:space="preserve">, N., &amp; </w:t>
      </w:r>
      <w:proofErr w:type="spellStart"/>
      <w:r>
        <w:rPr>
          <w:rFonts w:ascii="Traditional Arabic" w:eastAsia="Traditional Arabic" w:hAnsi="Traditional Arabic" w:cs="Traditional Arabic"/>
          <w:color w:val="1A1A1A"/>
          <w:sz w:val="22"/>
          <w:szCs w:val="22"/>
          <w:rtl/>
        </w:rPr>
        <w:t>Cassidy</w:t>
      </w:r>
      <w:proofErr w:type="spellEnd"/>
      <w:r>
        <w:rPr>
          <w:rFonts w:ascii="Traditional Arabic" w:eastAsia="Traditional Arabic" w:hAnsi="Traditional Arabic" w:cs="Traditional Arabic"/>
          <w:color w:val="1A1A1A"/>
          <w:sz w:val="22"/>
          <w:szCs w:val="22"/>
          <w:rtl/>
        </w:rPr>
        <w:t xml:space="preserve">, J. (1985). </w:t>
      </w:r>
      <w:proofErr w:type="spellStart"/>
      <w:r>
        <w:rPr>
          <w:rFonts w:ascii="Traditional Arabic" w:eastAsia="Traditional Arabic" w:hAnsi="Traditional Arabic" w:cs="Traditional Arabic"/>
          <w:color w:val="1A1A1A"/>
          <w:sz w:val="22"/>
          <w:szCs w:val="22"/>
          <w:rtl/>
        </w:rPr>
        <w:t>Security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Infancy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Childhood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Adulthood</w:t>
      </w:r>
      <w:proofErr w:type="spellEnd"/>
      <w:r>
        <w:rPr>
          <w:rFonts w:ascii="Traditional Arabic" w:eastAsia="Traditional Arabic" w:hAnsi="Traditional Arabic" w:cs="Traditional Arabic"/>
          <w:color w:val="1A1A1A"/>
          <w:sz w:val="22"/>
          <w:szCs w:val="22"/>
          <w:rtl/>
        </w:rPr>
        <w:t xml:space="preserve">: A </w:t>
      </w:r>
      <w:proofErr w:type="spellStart"/>
      <w:r>
        <w:rPr>
          <w:rFonts w:ascii="Traditional Arabic" w:eastAsia="Traditional Arabic" w:hAnsi="Traditional Arabic" w:cs="Traditional Arabic"/>
          <w:color w:val="1A1A1A"/>
          <w:sz w:val="22"/>
          <w:szCs w:val="22"/>
          <w:rtl/>
        </w:rPr>
        <w:t>Move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Level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Representation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Monographs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Society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for</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Research</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Child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Development</w:t>
      </w:r>
      <w:proofErr w:type="spellEnd"/>
      <w:r>
        <w:rPr>
          <w:rFonts w:ascii="Traditional Arabic" w:eastAsia="Traditional Arabic" w:hAnsi="Traditional Arabic" w:cs="Traditional Arabic"/>
          <w:color w:val="1A1A1A"/>
          <w:sz w:val="22"/>
          <w:szCs w:val="22"/>
          <w:rtl/>
        </w:rPr>
        <w:t>, 50(1–2), 66–104.</w:t>
      </w:r>
    </w:p>
    <w:p w14:paraId="3C3187D8"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McEwen</w:t>
      </w:r>
      <w:proofErr w:type="spellEnd"/>
      <w:r>
        <w:rPr>
          <w:rFonts w:ascii="Traditional Arabic" w:eastAsia="Traditional Arabic" w:hAnsi="Traditional Arabic" w:cs="Traditional Arabic"/>
          <w:color w:val="1A1A1A"/>
          <w:sz w:val="22"/>
          <w:szCs w:val="22"/>
          <w:rtl/>
        </w:rPr>
        <w:t xml:space="preserve">, B. S. (1998). </w:t>
      </w:r>
      <w:proofErr w:type="spellStart"/>
      <w:r>
        <w:rPr>
          <w:rFonts w:ascii="Traditional Arabic" w:eastAsia="Traditional Arabic" w:hAnsi="Traditional Arabic" w:cs="Traditional Arabic"/>
          <w:color w:val="1A1A1A"/>
          <w:sz w:val="22"/>
          <w:szCs w:val="22"/>
          <w:rtl/>
        </w:rPr>
        <w:t>Protective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Damaging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Effects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Stress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Mediators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England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Journal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Medicine</w:t>
      </w:r>
      <w:proofErr w:type="spellEnd"/>
      <w:r>
        <w:rPr>
          <w:rFonts w:ascii="Traditional Arabic" w:eastAsia="Traditional Arabic" w:hAnsi="Traditional Arabic" w:cs="Traditional Arabic"/>
          <w:color w:val="1A1A1A"/>
          <w:sz w:val="22"/>
          <w:szCs w:val="22"/>
          <w:rtl/>
        </w:rPr>
        <w:t>, 338(3), 171–179.</w:t>
      </w:r>
    </w:p>
    <w:p w14:paraId="5335452E"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Mikulincer</w:t>
      </w:r>
      <w:proofErr w:type="spellEnd"/>
      <w:r>
        <w:rPr>
          <w:rFonts w:ascii="Traditional Arabic" w:eastAsia="Traditional Arabic" w:hAnsi="Traditional Arabic" w:cs="Traditional Arabic"/>
          <w:color w:val="1A1A1A"/>
          <w:sz w:val="22"/>
          <w:szCs w:val="22"/>
          <w:rtl/>
        </w:rPr>
        <w:t xml:space="preserve">, M., &amp; </w:t>
      </w:r>
      <w:proofErr w:type="spellStart"/>
      <w:r>
        <w:rPr>
          <w:rFonts w:ascii="Traditional Arabic" w:eastAsia="Traditional Arabic" w:hAnsi="Traditional Arabic" w:cs="Traditional Arabic"/>
          <w:color w:val="1A1A1A"/>
          <w:sz w:val="22"/>
          <w:szCs w:val="22"/>
          <w:rtl/>
        </w:rPr>
        <w:t>Shaver</w:t>
      </w:r>
      <w:proofErr w:type="spellEnd"/>
      <w:r>
        <w:rPr>
          <w:rFonts w:ascii="Traditional Arabic" w:eastAsia="Traditional Arabic" w:hAnsi="Traditional Arabic" w:cs="Traditional Arabic"/>
          <w:color w:val="1A1A1A"/>
          <w:sz w:val="22"/>
          <w:szCs w:val="22"/>
          <w:rtl/>
        </w:rPr>
        <w:t xml:space="preserve">, P. R. (2016).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Adulthood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Structure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Dynamics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Change</w:t>
      </w:r>
      <w:proofErr w:type="spellEnd"/>
      <w:r>
        <w:rPr>
          <w:rFonts w:ascii="Traditional Arabic" w:eastAsia="Traditional Arabic" w:hAnsi="Traditional Arabic" w:cs="Traditional Arabic"/>
          <w:color w:val="1A1A1A"/>
          <w:sz w:val="22"/>
          <w:szCs w:val="22"/>
          <w:rtl/>
        </w:rPr>
        <w:t xml:space="preserve"> (2nd </w:t>
      </w:r>
      <w:proofErr w:type="spellStart"/>
      <w:r>
        <w:rPr>
          <w:rFonts w:ascii="Traditional Arabic" w:eastAsia="Traditional Arabic" w:hAnsi="Traditional Arabic" w:cs="Traditional Arabic"/>
          <w:color w:val="1A1A1A"/>
          <w:sz w:val="22"/>
          <w:szCs w:val="22"/>
          <w:rtl/>
        </w:rPr>
        <w:t>ed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Guilford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Press</w:t>
      </w:r>
      <w:proofErr w:type="spellEnd"/>
      <w:r>
        <w:rPr>
          <w:rFonts w:ascii="Traditional Arabic" w:eastAsia="Traditional Arabic" w:hAnsi="Traditional Arabic" w:cs="Traditional Arabic"/>
          <w:color w:val="1A1A1A"/>
          <w:sz w:val="22"/>
          <w:szCs w:val="22"/>
          <w:rtl/>
        </w:rPr>
        <w:t>.</w:t>
      </w:r>
    </w:p>
    <w:p w14:paraId="3DABDC23"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Minuchin</w:t>
      </w:r>
      <w:proofErr w:type="spellEnd"/>
      <w:r>
        <w:rPr>
          <w:rFonts w:ascii="Traditional Arabic" w:eastAsia="Traditional Arabic" w:hAnsi="Traditional Arabic" w:cs="Traditional Arabic"/>
          <w:color w:val="1A1A1A"/>
          <w:sz w:val="22"/>
          <w:szCs w:val="22"/>
          <w:rtl/>
        </w:rPr>
        <w:t xml:space="preserve">, S. (1974). </w:t>
      </w:r>
      <w:proofErr w:type="spellStart"/>
      <w:r>
        <w:rPr>
          <w:rFonts w:ascii="Traditional Arabic" w:eastAsia="Traditional Arabic" w:hAnsi="Traditional Arabic" w:cs="Traditional Arabic"/>
          <w:color w:val="1A1A1A"/>
          <w:sz w:val="22"/>
          <w:szCs w:val="22"/>
          <w:rtl/>
        </w:rPr>
        <w:t>Families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Family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Therapy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Cambridge</w:t>
      </w:r>
      <w:proofErr w:type="spellEnd"/>
      <w:r>
        <w:rPr>
          <w:rFonts w:ascii="Traditional Arabic" w:eastAsia="Traditional Arabic" w:hAnsi="Traditional Arabic" w:cs="Traditional Arabic"/>
          <w:color w:val="1A1A1A"/>
          <w:sz w:val="22"/>
          <w:szCs w:val="22"/>
          <w:rtl/>
        </w:rPr>
        <w:t xml:space="preserve">, MA: </w:t>
      </w:r>
      <w:proofErr w:type="spellStart"/>
      <w:r>
        <w:rPr>
          <w:rFonts w:ascii="Traditional Arabic" w:eastAsia="Traditional Arabic" w:hAnsi="Traditional Arabic" w:cs="Traditional Arabic"/>
          <w:color w:val="1A1A1A"/>
          <w:sz w:val="22"/>
          <w:szCs w:val="22"/>
          <w:rtl/>
        </w:rPr>
        <w:t>Harvard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University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Press</w:t>
      </w:r>
      <w:proofErr w:type="spellEnd"/>
      <w:r>
        <w:rPr>
          <w:rFonts w:ascii="Traditional Arabic" w:eastAsia="Traditional Arabic" w:hAnsi="Traditional Arabic" w:cs="Traditional Arabic"/>
          <w:color w:val="1A1A1A"/>
          <w:sz w:val="22"/>
          <w:szCs w:val="22"/>
          <w:rtl/>
        </w:rPr>
        <w:t>.</w:t>
      </w:r>
    </w:p>
    <w:p w14:paraId="0529102C"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Saunders</w:t>
      </w:r>
      <w:proofErr w:type="spellEnd"/>
      <w:r>
        <w:rPr>
          <w:rFonts w:ascii="Traditional Arabic" w:eastAsia="Traditional Arabic" w:hAnsi="Traditional Arabic" w:cs="Traditional Arabic"/>
          <w:color w:val="1A1A1A"/>
          <w:sz w:val="22"/>
          <w:szCs w:val="22"/>
          <w:rtl/>
        </w:rPr>
        <w:t xml:space="preserve">, R., </w:t>
      </w:r>
      <w:proofErr w:type="spellStart"/>
      <w:r>
        <w:rPr>
          <w:rFonts w:ascii="Traditional Arabic" w:eastAsia="Traditional Arabic" w:hAnsi="Traditional Arabic" w:cs="Traditional Arabic"/>
          <w:color w:val="1A1A1A"/>
          <w:sz w:val="22"/>
          <w:szCs w:val="22"/>
          <w:rtl/>
        </w:rPr>
        <w:t>Jacobvitz</w:t>
      </w:r>
      <w:proofErr w:type="spellEnd"/>
      <w:r>
        <w:rPr>
          <w:rFonts w:ascii="Traditional Arabic" w:eastAsia="Traditional Arabic" w:hAnsi="Traditional Arabic" w:cs="Traditional Arabic"/>
          <w:color w:val="1A1A1A"/>
          <w:sz w:val="22"/>
          <w:szCs w:val="22"/>
          <w:rtl/>
        </w:rPr>
        <w:t xml:space="preserve">, D., </w:t>
      </w:r>
      <w:proofErr w:type="spellStart"/>
      <w:r>
        <w:rPr>
          <w:rFonts w:ascii="Traditional Arabic" w:eastAsia="Traditional Arabic" w:hAnsi="Traditional Arabic" w:cs="Traditional Arabic"/>
          <w:color w:val="1A1A1A"/>
          <w:sz w:val="22"/>
          <w:szCs w:val="22"/>
          <w:rtl/>
        </w:rPr>
        <w:t>Zaccagnino</w:t>
      </w:r>
      <w:proofErr w:type="spellEnd"/>
      <w:r>
        <w:rPr>
          <w:rFonts w:ascii="Traditional Arabic" w:eastAsia="Traditional Arabic" w:hAnsi="Traditional Arabic" w:cs="Traditional Arabic"/>
          <w:color w:val="1A1A1A"/>
          <w:sz w:val="22"/>
          <w:szCs w:val="22"/>
          <w:rtl/>
        </w:rPr>
        <w:t xml:space="preserve">, M., </w:t>
      </w:r>
      <w:proofErr w:type="spellStart"/>
      <w:r>
        <w:rPr>
          <w:rFonts w:ascii="Traditional Arabic" w:eastAsia="Traditional Arabic" w:hAnsi="Traditional Arabic" w:cs="Traditional Arabic"/>
          <w:color w:val="1A1A1A"/>
          <w:sz w:val="22"/>
          <w:szCs w:val="22"/>
          <w:rtl/>
        </w:rPr>
        <w:t>Beverung</w:t>
      </w:r>
      <w:proofErr w:type="spellEnd"/>
      <w:r>
        <w:rPr>
          <w:rFonts w:ascii="Traditional Arabic" w:eastAsia="Traditional Arabic" w:hAnsi="Traditional Arabic" w:cs="Traditional Arabic"/>
          <w:color w:val="1A1A1A"/>
          <w:sz w:val="22"/>
          <w:szCs w:val="22"/>
          <w:rtl/>
        </w:rPr>
        <w:t xml:space="preserve">, L. M., &amp; </w:t>
      </w:r>
      <w:proofErr w:type="spellStart"/>
      <w:r>
        <w:rPr>
          <w:rFonts w:ascii="Traditional Arabic" w:eastAsia="Traditional Arabic" w:hAnsi="Traditional Arabic" w:cs="Traditional Arabic"/>
          <w:color w:val="1A1A1A"/>
          <w:sz w:val="22"/>
          <w:szCs w:val="22"/>
          <w:rtl/>
        </w:rPr>
        <w:t>Hazen</w:t>
      </w:r>
      <w:proofErr w:type="spellEnd"/>
      <w:r>
        <w:rPr>
          <w:rFonts w:ascii="Traditional Arabic" w:eastAsia="Traditional Arabic" w:hAnsi="Traditional Arabic" w:cs="Traditional Arabic"/>
          <w:color w:val="1A1A1A"/>
          <w:sz w:val="22"/>
          <w:szCs w:val="22"/>
          <w:rtl/>
        </w:rPr>
        <w:t xml:space="preserve">, N. (2011). </w:t>
      </w:r>
      <w:proofErr w:type="spellStart"/>
      <w:r>
        <w:rPr>
          <w:rFonts w:ascii="Traditional Arabic" w:eastAsia="Traditional Arabic" w:hAnsi="Traditional Arabic" w:cs="Traditional Arabic"/>
          <w:color w:val="1A1A1A"/>
          <w:sz w:val="22"/>
          <w:szCs w:val="22"/>
          <w:rtl/>
        </w:rPr>
        <w:t>Pathways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Earned-Security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Role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Alternative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Support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Figures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&amp; </w:t>
      </w:r>
      <w:proofErr w:type="spellStart"/>
      <w:r>
        <w:rPr>
          <w:rFonts w:ascii="Traditional Arabic" w:eastAsia="Traditional Arabic" w:hAnsi="Traditional Arabic" w:cs="Traditional Arabic"/>
          <w:color w:val="1A1A1A"/>
          <w:sz w:val="22"/>
          <w:szCs w:val="22"/>
          <w:rtl/>
        </w:rPr>
        <w:t>Human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Development</w:t>
      </w:r>
      <w:proofErr w:type="spellEnd"/>
      <w:r>
        <w:rPr>
          <w:rFonts w:ascii="Traditional Arabic" w:eastAsia="Traditional Arabic" w:hAnsi="Traditional Arabic" w:cs="Traditional Arabic"/>
          <w:color w:val="1A1A1A"/>
          <w:sz w:val="22"/>
          <w:szCs w:val="22"/>
          <w:rtl/>
        </w:rPr>
        <w:t>, 13(4), 403–420.</w:t>
      </w:r>
    </w:p>
    <w:p w14:paraId="135E1937"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Siegel</w:t>
      </w:r>
      <w:proofErr w:type="spellEnd"/>
      <w:r>
        <w:rPr>
          <w:rFonts w:ascii="Traditional Arabic" w:eastAsia="Traditional Arabic" w:hAnsi="Traditional Arabic" w:cs="Traditional Arabic"/>
          <w:color w:val="1A1A1A"/>
          <w:sz w:val="22"/>
          <w:szCs w:val="22"/>
          <w:rtl/>
        </w:rPr>
        <w:t xml:space="preserve">, D. J. (2012).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Developing</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Mind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How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Relationships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Brain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Interact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Shape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Who</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We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Are</w:t>
      </w:r>
      <w:proofErr w:type="spellEnd"/>
      <w:r>
        <w:rPr>
          <w:rFonts w:ascii="Traditional Arabic" w:eastAsia="Traditional Arabic" w:hAnsi="Traditional Arabic" w:cs="Traditional Arabic"/>
          <w:color w:val="1A1A1A"/>
          <w:sz w:val="22"/>
          <w:szCs w:val="22"/>
          <w:rtl/>
        </w:rPr>
        <w:t xml:space="preserve"> (2nd </w:t>
      </w:r>
      <w:proofErr w:type="spellStart"/>
      <w:r>
        <w:rPr>
          <w:rFonts w:ascii="Traditional Arabic" w:eastAsia="Traditional Arabic" w:hAnsi="Traditional Arabic" w:cs="Traditional Arabic"/>
          <w:color w:val="1A1A1A"/>
          <w:sz w:val="22"/>
          <w:szCs w:val="22"/>
          <w:rtl/>
        </w:rPr>
        <w:t>ed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New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York</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Guilford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Press</w:t>
      </w:r>
      <w:proofErr w:type="spellEnd"/>
      <w:r>
        <w:rPr>
          <w:rFonts w:ascii="Traditional Arabic" w:eastAsia="Traditional Arabic" w:hAnsi="Traditional Arabic" w:cs="Traditional Arabic"/>
          <w:color w:val="1A1A1A"/>
          <w:sz w:val="22"/>
          <w:szCs w:val="22"/>
          <w:rtl/>
        </w:rPr>
        <w:t>.</w:t>
      </w:r>
    </w:p>
    <w:p w14:paraId="1BFA136C" w14:textId="77777777" w:rsidR="00BF71BF" w:rsidRDefault="00FE2050">
      <w:pPr>
        <w:spacing w:after="120" w:line="300" w:lineRule="auto"/>
        <w:jc w:val="right"/>
      </w:pPr>
      <w:proofErr w:type="spellStart"/>
      <w:r>
        <w:rPr>
          <w:rFonts w:ascii="Traditional Arabic" w:eastAsia="Traditional Arabic" w:hAnsi="Traditional Arabic" w:cs="Traditional Arabic"/>
          <w:color w:val="1A1A1A"/>
          <w:sz w:val="22"/>
          <w:szCs w:val="22"/>
          <w:rtl/>
        </w:rPr>
        <w:t>van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IJzendoorn</w:t>
      </w:r>
      <w:proofErr w:type="spellEnd"/>
      <w:r>
        <w:rPr>
          <w:rFonts w:ascii="Traditional Arabic" w:eastAsia="Traditional Arabic" w:hAnsi="Traditional Arabic" w:cs="Traditional Arabic"/>
          <w:color w:val="1A1A1A"/>
          <w:sz w:val="22"/>
          <w:szCs w:val="22"/>
          <w:rtl/>
        </w:rPr>
        <w:t xml:space="preserve">, M. H. (1995). </w:t>
      </w:r>
      <w:proofErr w:type="spellStart"/>
      <w:r>
        <w:rPr>
          <w:rFonts w:ascii="Traditional Arabic" w:eastAsia="Traditional Arabic" w:hAnsi="Traditional Arabic" w:cs="Traditional Arabic"/>
          <w:color w:val="1A1A1A"/>
          <w:sz w:val="22"/>
          <w:szCs w:val="22"/>
          <w:rtl/>
        </w:rPr>
        <w:t>Adult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Representations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Parental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Responsiveness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and</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Infant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A </w:t>
      </w:r>
      <w:proofErr w:type="spellStart"/>
      <w:r>
        <w:rPr>
          <w:rFonts w:ascii="Traditional Arabic" w:eastAsia="Traditional Arabic" w:hAnsi="Traditional Arabic" w:cs="Traditional Arabic"/>
          <w:color w:val="1A1A1A"/>
          <w:sz w:val="22"/>
          <w:szCs w:val="22"/>
          <w:rtl/>
        </w:rPr>
        <w:t>Meta-Analysis</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on</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Predictive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Validity</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of</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the</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Adult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Attachment</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Interview</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Psychological</w:t>
      </w:r>
      <w:proofErr w:type="spellEnd"/>
      <w:r>
        <w:rPr>
          <w:rFonts w:ascii="Traditional Arabic" w:eastAsia="Traditional Arabic" w:hAnsi="Traditional Arabic" w:cs="Traditional Arabic"/>
          <w:color w:val="1A1A1A"/>
          <w:sz w:val="22"/>
          <w:szCs w:val="22"/>
          <w:rtl/>
        </w:rPr>
        <w:t xml:space="preserve"> </w:t>
      </w:r>
      <w:proofErr w:type="spellStart"/>
      <w:r>
        <w:rPr>
          <w:rFonts w:ascii="Traditional Arabic" w:eastAsia="Traditional Arabic" w:hAnsi="Traditional Arabic" w:cs="Traditional Arabic"/>
          <w:color w:val="1A1A1A"/>
          <w:sz w:val="22"/>
          <w:szCs w:val="22"/>
          <w:rtl/>
        </w:rPr>
        <w:t>Bulletin</w:t>
      </w:r>
      <w:proofErr w:type="spellEnd"/>
      <w:r>
        <w:rPr>
          <w:rFonts w:ascii="Traditional Arabic" w:eastAsia="Traditional Arabic" w:hAnsi="Traditional Arabic" w:cs="Traditional Arabic"/>
          <w:color w:val="1A1A1A"/>
          <w:sz w:val="22"/>
          <w:szCs w:val="22"/>
          <w:rtl/>
        </w:rPr>
        <w:t>, 117(3), 387–403.</w:t>
      </w:r>
    </w:p>
    <w:sectPr w:rsidR="00BF71B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3419E"/>
    <w:multiLevelType w:val="hybridMultilevel"/>
    <w:tmpl w:val="FFFFFFFF"/>
    <w:lvl w:ilvl="0" w:tplc="30C43FD0">
      <w:start w:val="1"/>
      <w:numFmt w:val="bullet"/>
      <w:lvlText w:val="●"/>
      <w:lvlJc w:val="right"/>
      <w:pPr>
        <w:ind w:left="720" w:hanging="260"/>
      </w:pPr>
    </w:lvl>
    <w:lvl w:ilvl="1" w:tplc="9E522868">
      <w:start w:val="1"/>
      <w:numFmt w:val="bullet"/>
      <w:lvlText w:val="○"/>
      <w:lvlJc w:val="right"/>
      <w:pPr>
        <w:ind w:left="1080" w:hanging="260"/>
      </w:pPr>
    </w:lvl>
    <w:lvl w:ilvl="2" w:tplc="77E28348">
      <w:numFmt w:val="decimal"/>
      <w:lvlText w:val=""/>
      <w:lvlJc w:val="left"/>
    </w:lvl>
    <w:lvl w:ilvl="3" w:tplc="CB680DAC">
      <w:numFmt w:val="decimal"/>
      <w:lvlText w:val=""/>
      <w:lvlJc w:val="left"/>
    </w:lvl>
    <w:lvl w:ilvl="4" w:tplc="045EE300">
      <w:numFmt w:val="decimal"/>
      <w:lvlText w:val=""/>
      <w:lvlJc w:val="left"/>
    </w:lvl>
    <w:lvl w:ilvl="5" w:tplc="FB4A0BF6">
      <w:numFmt w:val="decimal"/>
      <w:lvlText w:val=""/>
      <w:lvlJc w:val="left"/>
    </w:lvl>
    <w:lvl w:ilvl="6" w:tplc="3EC467F0">
      <w:numFmt w:val="decimal"/>
      <w:lvlText w:val=""/>
      <w:lvlJc w:val="left"/>
    </w:lvl>
    <w:lvl w:ilvl="7" w:tplc="D17AB17C">
      <w:numFmt w:val="decimal"/>
      <w:lvlText w:val=""/>
      <w:lvlJc w:val="left"/>
    </w:lvl>
    <w:lvl w:ilvl="8" w:tplc="51C212DA">
      <w:numFmt w:val="decimal"/>
      <w:lvlText w:val=""/>
      <w:lvlJc w:val="left"/>
    </w:lvl>
  </w:abstractNum>
  <w:abstractNum w:abstractNumId="1" w15:restartNumberingAfterBreak="0">
    <w:nsid w:val="50811A1A"/>
    <w:multiLevelType w:val="hybridMultilevel"/>
    <w:tmpl w:val="FFFFFFFF"/>
    <w:lvl w:ilvl="0" w:tplc="400C84F6">
      <w:start w:val="1"/>
      <w:numFmt w:val="bullet"/>
      <w:lvlText w:val="●"/>
      <w:lvlJc w:val="left"/>
      <w:pPr>
        <w:ind w:left="720" w:hanging="360"/>
      </w:pPr>
    </w:lvl>
    <w:lvl w:ilvl="1" w:tplc="5F084014">
      <w:start w:val="1"/>
      <w:numFmt w:val="bullet"/>
      <w:lvlText w:val="○"/>
      <w:lvlJc w:val="left"/>
      <w:pPr>
        <w:ind w:left="1440" w:hanging="360"/>
      </w:pPr>
    </w:lvl>
    <w:lvl w:ilvl="2" w:tplc="C3506DCC">
      <w:start w:val="1"/>
      <w:numFmt w:val="bullet"/>
      <w:lvlText w:val="■"/>
      <w:lvlJc w:val="left"/>
      <w:pPr>
        <w:ind w:left="2160" w:hanging="360"/>
      </w:pPr>
    </w:lvl>
    <w:lvl w:ilvl="3" w:tplc="B6D6E7BE">
      <w:start w:val="1"/>
      <w:numFmt w:val="bullet"/>
      <w:lvlText w:val="●"/>
      <w:lvlJc w:val="left"/>
      <w:pPr>
        <w:ind w:left="2880" w:hanging="360"/>
      </w:pPr>
    </w:lvl>
    <w:lvl w:ilvl="4" w:tplc="0FA8E6FC">
      <w:start w:val="1"/>
      <w:numFmt w:val="bullet"/>
      <w:lvlText w:val="○"/>
      <w:lvlJc w:val="left"/>
      <w:pPr>
        <w:ind w:left="3600" w:hanging="360"/>
      </w:pPr>
    </w:lvl>
    <w:lvl w:ilvl="5" w:tplc="1660B7FA">
      <w:start w:val="1"/>
      <w:numFmt w:val="bullet"/>
      <w:lvlText w:val="■"/>
      <w:lvlJc w:val="left"/>
      <w:pPr>
        <w:ind w:left="4320" w:hanging="360"/>
      </w:pPr>
    </w:lvl>
    <w:lvl w:ilvl="6" w:tplc="8AA6AE5E">
      <w:start w:val="1"/>
      <w:numFmt w:val="bullet"/>
      <w:lvlText w:val="●"/>
      <w:lvlJc w:val="left"/>
      <w:pPr>
        <w:ind w:left="5040" w:hanging="360"/>
      </w:pPr>
    </w:lvl>
    <w:lvl w:ilvl="7" w:tplc="C9B26A5C">
      <w:start w:val="1"/>
      <w:numFmt w:val="bullet"/>
      <w:lvlText w:val="●"/>
      <w:lvlJc w:val="left"/>
      <w:pPr>
        <w:ind w:left="5760" w:hanging="360"/>
      </w:pPr>
    </w:lvl>
    <w:lvl w:ilvl="8" w:tplc="AD7861E2">
      <w:start w:val="1"/>
      <w:numFmt w:val="bullet"/>
      <w:lvlText w:val="●"/>
      <w:lvlJc w:val="left"/>
      <w:pPr>
        <w:ind w:left="6480" w:hanging="360"/>
      </w:pPr>
    </w:lvl>
  </w:abstractNum>
  <w:num w:numId="1" w16cid:durableId="2023897139">
    <w:abstractNumId w:val="1"/>
    <w:lvlOverride w:ilvl="0">
      <w:startOverride w:val="1"/>
    </w:lvlOverride>
  </w:num>
  <w:num w:numId="2" w16cid:durableId="3865324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1BF"/>
    <w:rsid w:val="000D11C9"/>
    <w:rsid w:val="00262343"/>
    <w:rsid w:val="003B6697"/>
    <w:rsid w:val="004452B2"/>
    <w:rsid w:val="008F5EC7"/>
    <w:rsid w:val="00951358"/>
    <w:rsid w:val="00AB5212"/>
    <w:rsid w:val="00BF71BF"/>
    <w:rsid w:val="00E00B54"/>
    <w:rsid w:val="00EE33EF"/>
    <w:rsid w:val="00FE20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BDE320F"/>
  <w15:docId w15:val="{9E463B7F-FF4D-7244-9251-06443856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2087</Words>
  <Characters>11900</Characters>
  <Application>Microsoft Office Word</Application>
  <DocSecurity>0</DocSecurity>
  <Lines>99</Lines>
  <Paragraphs>27</Paragraphs>
  <ScaleCrop>false</ScaleCrop>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7</cp:revision>
  <dcterms:created xsi:type="dcterms:W3CDTF">2026-08-20T10:34:00Z</dcterms:created>
  <dcterms:modified xsi:type="dcterms:W3CDTF">2026-08-20T17:26:00Z</dcterms:modified>
</cp:coreProperties>
</file>