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62BEE" w14:textId="77777777" w:rsidR="00A5712B" w:rsidRDefault="00A5712B" w:rsidP="00812C20">
      <w:pPr>
        <w:spacing w:after="800"/>
        <w:jc w:val="center"/>
      </w:pPr>
    </w:p>
    <w:p w14:paraId="054027CD" w14:textId="77777777" w:rsidR="00A5712B" w:rsidRDefault="00C70D44">
      <w:pPr>
        <w:spacing w:after="200"/>
        <w:jc w:val="center"/>
      </w:pPr>
      <w:r>
        <w:rPr>
          <w:rFonts w:ascii="Traditional Arabic" w:eastAsia="Traditional Arabic" w:hAnsi="Traditional Arabic" w:cs="Traditional Arabic"/>
          <w:b/>
          <w:bCs/>
          <w:color w:val="1B2A4A"/>
          <w:sz w:val="48"/>
          <w:szCs w:val="48"/>
          <w:rtl/>
        </w:rPr>
        <w:t>الموت بوصفه الأفق اللانهائي</w:t>
      </w:r>
    </w:p>
    <w:p w14:paraId="09438AE3" w14:textId="63752CED" w:rsidR="00A5712B" w:rsidRDefault="00C70D44">
      <w:pPr>
        <w:spacing w:after="400"/>
        <w:jc w:val="center"/>
      </w:pPr>
      <w:r>
        <w:rPr>
          <w:rFonts w:ascii="Traditional Arabic" w:eastAsia="Traditional Arabic" w:hAnsi="Traditional Arabic" w:cs="Traditional Arabic"/>
          <w:b/>
          <w:bCs/>
          <w:color w:val="0F6466"/>
          <w:sz w:val="30"/>
          <w:szCs w:val="30"/>
          <w:rtl/>
        </w:rPr>
        <w:t xml:space="preserve">دراسة موسّعة في أنطولوجيا العتبة الوجودية </w:t>
      </w:r>
    </w:p>
    <w:p w14:paraId="7F33EEC4" w14:textId="77777777" w:rsidR="00A5712B" w:rsidRDefault="00C70D44">
      <w:pPr>
        <w:spacing w:after="120"/>
        <w:jc w:val="center"/>
      </w:pPr>
      <w:r>
        <w:rPr>
          <w:rFonts w:ascii="Traditional Arabic" w:eastAsia="Traditional Arabic" w:hAnsi="Traditional Arabic" w:cs="Traditional Arabic"/>
          <w:i/>
          <w:iCs/>
          <w:color w:val="1A1A1A"/>
          <w:sz w:val="24"/>
          <w:szCs w:val="24"/>
          <w:rtl/>
        </w:rPr>
        <w:t>قراءة مقارنة في فلسفة الموت الغربية، وعلم النفس الوجودي، والتراث الإسلامي، في ضوء علم النفس الاستخلافي</w:t>
      </w:r>
    </w:p>
    <w:p w14:paraId="065BE046" w14:textId="60C42DE8" w:rsidR="00A5712B" w:rsidRDefault="0073761C">
      <w:pPr>
        <w:spacing w:after="600"/>
      </w:pPr>
      <w:r>
        <w:rPr>
          <w:rFonts w:hint="cs"/>
          <w:rtl/>
        </w:rPr>
        <w:t>بقلم الباحث</w:t>
      </w:r>
      <w:r w:rsidR="00812C20">
        <w:rPr>
          <w:rFonts w:hint="cs"/>
          <w:rtl/>
        </w:rPr>
        <w:t xml:space="preserve">: </w:t>
      </w:r>
      <w:r>
        <w:rPr>
          <w:rFonts w:hint="cs"/>
          <w:rtl/>
        </w:rPr>
        <w:t xml:space="preserve"> عبد السلام </w:t>
      </w:r>
      <w:r w:rsidR="00812C20">
        <w:rPr>
          <w:rFonts w:hint="cs"/>
          <w:rtl/>
        </w:rPr>
        <w:t>الزراع</w:t>
      </w:r>
    </w:p>
    <w:tbl>
      <w:tblPr>
        <w:tblW w:w="5000" w:type="pct"/>
        <w:jc w:val="center"/>
        <w:tblBorders>
          <w:top w:val="single" w:sz="16" w:space="0" w:color="C9A227"/>
          <w:left w:val="single" w:sz="16" w:space="0" w:color="C9A227"/>
          <w:bottom w:val="single" w:sz="16" w:space="0" w:color="C9A227"/>
          <w:right w:val="single" w:sz="16" w:space="0" w:color="C9A22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A5712B" w14:paraId="57A31408" w14:textId="77777777">
        <w:trPr>
          <w:jc w:val="center"/>
        </w:trPr>
        <w:tc>
          <w:tcPr>
            <w:tcW w:w="0" w:type="auto"/>
            <w:shd w:val="clear" w:color="auto" w:fill="F4ECD8"/>
            <w:tcMar>
              <w:top w:w="200" w:type="dxa"/>
              <w:left w:w="300" w:type="dxa"/>
              <w:bottom w:w="200" w:type="dxa"/>
              <w:right w:w="300" w:type="dxa"/>
            </w:tcMar>
            <w:vAlign w:val="center"/>
          </w:tcPr>
          <w:p w14:paraId="0DB795B4" w14:textId="77777777" w:rsidR="00A5712B" w:rsidRDefault="00C70D44">
            <w:pPr>
              <w:spacing w:after="100"/>
              <w:jc w:val="center"/>
            </w:pPr>
            <w:r>
              <w:rPr>
                <w:rFonts w:ascii="Traditional Arabic" w:eastAsia="Traditional Arabic" w:hAnsi="Traditional Arabic" w:cs="Traditional Arabic"/>
                <w:b/>
                <w:bCs/>
                <w:color w:val="1B2A4A"/>
                <w:sz w:val="28"/>
                <w:szCs w:val="28"/>
                <w:rtl/>
              </w:rPr>
              <w:t>كُلُّ نَفْسٍ ذَائِقَةُ الْمَوْتِ ۗ وَإِنَّمَا تُوَفَّوْنَ أُجُورَكُمْ يَوْمَ الْقِيَامَةِ</w:t>
            </w:r>
          </w:p>
          <w:p w14:paraId="56F6DDAD" w14:textId="77777777" w:rsidR="00A5712B" w:rsidRDefault="00C70D44">
            <w:pPr>
              <w:jc w:val="center"/>
            </w:pPr>
            <w:r>
              <w:rPr>
                <w:rFonts w:ascii="Traditional Arabic" w:eastAsia="Traditional Arabic" w:hAnsi="Traditional Arabic" w:cs="Traditional Arabic"/>
                <w:i/>
                <w:iCs/>
                <w:color w:val="0F6466"/>
                <w:rtl/>
              </w:rPr>
              <w:t>[آل عمران: 185]</w:t>
            </w:r>
          </w:p>
        </w:tc>
      </w:tr>
    </w:tbl>
    <w:p w14:paraId="26445D1C" w14:textId="77777777" w:rsidR="00A5712B" w:rsidRDefault="00A5712B">
      <w:pPr>
        <w:spacing w:after="600"/>
      </w:pPr>
    </w:p>
    <w:p w14:paraId="27B4CBB9" w14:textId="77777777" w:rsidR="00A5712B" w:rsidRDefault="00C70D44">
      <w:pPr>
        <w:spacing w:before="600"/>
        <w:jc w:val="center"/>
      </w:pPr>
      <w:r>
        <w:rPr>
          <w:rFonts w:ascii="Traditional Arabic" w:eastAsia="Traditional Arabic" w:hAnsi="Traditional Arabic" w:cs="Traditional Arabic"/>
          <w:color w:val="1B2A4A"/>
          <w:sz w:val="22"/>
          <w:szCs w:val="22"/>
          <w:rtl/>
        </w:rPr>
        <w:t>إعداد ضمن مشروع علم النفس الاستخلافي</w:t>
      </w:r>
    </w:p>
    <w:p w14:paraId="5DF835CC" w14:textId="77777777" w:rsidR="00A5712B" w:rsidRDefault="00C70D44">
      <w:pPr>
        <w:jc w:val="center"/>
      </w:pPr>
      <w:r>
        <w:rPr>
          <w:rFonts w:ascii="Traditional Arabic" w:eastAsia="Traditional Arabic" w:hAnsi="Traditional Arabic" w:cs="Traditional Arabic"/>
          <w:color w:val="1B2A4A"/>
          <w:sz w:val="22"/>
          <w:szCs w:val="22"/>
          <w:rtl/>
        </w:rPr>
        <w:t>2026م</w:t>
      </w:r>
    </w:p>
    <w:p w14:paraId="1634B8CA" w14:textId="77777777" w:rsidR="00A5712B" w:rsidRDefault="00C70D44">
      <w:r>
        <w:br w:type="page"/>
      </w:r>
    </w:p>
    <w:p w14:paraId="7FA1E383"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تمهيد موسّع: الموت بوصفه المحك الأنطولوجي الحاسم</w:t>
      </w:r>
    </w:p>
    <w:p w14:paraId="00A21965"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لم تكن قضيةٌ في تاريخ الفكر الإنساني أكثر إلحاحاً، ولا أشد مقاومةً للاختزال، من قضية الموت. فهو، كما يصفه هذا البحث، "الحدث" الذي لا يشبهه حدث؛ إذ هو الحد الفاصل الذي تنكسر عنده كل لغة، وتتوقف عنده كل تجربة مباشرة، ويظل مع ذلك الحاضر الأكبر في كل تجربة إنسانية سابقة عليه. وقد تكفّلت المدارس الفلسفية والدينية والنفسية، منذ فجر التأمل الإنساني، بمحاولة "تدجين" هذا الحدث، أي جعله قابلاً للفهم أو الاحتمال أو التوظيف، فتعددت بذلك الإجابات بقدر ما تعددت الأطر المرجعية التي أنتجتها.</w:t>
      </w:r>
    </w:p>
    <w:p w14:paraId="65B4F475"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وتنطلق هذه الدراسة الموسّعة من فرضية مركزية مفادها أن الموقف من الموت ليس مسألة هامشية أو طرفية في أي نسق نفسي أو فلسفي، بل هو المحك الذي يُختبر عنده صدق ذلك النسق وقدرته التفسيرية والعلاجية. فالنسق الذي يعجز عن تقديم موقف متماسك من الموت، يبقى نسقاً منقوصاً مهما بلغت دقته في تفسير جوانب أخرى من الحياة النفسية. وعلى هذا الأساس، تتوسع هذه الدراسة في ثلاثة محاور: أولاً، تفكيك النماذج التفسيرية الكبرى للموت في الفكر الغربي الحديث (المادية، الوجودية، والتحليل النفسي)؛ ثانياً، إعادة بناء التصور الاستخلافي للموت انطلاقاً من النص القرآني والتراث الإسلامي؛ ثالثاً، استكشاف </w:t>
      </w:r>
      <w:proofErr w:type="spellStart"/>
      <w:r>
        <w:rPr>
          <w:rFonts w:ascii="Traditional Arabic" w:eastAsia="Traditional Arabic" w:hAnsi="Traditional Arabic" w:cs="Traditional Arabic"/>
          <w:color w:val="1A1A1A"/>
          <w:sz w:val="24"/>
          <w:szCs w:val="24"/>
          <w:rtl/>
        </w:rPr>
        <w:t>التضمينات</w:t>
      </w:r>
      <w:proofErr w:type="spellEnd"/>
      <w:r>
        <w:rPr>
          <w:rFonts w:ascii="Traditional Arabic" w:eastAsia="Traditional Arabic" w:hAnsi="Traditional Arabic" w:cs="Traditional Arabic"/>
          <w:color w:val="1A1A1A"/>
          <w:sz w:val="24"/>
          <w:szCs w:val="24"/>
          <w:rtl/>
        </w:rPr>
        <w:t xml:space="preserve"> الإكلينيكية لهذا التصور ضمن بروتوكول TLRT.</w:t>
      </w:r>
    </w:p>
    <w:p w14:paraId="6A131241"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 xml:space="preserve">منهجية المقاربة: بين </w:t>
      </w:r>
      <w:proofErr w:type="spellStart"/>
      <w:r>
        <w:rPr>
          <w:rFonts w:ascii="Traditional Arabic" w:eastAsia="Traditional Arabic" w:hAnsi="Traditional Arabic" w:cs="Traditional Arabic"/>
          <w:b/>
          <w:bCs/>
          <w:color w:val="0F6466"/>
          <w:sz w:val="28"/>
          <w:szCs w:val="28"/>
          <w:rtl/>
        </w:rPr>
        <w:t>الأركيولوجيا</w:t>
      </w:r>
      <w:proofErr w:type="spellEnd"/>
      <w:r>
        <w:rPr>
          <w:rFonts w:ascii="Traditional Arabic" w:eastAsia="Traditional Arabic" w:hAnsi="Traditional Arabic" w:cs="Traditional Arabic"/>
          <w:b/>
          <w:bCs/>
          <w:color w:val="0F6466"/>
          <w:sz w:val="28"/>
          <w:szCs w:val="28"/>
          <w:rtl/>
        </w:rPr>
        <w:t xml:space="preserve"> والتأصيل</w:t>
      </w:r>
    </w:p>
    <w:p w14:paraId="78B0468A"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تعتمد هذه الدراسة منهجاً مزدوجاً: أركيولوجياً في شقه الأول، بمعنى تفكيك طبقات الافتراضات الكامنة خلف كل نموذج تفسيري للموت والكشف عن حدوده المعرفية الصامتة؛ وتأصيلياً في شقه الثاني، بمعنى إعادة بناء الموقف الاستخلافي من الموت انطلاقاً من مصادره الأصلية (القرآن والسنة وأمهات كتب التراث)، مع وضعه في حوار نقدي مع النظائر الفلسفية والنفسية الغربية. وهذا المنهج المزدوج هو ما يميز مقاربة الزراع عن العرض الوصفي المجرد، إذ لا يكتفي بسرد المواقف المتعددة من الموت، بل </w:t>
      </w:r>
      <w:proofErr w:type="spellStart"/>
      <w:r>
        <w:rPr>
          <w:rFonts w:ascii="Traditional Arabic" w:eastAsia="Traditional Arabic" w:hAnsi="Traditional Arabic" w:cs="Traditional Arabic"/>
          <w:color w:val="1A1A1A"/>
          <w:sz w:val="24"/>
          <w:szCs w:val="24"/>
          <w:rtl/>
        </w:rPr>
        <w:t>يسائلها</w:t>
      </w:r>
      <w:proofErr w:type="spellEnd"/>
      <w:r>
        <w:rPr>
          <w:rFonts w:ascii="Traditional Arabic" w:eastAsia="Traditional Arabic" w:hAnsi="Traditional Arabic" w:cs="Traditional Arabic"/>
          <w:color w:val="1A1A1A"/>
          <w:sz w:val="24"/>
          <w:szCs w:val="24"/>
          <w:rtl/>
        </w:rPr>
        <w:t xml:space="preserve"> من الداخل، ويستخرج تناقضاتها البنيوية، قبل أن يقترح البديل.</w:t>
      </w:r>
    </w:p>
    <w:p w14:paraId="1D8F10CC" w14:textId="77777777" w:rsidR="00A5712B" w:rsidRDefault="00C70D44">
      <w:r>
        <w:br w:type="page"/>
      </w:r>
    </w:p>
    <w:p w14:paraId="148434E8"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الفصل الأول: أركيولوجيا الموت — تفكيك النماذج وبيان قصورها</w:t>
      </w:r>
    </w:p>
    <w:p w14:paraId="2EEE771B"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1.1 الموت في الفلسفة المادية: من أبيقور إلى كامو</w:t>
      </w:r>
    </w:p>
    <w:p w14:paraId="0D5C23F3"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يمكن تتبع جذور الموقف المادي من الموت إلى الفيلسوف اليوناني أبيقور (</w:t>
      </w:r>
      <w:proofErr w:type="spellStart"/>
      <w:r>
        <w:rPr>
          <w:rFonts w:ascii="Traditional Arabic" w:eastAsia="Traditional Arabic" w:hAnsi="Traditional Arabic" w:cs="Traditional Arabic"/>
          <w:color w:val="1A1A1A"/>
          <w:sz w:val="24"/>
          <w:szCs w:val="24"/>
          <w:rtl/>
        </w:rPr>
        <w:t>Epicurus</w:t>
      </w:r>
      <w:proofErr w:type="spellEnd"/>
      <w:r>
        <w:rPr>
          <w:rFonts w:ascii="Traditional Arabic" w:eastAsia="Traditional Arabic" w:hAnsi="Traditional Arabic" w:cs="Traditional Arabic"/>
          <w:color w:val="1A1A1A"/>
          <w:sz w:val="24"/>
          <w:szCs w:val="24"/>
          <w:rtl/>
        </w:rPr>
        <w:t xml:space="preserve">)، الذي صاغ حجته الشهيرة القائلة بأن الموت "لا شيء بالنسبة إلينا"، لأنه ما دام الإنسان موجوداً فالموت غير حاضر، وما إن يحضر الموت حتى يكون الإنسان قد زال، فلا تلاقي بين الوعي والموت على الإطلاق. وقد استعاد هذه الحجة تلميذه </w:t>
      </w:r>
      <w:proofErr w:type="spellStart"/>
      <w:r>
        <w:rPr>
          <w:rFonts w:ascii="Traditional Arabic" w:eastAsia="Traditional Arabic" w:hAnsi="Traditional Arabic" w:cs="Traditional Arabic"/>
          <w:color w:val="1A1A1A"/>
          <w:sz w:val="24"/>
          <w:szCs w:val="24"/>
          <w:rtl/>
        </w:rPr>
        <w:t>لوكريتيوس</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Lucretius</w:t>
      </w:r>
      <w:proofErr w:type="spellEnd"/>
      <w:r>
        <w:rPr>
          <w:rFonts w:ascii="Traditional Arabic" w:eastAsia="Traditional Arabic" w:hAnsi="Traditional Arabic" w:cs="Traditional Arabic"/>
          <w:color w:val="1A1A1A"/>
          <w:sz w:val="24"/>
          <w:szCs w:val="24"/>
          <w:rtl/>
        </w:rPr>
        <w:t>) في قصيدته الفلسفية "في طبيعة الأشياء"، مستخدماً "حجة التماثل" (</w:t>
      </w:r>
      <w:proofErr w:type="spellStart"/>
      <w:r>
        <w:rPr>
          <w:rFonts w:ascii="Traditional Arabic" w:eastAsia="Traditional Arabic" w:hAnsi="Traditional Arabic" w:cs="Traditional Arabic"/>
          <w:color w:val="1A1A1A"/>
          <w:sz w:val="24"/>
          <w:szCs w:val="24"/>
          <w:rtl/>
        </w:rPr>
        <w:t>Symmetry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Argument</w:t>
      </w:r>
      <w:proofErr w:type="spellEnd"/>
      <w:r>
        <w:rPr>
          <w:rFonts w:ascii="Traditional Arabic" w:eastAsia="Traditional Arabic" w:hAnsi="Traditional Arabic" w:cs="Traditional Arabic"/>
          <w:color w:val="1A1A1A"/>
          <w:sz w:val="24"/>
          <w:szCs w:val="24"/>
          <w:rtl/>
        </w:rPr>
        <w:t>): بما أن الإنسان لا يحزن على اللاوجود الذي سبق ولادته، فلا ينبغي أن يخشى اللاوجود الذي سيعقب موته.</w:t>
      </w:r>
    </w:p>
    <w:p w14:paraId="22DBCC4A"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غير أن هذه الحجة، على رغم أناقتها المنطقية، تصطدم — كما يلاحظ الزراع — بحقيقة نفسية صلبة: أن الخوف من الموت ليس خوفاً من "حالة اللاوجود" بالمعنى المجرد، بل هو خوفاً من انقطاع مشروع الحياة، ومن فقدان من نحب، ومن ضياع المعنى الذي بُني تراكمياً عبر سنوات العمر. وهذا ما لم تستطع الحجة الأبيقورية أن تعالجه، لأنها تعامل الموت كمسألة منطقية مجردة، لا كتجربة وجودية </w:t>
      </w:r>
      <w:proofErr w:type="spellStart"/>
      <w:r>
        <w:rPr>
          <w:rFonts w:ascii="Traditional Arabic" w:eastAsia="Traditional Arabic" w:hAnsi="Traditional Arabic" w:cs="Traditional Arabic"/>
          <w:color w:val="1A1A1A"/>
          <w:sz w:val="24"/>
          <w:szCs w:val="24"/>
          <w:rtl/>
        </w:rPr>
        <w:t>معاشة</w:t>
      </w:r>
      <w:proofErr w:type="spellEnd"/>
      <w:r>
        <w:rPr>
          <w:rFonts w:ascii="Traditional Arabic" w:eastAsia="Traditional Arabic" w:hAnsi="Traditional Arabic" w:cs="Traditional Arabic"/>
          <w:color w:val="1A1A1A"/>
          <w:sz w:val="24"/>
          <w:szCs w:val="24"/>
          <w:rtl/>
        </w:rPr>
        <w:t>. أما في صيغته الوجودية العدمية الأحدث، فقد بلغ الموقف المادي ذروته عند ألبير كامو (</w:t>
      </w:r>
      <w:proofErr w:type="spellStart"/>
      <w:r>
        <w:rPr>
          <w:rFonts w:ascii="Traditional Arabic" w:eastAsia="Traditional Arabic" w:hAnsi="Traditional Arabic" w:cs="Traditional Arabic"/>
          <w:color w:val="1A1A1A"/>
          <w:sz w:val="24"/>
          <w:szCs w:val="24"/>
          <w:rtl/>
        </w:rPr>
        <w:t>Albert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Camus</w:t>
      </w:r>
      <w:proofErr w:type="spellEnd"/>
      <w:r>
        <w:rPr>
          <w:rFonts w:ascii="Traditional Arabic" w:eastAsia="Traditional Arabic" w:hAnsi="Traditional Arabic" w:cs="Traditional Arabic"/>
          <w:color w:val="1A1A1A"/>
          <w:sz w:val="24"/>
          <w:szCs w:val="24"/>
          <w:rtl/>
        </w:rPr>
        <w:t>)، الذي جعل من "اللامعقول" (</w:t>
      </w:r>
      <w:proofErr w:type="spellStart"/>
      <w:r>
        <w:rPr>
          <w:rFonts w:ascii="Traditional Arabic" w:eastAsia="Traditional Arabic" w:hAnsi="Traditional Arabic" w:cs="Traditional Arabic"/>
          <w:color w:val="1A1A1A"/>
          <w:sz w:val="24"/>
          <w:szCs w:val="24"/>
          <w:rtl/>
        </w:rPr>
        <w:t>l'Absurde</w:t>
      </w:r>
      <w:proofErr w:type="spellEnd"/>
      <w:r>
        <w:rPr>
          <w:rFonts w:ascii="Traditional Arabic" w:eastAsia="Traditional Arabic" w:hAnsi="Traditional Arabic" w:cs="Traditional Arabic"/>
          <w:color w:val="1A1A1A"/>
          <w:sz w:val="24"/>
          <w:szCs w:val="24"/>
          <w:rtl/>
        </w:rPr>
        <w:t>) — أي التناقض بين رغبة الإنسان في المعنى وصمت الكون المطبق — جوهر الوضع الإنساني، وموت الإنسان تأكيداً نهائياً لهذا اللامعقول الذي لا يُحل، بل يُعاش ويُتحدى فقط، كما في أسطورة سيزيف.</w:t>
      </w:r>
    </w:p>
    <w:p w14:paraId="6538F066"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وما يُسجله الزراع على هذا الخط الفلسفي بأكمله، من أبيقور إلى كامو، هو أنه — رغم تنوع صياغاته — يبقى محكوماً بافتراض مسبق واحد لا يُبرهن عليه، بل يُسلَّم به سلفاً: انغلاق الوجود على المادة، وانعدام أي امتداد للوعي بعد توقف الوظائف الدماغية. وهذا الافتراض، كما يُلاحظ، ليس نتيجة استقراء علمي حاسم، بل هو موقف ميتافيزيقي مسبق يُعاد إسقاطه على المعطى العلمي، ذلك أن العلم التجريبي بطبيعته لا يملك أدوات لإثبات انعدام الوجود بعد الموت أو إثباته، فهذه القضية تتجاوز حدود منهجه أصلاً.</w:t>
      </w:r>
    </w:p>
    <w:p w14:paraId="546B57C3"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 xml:space="preserve">1.2 الموت والوجودية: هايدغر، </w:t>
      </w:r>
      <w:proofErr w:type="spellStart"/>
      <w:r>
        <w:rPr>
          <w:rFonts w:ascii="Traditional Arabic" w:eastAsia="Traditional Arabic" w:hAnsi="Traditional Arabic" w:cs="Traditional Arabic"/>
          <w:b/>
          <w:bCs/>
          <w:color w:val="0F6466"/>
          <w:sz w:val="28"/>
          <w:szCs w:val="28"/>
          <w:rtl/>
        </w:rPr>
        <w:t>ياسبرز</w:t>
      </w:r>
      <w:proofErr w:type="spellEnd"/>
      <w:r>
        <w:rPr>
          <w:rFonts w:ascii="Traditional Arabic" w:eastAsia="Traditional Arabic" w:hAnsi="Traditional Arabic" w:cs="Traditional Arabic"/>
          <w:b/>
          <w:bCs/>
          <w:color w:val="0F6466"/>
          <w:sz w:val="28"/>
          <w:szCs w:val="28"/>
          <w:rtl/>
        </w:rPr>
        <w:t>، وسارتر</w:t>
      </w:r>
    </w:p>
    <w:p w14:paraId="3512C475"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يمثل مارتن هايدغر (</w:t>
      </w:r>
      <w:proofErr w:type="spellStart"/>
      <w:r>
        <w:rPr>
          <w:rFonts w:ascii="Traditional Arabic" w:eastAsia="Traditional Arabic" w:hAnsi="Traditional Arabic" w:cs="Traditional Arabic"/>
          <w:color w:val="1A1A1A"/>
          <w:sz w:val="24"/>
          <w:szCs w:val="24"/>
          <w:rtl/>
        </w:rPr>
        <w:t>Martin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Heidegger</w:t>
      </w:r>
      <w:proofErr w:type="spellEnd"/>
      <w:r>
        <w:rPr>
          <w:rFonts w:ascii="Traditional Arabic" w:eastAsia="Traditional Arabic" w:hAnsi="Traditional Arabic" w:cs="Traditional Arabic"/>
          <w:color w:val="1A1A1A"/>
          <w:sz w:val="24"/>
          <w:szCs w:val="24"/>
          <w:rtl/>
        </w:rPr>
        <w:t>) في كتابه "الكينونة والزمان" (</w:t>
      </w:r>
      <w:proofErr w:type="spellStart"/>
      <w:r>
        <w:rPr>
          <w:rFonts w:ascii="Traditional Arabic" w:eastAsia="Traditional Arabic" w:hAnsi="Traditional Arabic" w:cs="Traditional Arabic"/>
          <w:color w:val="1A1A1A"/>
          <w:sz w:val="24"/>
          <w:szCs w:val="24"/>
          <w:rtl/>
        </w:rPr>
        <w:t>Sein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Zeit</w:t>
      </w:r>
      <w:proofErr w:type="spellEnd"/>
      <w:r>
        <w:rPr>
          <w:rFonts w:ascii="Traditional Arabic" w:eastAsia="Traditional Arabic" w:hAnsi="Traditional Arabic" w:cs="Traditional Arabic"/>
          <w:color w:val="1A1A1A"/>
          <w:sz w:val="24"/>
          <w:szCs w:val="24"/>
          <w:rtl/>
        </w:rPr>
        <w:t>) أعمق معالجة فلسفية للموت في الفكر الغربي الحديث، من خلال مفهومه المحوري "الكينونة-صوب-الموت" (</w:t>
      </w:r>
      <w:proofErr w:type="spellStart"/>
      <w:r>
        <w:rPr>
          <w:rFonts w:ascii="Traditional Arabic" w:eastAsia="Traditional Arabic" w:hAnsi="Traditional Arabic" w:cs="Traditional Arabic"/>
          <w:color w:val="1A1A1A"/>
          <w:sz w:val="24"/>
          <w:szCs w:val="24"/>
          <w:rtl/>
        </w:rPr>
        <w:t>Sein-zum-Tode</w:t>
      </w:r>
      <w:proofErr w:type="spellEnd"/>
      <w:r>
        <w:rPr>
          <w:rFonts w:ascii="Traditional Arabic" w:eastAsia="Traditional Arabic" w:hAnsi="Traditional Arabic" w:cs="Traditional Arabic"/>
          <w:color w:val="1A1A1A"/>
          <w:sz w:val="24"/>
          <w:szCs w:val="24"/>
          <w:rtl/>
        </w:rPr>
        <w:t xml:space="preserve">). فالموت عند هايدغر ليس حدثاً بيولوجياً يقع في نهاية الحياة فحسب، بل هو "إمكانية أشد إمكانيات </w:t>
      </w:r>
      <w:proofErr w:type="spellStart"/>
      <w:r>
        <w:rPr>
          <w:rFonts w:ascii="Traditional Arabic" w:eastAsia="Traditional Arabic" w:hAnsi="Traditional Arabic" w:cs="Traditional Arabic"/>
          <w:color w:val="1A1A1A"/>
          <w:sz w:val="24"/>
          <w:szCs w:val="24"/>
          <w:rtl/>
        </w:rPr>
        <w:t>الدازاين</w:t>
      </w:r>
      <w:proofErr w:type="spellEnd"/>
      <w:r>
        <w:rPr>
          <w:rFonts w:ascii="Traditional Arabic" w:eastAsia="Traditional Arabic" w:hAnsi="Traditional Arabic" w:cs="Traditional Arabic"/>
          <w:color w:val="1A1A1A"/>
          <w:sz w:val="24"/>
          <w:szCs w:val="24"/>
          <w:rtl/>
        </w:rPr>
        <w:t xml:space="preserve"> خصوصية"، أي أنه الإمكانية الوحيدة التي لا يمكن لأحد أن ينوب عن الإنسان في عيشها، والتي تكشف له عن تفرده المطلق وعدم قابليته للاستبدال. ويرى هايدغر أن "الوجود الأصيل" (</w:t>
      </w:r>
      <w:proofErr w:type="spellStart"/>
      <w:r>
        <w:rPr>
          <w:rFonts w:ascii="Traditional Arabic" w:eastAsia="Traditional Arabic" w:hAnsi="Traditional Arabic" w:cs="Traditional Arabic"/>
          <w:color w:val="1A1A1A"/>
          <w:sz w:val="24"/>
          <w:szCs w:val="24"/>
          <w:rtl/>
        </w:rPr>
        <w:t>Eigentlichkeit</w:t>
      </w:r>
      <w:proofErr w:type="spellEnd"/>
      <w:r>
        <w:rPr>
          <w:rFonts w:ascii="Traditional Arabic" w:eastAsia="Traditional Arabic" w:hAnsi="Traditional Arabic" w:cs="Traditional Arabic"/>
          <w:color w:val="1A1A1A"/>
          <w:sz w:val="24"/>
          <w:szCs w:val="24"/>
          <w:rtl/>
        </w:rPr>
        <w:t>) لا يتحقق إلا حين يستحضر الإنسان موته الخاص باستمرار كإمكانية دائمة الحضور، بدلاً من الهروب منه إلى "ثرثرة" (</w:t>
      </w:r>
      <w:proofErr w:type="spellStart"/>
      <w:r>
        <w:rPr>
          <w:rFonts w:ascii="Traditional Arabic" w:eastAsia="Traditional Arabic" w:hAnsi="Traditional Arabic" w:cs="Traditional Arabic"/>
          <w:color w:val="1A1A1A"/>
          <w:sz w:val="24"/>
          <w:szCs w:val="24"/>
          <w:rtl/>
        </w:rPr>
        <w:t>Gerede</w:t>
      </w:r>
      <w:proofErr w:type="spellEnd"/>
      <w:r>
        <w:rPr>
          <w:rFonts w:ascii="Traditional Arabic" w:eastAsia="Traditional Arabic" w:hAnsi="Traditional Arabic" w:cs="Traditional Arabic"/>
          <w:color w:val="1A1A1A"/>
          <w:sz w:val="24"/>
          <w:szCs w:val="24"/>
          <w:rtl/>
        </w:rPr>
        <w:t xml:space="preserve">) الحياة اليومية </w:t>
      </w:r>
      <w:proofErr w:type="spellStart"/>
      <w:r>
        <w:rPr>
          <w:rFonts w:ascii="Traditional Arabic" w:eastAsia="Traditional Arabic" w:hAnsi="Traditional Arabic" w:cs="Traditional Arabic"/>
          <w:color w:val="1A1A1A"/>
          <w:sz w:val="24"/>
          <w:szCs w:val="24"/>
          <w:rtl/>
        </w:rPr>
        <w:t>و"الهُم</w:t>
      </w:r>
      <w:proofErr w:type="spellEnd"/>
      <w:r>
        <w:rPr>
          <w:rFonts w:ascii="Traditional Arabic" w:eastAsia="Traditional Arabic" w:hAnsi="Traditional Arabic" w:cs="Traditional Arabic"/>
          <w:color w:val="1A1A1A"/>
          <w:sz w:val="24"/>
          <w:szCs w:val="24"/>
          <w:rtl/>
        </w:rPr>
        <w:t>" (</w:t>
      </w:r>
      <w:proofErr w:type="spellStart"/>
      <w:r>
        <w:rPr>
          <w:rFonts w:ascii="Traditional Arabic" w:eastAsia="Traditional Arabic" w:hAnsi="Traditional Arabic" w:cs="Traditional Arabic"/>
          <w:color w:val="1A1A1A"/>
          <w:sz w:val="24"/>
          <w:szCs w:val="24"/>
          <w:rtl/>
        </w:rPr>
        <w:t>das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Man</w:t>
      </w:r>
      <w:proofErr w:type="spellEnd"/>
      <w:r>
        <w:rPr>
          <w:rFonts w:ascii="Traditional Arabic" w:eastAsia="Traditional Arabic" w:hAnsi="Traditional Arabic" w:cs="Traditional Arabic"/>
          <w:color w:val="1A1A1A"/>
          <w:sz w:val="24"/>
          <w:szCs w:val="24"/>
          <w:rtl/>
        </w:rPr>
        <w:t>) الذي يُخفي حتمية الفناء الفردي خلف عبارات مجردة من نوع "الإنسان يموت".</w:t>
      </w:r>
    </w:p>
    <w:p w14:paraId="2C079692"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وبقدر ما يُقدّر الزراع عمق هذا التحليل </w:t>
      </w:r>
      <w:proofErr w:type="spellStart"/>
      <w:r>
        <w:rPr>
          <w:rFonts w:ascii="Traditional Arabic" w:eastAsia="Traditional Arabic" w:hAnsi="Traditional Arabic" w:cs="Traditional Arabic"/>
          <w:color w:val="1A1A1A"/>
          <w:sz w:val="24"/>
          <w:szCs w:val="24"/>
          <w:rtl/>
        </w:rPr>
        <w:t>الفينومينولوجي</w:t>
      </w:r>
      <w:proofErr w:type="spellEnd"/>
      <w:r>
        <w:rPr>
          <w:rFonts w:ascii="Traditional Arabic" w:eastAsia="Traditional Arabic" w:hAnsi="Traditional Arabic" w:cs="Traditional Arabic"/>
          <w:color w:val="1A1A1A"/>
          <w:sz w:val="24"/>
          <w:szCs w:val="24"/>
          <w:rtl/>
        </w:rPr>
        <w:t xml:space="preserve">، فإنه يسجل عليه قصوراً جوهرياً: فالموت عند هايدغر يبقى أفقاً مغلقاً على ذاته، إذ لا يفتح على شيء يتجاوزه، بل غايته القصوى هي تحرير </w:t>
      </w:r>
      <w:proofErr w:type="spellStart"/>
      <w:r>
        <w:rPr>
          <w:rFonts w:ascii="Traditional Arabic" w:eastAsia="Traditional Arabic" w:hAnsi="Traditional Arabic" w:cs="Traditional Arabic"/>
          <w:color w:val="1A1A1A"/>
          <w:sz w:val="24"/>
          <w:szCs w:val="24"/>
          <w:rtl/>
        </w:rPr>
        <w:t>الدازاين</w:t>
      </w:r>
      <w:proofErr w:type="spellEnd"/>
      <w:r>
        <w:rPr>
          <w:rFonts w:ascii="Traditional Arabic" w:eastAsia="Traditional Arabic" w:hAnsi="Traditional Arabic" w:cs="Traditional Arabic"/>
          <w:color w:val="1A1A1A"/>
          <w:sz w:val="24"/>
          <w:szCs w:val="24"/>
          <w:rtl/>
        </w:rPr>
        <w:t xml:space="preserve"> من الزيف الوجودي كي "يقرر" ذاته بأصالة في مواجهة هذا الأفق المغلق. وهذا، كما يعلّق الزراع، تحويلٌ للموت من "عتبة" إلى "جدار"، ومن هذه الزاوية يبقى هايدغر أسيراً لنفس الافتراض المادي الأولي، وإن كساه بلغة </w:t>
      </w:r>
      <w:proofErr w:type="spellStart"/>
      <w:r>
        <w:rPr>
          <w:rFonts w:ascii="Traditional Arabic" w:eastAsia="Traditional Arabic" w:hAnsi="Traditional Arabic" w:cs="Traditional Arabic"/>
          <w:color w:val="1A1A1A"/>
          <w:sz w:val="24"/>
          <w:szCs w:val="24"/>
          <w:rtl/>
        </w:rPr>
        <w:t>فينومينولوجية</w:t>
      </w:r>
      <w:proofErr w:type="spellEnd"/>
      <w:r>
        <w:rPr>
          <w:rFonts w:ascii="Traditional Arabic" w:eastAsia="Traditional Arabic" w:hAnsi="Traditional Arabic" w:cs="Traditional Arabic"/>
          <w:color w:val="1A1A1A"/>
          <w:sz w:val="24"/>
          <w:szCs w:val="24"/>
          <w:rtl/>
        </w:rPr>
        <w:t xml:space="preserve"> رفيعة. أما كارل </w:t>
      </w:r>
      <w:proofErr w:type="spellStart"/>
      <w:r>
        <w:rPr>
          <w:rFonts w:ascii="Traditional Arabic" w:eastAsia="Traditional Arabic" w:hAnsi="Traditional Arabic" w:cs="Traditional Arabic"/>
          <w:color w:val="1A1A1A"/>
          <w:sz w:val="24"/>
          <w:szCs w:val="24"/>
          <w:rtl/>
        </w:rPr>
        <w:t>ياسبرز</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Karl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Jaspers</w:t>
      </w:r>
      <w:proofErr w:type="spellEnd"/>
      <w:r>
        <w:rPr>
          <w:rFonts w:ascii="Traditional Arabic" w:eastAsia="Traditional Arabic" w:hAnsi="Traditional Arabic" w:cs="Traditional Arabic"/>
          <w:color w:val="1A1A1A"/>
          <w:sz w:val="24"/>
          <w:szCs w:val="24"/>
          <w:rtl/>
        </w:rPr>
        <w:t>)، فقد صنّف الموت ضمن "المواقف الحدية" (</w:t>
      </w:r>
      <w:proofErr w:type="spellStart"/>
      <w:r>
        <w:rPr>
          <w:rFonts w:ascii="Traditional Arabic" w:eastAsia="Traditional Arabic" w:hAnsi="Traditional Arabic" w:cs="Traditional Arabic"/>
          <w:color w:val="1A1A1A"/>
          <w:sz w:val="24"/>
          <w:szCs w:val="24"/>
          <w:rtl/>
        </w:rPr>
        <w:t>Grenzsituationen</w:t>
      </w:r>
      <w:proofErr w:type="spellEnd"/>
      <w:r>
        <w:rPr>
          <w:rFonts w:ascii="Traditional Arabic" w:eastAsia="Traditional Arabic" w:hAnsi="Traditional Arabic" w:cs="Traditional Arabic"/>
          <w:color w:val="1A1A1A"/>
          <w:sz w:val="24"/>
          <w:szCs w:val="24"/>
          <w:rtl/>
        </w:rPr>
        <w:t>) التي يواجه فيها الإنسان حدود وجوده القصوى، والتي تدفعه — عبر ما يسميه "التعالي" (</w:t>
      </w:r>
      <w:proofErr w:type="spellStart"/>
      <w:r>
        <w:rPr>
          <w:rFonts w:ascii="Traditional Arabic" w:eastAsia="Traditional Arabic" w:hAnsi="Traditional Arabic" w:cs="Traditional Arabic"/>
          <w:color w:val="1A1A1A"/>
          <w:sz w:val="24"/>
          <w:szCs w:val="24"/>
          <w:rtl/>
        </w:rPr>
        <w:t>Transzendenz</w:t>
      </w:r>
      <w:proofErr w:type="spellEnd"/>
      <w:r>
        <w:rPr>
          <w:rFonts w:ascii="Traditional Arabic" w:eastAsia="Traditional Arabic" w:hAnsi="Traditional Arabic" w:cs="Traditional Arabic"/>
          <w:color w:val="1A1A1A"/>
          <w:sz w:val="24"/>
          <w:szCs w:val="24"/>
          <w:rtl/>
        </w:rPr>
        <w:t xml:space="preserve">) — نحو الانفتاح على بُعد يتجاوز الوجود التجريبي المباشر، وإن ظل هذا التعالي عند </w:t>
      </w:r>
      <w:proofErr w:type="spellStart"/>
      <w:r>
        <w:rPr>
          <w:rFonts w:ascii="Traditional Arabic" w:eastAsia="Traditional Arabic" w:hAnsi="Traditional Arabic" w:cs="Traditional Arabic"/>
          <w:color w:val="1A1A1A"/>
          <w:sz w:val="24"/>
          <w:szCs w:val="24"/>
          <w:rtl/>
        </w:rPr>
        <w:t>ياسبرز</w:t>
      </w:r>
      <w:proofErr w:type="spellEnd"/>
      <w:r>
        <w:rPr>
          <w:rFonts w:ascii="Traditional Arabic" w:eastAsia="Traditional Arabic" w:hAnsi="Traditional Arabic" w:cs="Traditional Arabic"/>
          <w:color w:val="1A1A1A"/>
          <w:sz w:val="24"/>
          <w:szCs w:val="24"/>
          <w:rtl/>
        </w:rPr>
        <w:t xml:space="preserve"> غامضاً وغير محدد المعالم، بخلاف وضوح مفهوم "الرجوع إلى الله" في التصور القرآني.</w:t>
      </w:r>
    </w:p>
    <w:p w14:paraId="3A281F41"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1.3 التحليل النفسي وغريزة الموت: فرويد وما بعده</w:t>
      </w:r>
    </w:p>
    <w:p w14:paraId="3043CDA4"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أما في حقل التحليل النفسي، فقد ظل الموت — كما أشير سابقاً — موضوعاً هامشياً في المرحلة الأولى من فكر فرويد، الذي انشغل بدراسة الغرائز الجنسية (</w:t>
      </w:r>
      <w:proofErr w:type="spellStart"/>
      <w:r>
        <w:rPr>
          <w:rFonts w:ascii="Traditional Arabic" w:eastAsia="Traditional Arabic" w:hAnsi="Traditional Arabic" w:cs="Traditional Arabic"/>
          <w:color w:val="1A1A1A"/>
          <w:sz w:val="24"/>
          <w:szCs w:val="24"/>
          <w:rtl/>
        </w:rPr>
        <w:t>الليبيدو</w:t>
      </w:r>
      <w:proofErr w:type="spellEnd"/>
      <w:r>
        <w:rPr>
          <w:rFonts w:ascii="Traditional Arabic" w:eastAsia="Traditional Arabic" w:hAnsi="Traditional Arabic" w:cs="Traditional Arabic"/>
          <w:color w:val="1A1A1A"/>
          <w:sz w:val="24"/>
          <w:szCs w:val="24"/>
          <w:rtl/>
        </w:rPr>
        <w:t>) بوصفها المحرك الأساسي للحياة النفسية. غير أن فرويد عاد في مرحلته المتأخرة، وتحديداً في كتابه "ما وراء مبدأ اللذة" (1920)، ليقدم فرضية "غريزة الموت" (</w:t>
      </w:r>
      <w:proofErr w:type="spellStart"/>
      <w:r>
        <w:rPr>
          <w:rFonts w:ascii="Traditional Arabic" w:eastAsia="Traditional Arabic" w:hAnsi="Traditional Arabic" w:cs="Traditional Arabic"/>
          <w:color w:val="1A1A1A"/>
          <w:sz w:val="24"/>
          <w:szCs w:val="24"/>
          <w:rtl/>
        </w:rPr>
        <w:t>Thanatos</w:t>
      </w:r>
      <w:proofErr w:type="spellEnd"/>
      <w:r>
        <w:rPr>
          <w:rFonts w:ascii="Traditional Arabic" w:eastAsia="Traditional Arabic" w:hAnsi="Traditional Arabic" w:cs="Traditional Arabic"/>
          <w:color w:val="1A1A1A"/>
          <w:sz w:val="24"/>
          <w:szCs w:val="24"/>
          <w:rtl/>
        </w:rPr>
        <w:t xml:space="preserve">)، التي افترض بموجبها وجود نزوع بيولوجي أساسي نحو تفكيك التوترات والعودة إلى حالة </w:t>
      </w:r>
      <w:proofErr w:type="spellStart"/>
      <w:r>
        <w:rPr>
          <w:rFonts w:ascii="Traditional Arabic" w:eastAsia="Traditional Arabic" w:hAnsi="Traditional Arabic" w:cs="Traditional Arabic"/>
          <w:color w:val="1A1A1A"/>
          <w:sz w:val="24"/>
          <w:szCs w:val="24"/>
          <w:rtl/>
        </w:rPr>
        <w:t>اللاعضوية</w:t>
      </w:r>
      <w:proofErr w:type="spellEnd"/>
      <w:r>
        <w:rPr>
          <w:rFonts w:ascii="Traditional Arabic" w:eastAsia="Traditional Arabic" w:hAnsi="Traditional Arabic" w:cs="Traditional Arabic"/>
          <w:color w:val="1A1A1A"/>
          <w:sz w:val="24"/>
          <w:szCs w:val="24"/>
          <w:rtl/>
        </w:rPr>
        <w:t xml:space="preserve"> السابقة على الحياة، في مقابل غريزة الحياة (</w:t>
      </w:r>
      <w:proofErr w:type="spellStart"/>
      <w:r>
        <w:rPr>
          <w:rFonts w:ascii="Traditional Arabic" w:eastAsia="Traditional Arabic" w:hAnsi="Traditional Arabic" w:cs="Traditional Arabic"/>
          <w:color w:val="1A1A1A"/>
          <w:sz w:val="24"/>
          <w:szCs w:val="24"/>
          <w:rtl/>
        </w:rPr>
        <w:t>Eros</w:t>
      </w:r>
      <w:proofErr w:type="spellEnd"/>
      <w:r>
        <w:rPr>
          <w:rFonts w:ascii="Traditional Arabic" w:eastAsia="Traditional Arabic" w:hAnsi="Traditional Arabic" w:cs="Traditional Arabic"/>
          <w:color w:val="1A1A1A"/>
          <w:sz w:val="24"/>
          <w:szCs w:val="24"/>
          <w:rtl/>
        </w:rPr>
        <w:t>) الساعية إلى البناء والتوحيد.</w:t>
      </w:r>
    </w:p>
    <w:p w14:paraId="3434DBEE"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ويُلاحظ الزراع أن هذه الفرضية، على رغم جرأتها التأملية، بقيت مثيرة للجدل داخل الحقل التحليلي نفسه، ولم تحظَ بإجماع حتى بين تلامذة فرويد المباشرين، وظلت أقرب إلى تأمل ميتافيزيقي حيوي منها إلى نظرية إكلينيكية قابلة للتحقق. والأهم من ذلك، أن هذه الفرضية — حتى لو سُلِّم بها — تُبقي الموت مجرد "غريزة" تدميرية عمياء لا تحمل أي دلالة أو غاية تتجاوز آلية الجهاز النفسي، وهو ما يُبقي التحليل النفسي، شأنه شأن المادية والوجودية </w:t>
      </w:r>
      <w:proofErr w:type="spellStart"/>
      <w:r>
        <w:rPr>
          <w:rFonts w:ascii="Traditional Arabic" w:eastAsia="Traditional Arabic" w:hAnsi="Traditional Arabic" w:cs="Traditional Arabic"/>
          <w:color w:val="1A1A1A"/>
          <w:sz w:val="24"/>
          <w:szCs w:val="24"/>
          <w:rtl/>
        </w:rPr>
        <w:t>الهايدغرية</w:t>
      </w:r>
      <w:proofErr w:type="spellEnd"/>
      <w:r>
        <w:rPr>
          <w:rFonts w:ascii="Traditional Arabic" w:eastAsia="Traditional Arabic" w:hAnsi="Traditional Arabic" w:cs="Traditional Arabic"/>
          <w:color w:val="1A1A1A"/>
          <w:sz w:val="24"/>
          <w:szCs w:val="24"/>
          <w:rtl/>
        </w:rPr>
        <w:t>، عاجزاً عن منح الموت معنى يتجاوز حدود الجهاز البيولوجي-النفسي المغلق.</w:t>
      </w:r>
    </w:p>
    <w:p w14:paraId="6AE5FAA5" w14:textId="77777777" w:rsidR="00A5712B" w:rsidRDefault="00C70D44">
      <w:r>
        <w:br w:type="page"/>
      </w:r>
    </w:p>
    <w:p w14:paraId="13CD8D32"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الفصل الثاني: علم النفس الوجودي المعاصر — من العلاج إلى نظرية إدارة الرعب</w:t>
      </w:r>
    </w:p>
    <w:p w14:paraId="4FAE7761"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 xml:space="preserve">2.1 </w:t>
      </w:r>
      <w:proofErr w:type="spellStart"/>
      <w:r>
        <w:rPr>
          <w:rFonts w:ascii="Traditional Arabic" w:eastAsia="Traditional Arabic" w:hAnsi="Traditional Arabic" w:cs="Traditional Arabic"/>
          <w:b/>
          <w:bCs/>
          <w:color w:val="0F6466"/>
          <w:sz w:val="28"/>
          <w:szCs w:val="28"/>
          <w:rtl/>
        </w:rPr>
        <w:t>إرفين</w:t>
      </w:r>
      <w:proofErr w:type="spellEnd"/>
      <w:r>
        <w:rPr>
          <w:rFonts w:ascii="Traditional Arabic" w:eastAsia="Traditional Arabic" w:hAnsi="Traditional Arabic" w:cs="Traditional Arabic"/>
          <w:b/>
          <w:bCs/>
          <w:color w:val="0F6466"/>
          <w:sz w:val="28"/>
          <w:szCs w:val="28"/>
          <w:rtl/>
        </w:rPr>
        <w:t xml:space="preserve"> </w:t>
      </w:r>
      <w:proofErr w:type="spellStart"/>
      <w:r>
        <w:rPr>
          <w:rFonts w:ascii="Traditional Arabic" w:eastAsia="Traditional Arabic" w:hAnsi="Traditional Arabic" w:cs="Traditional Arabic"/>
          <w:b/>
          <w:bCs/>
          <w:color w:val="0F6466"/>
          <w:sz w:val="28"/>
          <w:szCs w:val="28"/>
          <w:rtl/>
        </w:rPr>
        <w:t>يالوم</w:t>
      </w:r>
      <w:proofErr w:type="spellEnd"/>
      <w:r>
        <w:rPr>
          <w:rFonts w:ascii="Traditional Arabic" w:eastAsia="Traditional Arabic" w:hAnsi="Traditional Arabic" w:cs="Traditional Arabic"/>
          <w:b/>
          <w:bCs/>
          <w:color w:val="0F6466"/>
          <w:sz w:val="28"/>
          <w:szCs w:val="28"/>
          <w:rtl/>
        </w:rPr>
        <w:t>: الاهتمامات الأربعة القصوى</w:t>
      </w:r>
    </w:p>
    <w:p w14:paraId="73269143"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يُطوّر </w:t>
      </w:r>
      <w:proofErr w:type="spellStart"/>
      <w:r>
        <w:rPr>
          <w:rFonts w:ascii="Traditional Arabic" w:eastAsia="Traditional Arabic" w:hAnsi="Traditional Arabic" w:cs="Traditional Arabic"/>
          <w:color w:val="1A1A1A"/>
          <w:sz w:val="24"/>
          <w:szCs w:val="24"/>
          <w:rtl/>
        </w:rPr>
        <w:t>إرفين</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يالوم</w:t>
      </w:r>
      <w:proofErr w:type="spellEnd"/>
      <w:r>
        <w:rPr>
          <w:rFonts w:ascii="Traditional Arabic" w:eastAsia="Traditional Arabic" w:hAnsi="Traditional Arabic" w:cs="Traditional Arabic"/>
          <w:color w:val="1A1A1A"/>
          <w:sz w:val="24"/>
          <w:szCs w:val="24"/>
          <w:rtl/>
        </w:rPr>
        <w:t xml:space="preserve"> في كتابه "العلاج الوجودي" (</w:t>
      </w:r>
      <w:proofErr w:type="spellStart"/>
      <w:r>
        <w:rPr>
          <w:rFonts w:ascii="Traditional Arabic" w:eastAsia="Traditional Arabic" w:hAnsi="Traditional Arabic" w:cs="Traditional Arabic"/>
          <w:color w:val="1A1A1A"/>
          <w:sz w:val="24"/>
          <w:szCs w:val="24"/>
          <w:rtl/>
        </w:rPr>
        <w:t>Existential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Psychotherapy</w:t>
      </w:r>
      <w:proofErr w:type="spellEnd"/>
      <w:r>
        <w:rPr>
          <w:rFonts w:ascii="Traditional Arabic" w:eastAsia="Traditional Arabic" w:hAnsi="Traditional Arabic" w:cs="Traditional Arabic"/>
          <w:color w:val="1A1A1A"/>
          <w:sz w:val="24"/>
          <w:szCs w:val="24"/>
          <w:rtl/>
        </w:rPr>
        <w:t>, 1980) إطاراً علاجياً يقوم على "الاهتمامات القصوى الأربعة" (</w:t>
      </w:r>
      <w:proofErr w:type="spellStart"/>
      <w:r>
        <w:rPr>
          <w:rFonts w:ascii="Traditional Arabic" w:eastAsia="Traditional Arabic" w:hAnsi="Traditional Arabic" w:cs="Traditional Arabic"/>
          <w:color w:val="1A1A1A"/>
          <w:sz w:val="24"/>
          <w:szCs w:val="24"/>
          <w:rtl/>
        </w:rPr>
        <w:t>Ultimate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Concerns</w:t>
      </w:r>
      <w:proofErr w:type="spellEnd"/>
      <w:r>
        <w:rPr>
          <w:rFonts w:ascii="Traditional Arabic" w:eastAsia="Traditional Arabic" w:hAnsi="Traditional Arabic" w:cs="Traditional Arabic"/>
          <w:color w:val="1A1A1A"/>
          <w:sz w:val="24"/>
          <w:szCs w:val="24"/>
          <w:rtl/>
        </w:rPr>
        <w:t xml:space="preserve">) التي يرى أنها تشكل جوهر القلق الإنساني: الموت، الحرية، العزلة الوجودية، </w:t>
      </w:r>
      <w:proofErr w:type="spellStart"/>
      <w:r>
        <w:rPr>
          <w:rFonts w:ascii="Traditional Arabic" w:eastAsia="Traditional Arabic" w:hAnsi="Traditional Arabic" w:cs="Traditional Arabic"/>
          <w:color w:val="1A1A1A"/>
          <w:sz w:val="24"/>
          <w:szCs w:val="24"/>
          <w:rtl/>
        </w:rPr>
        <w:t>واللامعنى</w:t>
      </w:r>
      <w:proofErr w:type="spellEnd"/>
      <w:r>
        <w:rPr>
          <w:rFonts w:ascii="Traditional Arabic" w:eastAsia="Traditional Arabic" w:hAnsi="Traditional Arabic" w:cs="Traditional Arabic"/>
          <w:color w:val="1A1A1A"/>
          <w:sz w:val="24"/>
          <w:szCs w:val="24"/>
          <w:rtl/>
        </w:rPr>
        <w:t xml:space="preserve">. ويحتل الموت، في هذا الإطار، موقع الاهتمام الأول والأكثر جذرية، بوصفه الحقيقة التي يتشكل حولها القلق الأساسي، والتي تتخذ منها الدفاعات النفسية أشكالاً متعددة، أبرزها ما يسميه </w:t>
      </w:r>
      <w:proofErr w:type="spellStart"/>
      <w:r>
        <w:rPr>
          <w:rFonts w:ascii="Traditional Arabic" w:eastAsia="Traditional Arabic" w:hAnsi="Traditional Arabic" w:cs="Traditional Arabic"/>
          <w:color w:val="1A1A1A"/>
          <w:sz w:val="24"/>
          <w:szCs w:val="24"/>
          <w:rtl/>
        </w:rPr>
        <w:t>يالوم</w:t>
      </w:r>
      <w:proofErr w:type="spellEnd"/>
      <w:r>
        <w:rPr>
          <w:rFonts w:ascii="Traditional Arabic" w:eastAsia="Traditional Arabic" w:hAnsi="Traditional Arabic" w:cs="Traditional Arabic"/>
          <w:color w:val="1A1A1A"/>
          <w:sz w:val="24"/>
          <w:szCs w:val="24"/>
          <w:rtl/>
        </w:rPr>
        <w:t xml:space="preserve"> "اعتقاد التفرد الشخصي" (</w:t>
      </w:r>
      <w:proofErr w:type="spellStart"/>
      <w:r>
        <w:rPr>
          <w:rFonts w:ascii="Traditional Arabic" w:eastAsia="Traditional Arabic" w:hAnsi="Traditional Arabic" w:cs="Traditional Arabic"/>
          <w:color w:val="1A1A1A"/>
          <w:sz w:val="24"/>
          <w:szCs w:val="24"/>
          <w:rtl/>
        </w:rPr>
        <w:t>belief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personal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specialness</w:t>
      </w:r>
      <w:proofErr w:type="spellEnd"/>
      <w:r>
        <w:rPr>
          <w:rFonts w:ascii="Traditional Arabic" w:eastAsia="Traditional Arabic" w:hAnsi="Traditional Arabic" w:cs="Traditional Arabic"/>
          <w:color w:val="1A1A1A"/>
          <w:sz w:val="24"/>
          <w:szCs w:val="24"/>
          <w:rtl/>
        </w:rPr>
        <w:t>) و"الإيمان بالمنقذ النهائي" (</w:t>
      </w:r>
      <w:proofErr w:type="spellStart"/>
      <w:r>
        <w:rPr>
          <w:rFonts w:ascii="Traditional Arabic" w:eastAsia="Traditional Arabic" w:hAnsi="Traditional Arabic" w:cs="Traditional Arabic"/>
          <w:color w:val="1A1A1A"/>
          <w:sz w:val="24"/>
          <w:szCs w:val="24"/>
          <w:rtl/>
        </w:rPr>
        <w:t>belief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ultimate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rescuer</w:t>
      </w:r>
      <w:proofErr w:type="spellEnd"/>
      <w:r>
        <w:rPr>
          <w:rFonts w:ascii="Traditional Arabic" w:eastAsia="Traditional Arabic" w:hAnsi="Traditional Arabic" w:cs="Traditional Arabic"/>
          <w:color w:val="1A1A1A"/>
          <w:sz w:val="24"/>
          <w:szCs w:val="24"/>
          <w:rtl/>
        </w:rPr>
        <w:t>)، وكلاهما آليتا إنكار لا مواجهة حقيقية.</w:t>
      </w:r>
    </w:p>
    <w:p w14:paraId="299FAD0E"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ويدعو </w:t>
      </w:r>
      <w:proofErr w:type="spellStart"/>
      <w:r>
        <w:rPr>
          <w:rFonts w:ascii="Traditional Arabic" w:eastAsia="Traditional Arabic" w:hAnsi="Traditional Arabic" w:cs="Traditional Arabic"/>
          <w:color w:val="1A1A1A"/>
          <w:sz w:val="24"/>
          <w:szCs w:val="24"/>
          <w:rtl/>
        </w:rPr>
        <w:t>يالوم</w:t>
      </w:r>
      <w:proofErr w:type="spellEnd"/>
      <w:r>
        <w:rPr>
          <w:rFonts w:ascii="Traditional Arabic" w:eastAsia="Traditional Arabic" w:hAnsi="Traditional Arabic" w:cs="Traditional Arabic"/>
          <w:color w:val="1A1A1A"/>
          <w:sz w:val="24"/>
          <w:szCs w:val="24"/>
          <w:rtl/>
        </w:rPr>
        <w:t>، في كتابه اللاحق "التحديق في الشمس" (</w:t>
      </w:r>
      <w:proofErr w:type="spellStart"/>
      <w:r>
        <w:rPr>
          <w:rFonts w:ascii="Traditional Arabic" w:eastAsia="Traditional Arabic" w:hAnsi="Traditional Arabic" w:cs="Traditional Arabic"/>
          <w:color w:val="1A1A1A"/>
          <w:sz w:val="24"/>
          <w:szCs w:val="24"/>
          <w:rtl/>
        </w:rPr>
        <w:t>Staring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Sun</w:t>
      </w:r>
      <w:proofErr w:type="spellEnd"/>
      <w:r>
        <w:rPr>
          <w:rFonts w:ascii="Traditional Arabic" w:eastAsia="Traditional Arabic" w:hAnsi="Traditional Arabic" w:cs="Traditional Arabic"/>
          <w:color w:val="1A1A1A"/>
          <w:sz w:val="24"/>
          <w:szCs w:val="24"/>
          <w:rtl/>
        </w:rPr>
        <w:t>, 2008)، إلى ما يسميه "يقظة الموت" (</w:t>
      </w:r>
      <w:proofErr w:type="spellStart"/>
      <w:r>
        <w:rPr>
          <w:rFonts w:ascii="Traditional Arabic" w:eastAsia="Traditional Arabic" w:hAnsi="Traditional Arabic" w:cs="Traditional Arabic"/>
          <w:color w:val="1A1A1A"/>
          <w:sz w:val="24"/>
          <w:szCs w:val="24"/>
          <w:rtl/>
        </w:rPr>
        <w:t>death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awakening</w:t>
      </w:r>
      <w:proofErr w:type="spellEnd"/>
      <w:r>
        <w:rPr>
          <w:rFonts w:ascii="Traditional Arabic" w:eastAsia="Traditional Arabic" w:hAnsi="Traditional Arabic" w:cs="Traditional Arabic"/>
          <w:color w:val="1A1A1A"/>
          <w:sz w:val="24"/>
          <w:szCs w:val="24"/>
          <w:rtl/>
        </w:rPr>
        <w:t>)، أي استثمار مواجهة الموت — لا الهروب منها — كحافز لعيش حياة أكثر أصالة وحضوراً. ويستعير هنا مفهوم "التموّج" (</w:t>
      </w:r>
      <w:proofErr w:type="spellStart"/>
      <w:r>
        <w:rPr>
          <w:rFonts w:ascii="Traditional Arabic" w:eastAsia="Traditional Arabic" w:hAnsi="Traditional Arabic" w:cs="Traditional Arabic"/>
          <w:color w:val="1A1A1A"/>
          <w:sz w:val="24"/>
          <w:szCs w:val="24"/>
          <w:rtl/>
        </w:rPr>
        <w:t>rippling</w:t>
      </w:r>
      <w:proofErr w:type="spellEnd"/>
      <w:r>
        <w:rPr>
          <w:rFonts w:ascii="Traditional Arabic" w:eastAsia="Traditional Arabic" w:hAnsi="Traditional Arabic" w:cs="Traditional Arabic"/>
          <w:color w:val="1A1A1A"/>
          <w:sz w:val="24"/>
          <w:szCs w:val="24"/>
          <w:rtl/>
        </w:rPr>
        <w:t>)، وهو الأثر الذي يتركه الفرد في حياة الآخرين ويستمر بعد موته، كمصدر بديل للمعنى في غياب أي يقين ميتافيزيقي بالخلود.</w:t>
      </w:r>
    </w:p>
    <w:p w14:paraId="6DBEB359" w14:textId="6406B77E" w:rsidR="00A5712B" w:rsidRDefault="00C70D44">
      <w:pPr>
        <w:spacing w:after="200" w:line="340" w:lineRule="auto"/>
        <w:jc w:val="both"/>
      </w:pPr>
      <w:r>
        <w:rPr>
          <w:rFonts w:ascii="Traditional Arabic" w:eastAsia="Traditional Arabic" w:hAnsi="Traditional Arabic" w:cs="Traditional Arabic"/>
          <w:color w:val="1A1A1A"/>
          <w:sz w:val="24"/>
          <w:szCs w:val="24"/>
          <w:rtl/>
        </w:rPr>
        <w:t>ومع تقدي</w:t>
      </w:r>
      <w:r w:rsidR="00BC62AD">
        <w:rPr>
          <w:rFonts w:ascii="Traditional Arabic" w:eastAsia="Traditional Arabic" w:hAnsi="Traditional Arabic" w:cs="Traditional Arabic" w:hint="cs"/>
          <w:color w:val="1A1A1A"/>
          <w:sz w:val="24"/>
          <w:szCs w:val="24"/>
          <w:rtl/>
        </w:rPr>
        <w:t>رنا</w:t>
      </w:r>
      <w:r>
        <w:rPr>
          <w:rFonts w:ascii="Traditional Arabic" w:eastAsia="Traditional Arabic" w:hAnsi="Traditional Arabic" w:cs="Traditional Arabic"/>
          <w:color w:val="1A1A1A"/>
          <w:sz w:val="24"/>
          <w:szCs w:val="24"/>
          <w:rtl/>
        </w:rPr>
        <w:t xml:space="preserve"> لعمق هذه المقاربة الإكلينيكية </w:t>
      </w:r>
      <w:proofErr w:type="spellStart"/>
      <w:r>
        <w:rPr>
          <w:rFonts w:ascii="Traditional Arabic" w:eastAsia="Traditional Arabic" w:hAnsi="Traditional Arabic" w:cs="Traditional Arabic"/>
          <w:color w:val="1A1A1A"/>
          <w:sz w:val="24"/>
          <w:szCs w:val="24"/>
          <w:rtl/>
        </w:rPr>
        <w:t>وواقعيتها</w:t>
      </w:r>
      <w:proofErr w:type="spellEnd"/>
      <w:r>
        <w:rPr>
          <w:rFonts w:ascii="Traditional Arabic" w:eastAsia="Traditional Arabic" w:hAnsi="Traditional Arabic" w:cs="Traditional Arabic"/>
          <w:color w:val="1A1A1A"/>
          <w:sz w:val="24"/>
          <w:szCs w:val="24"/>
          <w:rtl/>
        </w:rPr>
        <w:t xml:space="preserve"> العلاجية، فإنه يسجل عليها ملاحظة جوهرية: أن "التموّج" حل رمزي لا وجودي، إذ هو خلود في ذاكرة الآخرين لا خلود حقيقي للذات الواعية، وهو بذلك تعويض نفسي عن غياب اليقين، لا حل لأصل المشكلة. وهنا يكمن، في نظر الزراع، الفارق الحاسم بين "إدارة القلق من الموت" (وهو ما يقدمه العلاج الوجودي) </w:t>
      </w:r>
      <w:proofErr w:type="spellStart"/>
      <w:r>
        <w:rPr>
          <w:rFonts w:ascii="Traditional Arabic" w:eastAsia="Traditional Arabic" w:hAnsi="Traditional Arabic" w:cs="Traditional Arabic"/>
          <w:color w:val="1A1A1A"/>
          <w:sz w:val="24"/>
          <w:szCs w:val="24"/>
          <w:rtl/>
        </w:rPr>
        <w:t>و"حل</w:t>
      </w:r>
      <w:proofErr w:type="spellEnd"/>
      <w:r>
        <w:rPr>
          <w:rFonts w:ascii="Traditional Arabic" w:eastAsia="Traditional Arabic" w:hAnsi="Traditional Arabic" w:cs="Traditional Arabic"/>
          <w:color w:val="1A1A1A"/>
          <w:sz w:val="24"/>
          <w:szCs w:val="24"/>
          <w:rtl/>
        </w:rPr>
        <w:t xml:space="preserve"> معضلة الموت" (وهو ما يقدمه اليقين الإيماني وحده) [210، 211].</w:t>
      </w:r>
    </w:p>
    <w:p w14:paraId="47F33F30"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 xml:space="preserve">2.2 </w:t>
      </w:r>
      <w:proofErr w:type="spellStart"/>
      <w:r>
        <w:rPr>
          <w:rFonts w:ascii="Traditional Arabic" w:eastAsia="Traditional Arabic" w:hAnsi="Traditional Arabic" w:cs="Traditional Arabic"/>
          <w:b/>
          <w:bCs/>
          <w:color w:val="0F6466"/>
          <w:sz w:val="28"/>
          <w:szCs w:val="28"/>
          <w:rtl/>
        </w:rPr>
        <w:t>إرنست</w:t>
      </w:r>
      <w:proofErr w:type="spellEnd"/>
      <w:r>
        <w:rPr>
          <w:rFonts w:ascii="Traditional Arabic" w:eastAsia="Traditional Arabic" w:hAnsi="Traditional Arabic" w:cs="Traditional Arabic"/>
          <w:b/>
          <w:bCs/>
          <w:color w:val="0F6466"/>
          <w:sz w:val="28"/>
          <w:szCs w:val="28"/>
          <w:rtl/>
        </w:rPr>
        <w:t xml:space="preserve"> بيكر ونظرية إدارة الرعب: من إنكار الموت إلى الأدلة التجريبية</w:t>
      </w:r>
    </w:p>
    <w:p w14:paraId="59CBF6D1"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يشكل كتاب </w:t>
      </w:r>
      <w:proofErr w:type="spellStart"/>
      <w:r>
        <w:rPr>
          <w:rFonts w:ascii="Traditional Arabic" w:eastAsia="Traditional Arabic" w:hAnsi="Traditional Arabic" w:cs="Traditional Arabic"/>
          <w:color w:val="1A1A1A"/>
          <w:sz w:val="24"/>
          <w:szCs w:val="24"/>
          <w:rtl/>
        </w:rPr>
        <w:t>إرنست</w:t>
      </w:r>
      <w:proofErr w:type="spellEnd"/>
      <w:r>
        <w:rPr>
          <w:rFonts w:ascii="Traditional Arabic" w:eastAsia="Traditional Arabic" w:hAnsi="Traditional Arabic" w:cs="Traditional Arabic"/>
          <w:color w:val="1A1A1A"/>
          <w:sz w:val="24"/>
          <w:szCs w:val="24"/>
          <w:rtl/>
        </w:rPr>
        <w:t xml:space="preserve"> بيكر (</w:t>
      </w:r>
      <w:proofErr w:type="spellStart"/>
      <w:r>
        <w:rPr>
          <w:rFonts w:ascii="Traditional Arabic" w:eastAsia="Traditional Arabic" w:hAnsi="Traditional Arabic" w:cs="Traditional Arabic"/>
          <w:color w:val="1A1A1A"/>
          <w:sz w:val="24"/>
          <w:szCs w:val="24"/>
          <w:rtl/>
        </w:rPr>
        <w:t>Ernest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Becker</w:t>
      </w:r>
      <w:proofErr w:type="spellEnd"/>
      <w:r>
        <w:rPr>
          <w:rFonts w:ascii="Traditional Arabic" w:eastAsia="Traditional Arabic" w:hAnsi="Traditional Arabic" w:cs="Traditional Arabic"/>
          <w:color w:val="1A1A1A"/>
          <w:sz w:val="24"/>
          <w:szCs w:val="24"/>
          <w:rtl/>
        </w:rPr>
        <w:t>) "إنكار الموت"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Denial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Death</w:t>
      </w:r>
      <w:proofErr w:type="spellEnd"/>
      <w:r>
        <w:rPr>
          <w:rFonts w:ascii="Traditional Arabic" w:eastAsia="Traditional Arabic" w:hAnsi="Traditional Arabic" w:cs="Traditional Arabic"/>
          <w:color w:val="1A1A1A"/>
          <w:sz w:val="24"/>
          <w:szCs w:val="24"/>
          <w:rtl/>
        </w:rPr>
        <w:t xml:space="preserve">, 1973) — الحائز على جائزة </w:t>
      </w:r>
      <w:proofErr w:type="spellStart"/>
      <w:r>
        <w:rPr>
          <w:rFonts w:ascii="Traditional Arabic" w:eastAsia="Traditional Arabic" w:hAnsi="Traditional Arabic" w:cs="Traditional Arabic"/>
          <w:color w:val="1A1A1A"/>
          <w:sz w:val="24"/>
          <w:szCs w:val="24"/>
          <w:rtl/>
        </w:rPr>
        <w:t>بوليتزر</w:t>
      </w:r>
      <w:proofErr w:type="spellEnd"/>
      <w:r>
        <w:rPr>
          <w:rFonts w:ascii="Traditional Arabic" w:eastAsia="Traditional Arabic" w:hAnsi="Traditional Arabic" w:cs="Traditional Arabic"/>
          <w:color w:val="1A1A1A"/>
          <w:sz w:val="24"/>
          <w:szCs w:val="24"/>
          <w:rtl/>
        </w:rPr>
        <w:t xml:space="preserve"> — حجر الأساس لما تطور لاحقاً إلى "نظرية إدارة الرعب" (</w:t>
      </w:r>
      <w:proofErr w:type="spellStart"/>
      <w:r>
        <w:rPr>
          <w:rFonts w:ascii="Traditional Arabic" w:eastAsia="Traditional Arabic" w:hAnsi="Traditional Arabic" w:cs="Traditional Arabic"/>
          <w:color w:val="1A1A1A"/>
          <w:sz w:val="24"/>
          <w:szCs w:val="24"/>
          <w:rtl/>
        </w:rPr>
        <w:t>Terror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Management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Theory</w:t>
      </w:r>
      <w:proofErr w:type="spellEnd"/>
      <w:r>
        <w:rPr>
          <w:rFonts w:ascii="Traditional Arabic" w:eastAsia="Traditional Arabic" w:hAnsi="Traditional Arabic" w:cs="Traditional Arabic"/>
          <w:color w:val="1A1A1A"/>
          <w:sz w:val="24"/>
          <w:szCs w:val="24"/>
          <w:rtl/>
        </w:rPr>
        <w:t xml:space="preserve"> - TMT) على يد </w:t>
      </w:r>
      <w:proofErr w:type="spellStart"/>
      <w:r>
        <w:rPr>
          <w:rFonts w:ascii="Traditional Arabic" w:eastAsia="Traditional Arabic" w:hAnsi="Traditional Arabic" w:cs="Traditional Arabic"/>
          <w:color w:val="1A1A1A"/>
          <w:sz w:val="24"/>
          <w:szCs w:val="24"/>
          <w:rtl/>
        </w:rPr>
        <w:t>شيلدون</w:t>
      </w:r>
      <w:proofErr w:type="spellEnd"/>
      <w:r>
        <w:rPr>
          <w:rFonts w:ascii="Traditional Arabic" w:eastAsia="Traditional Arabic" w:hAnsi="Traditional Arabic" w:cs="Traditional Arabic"/>
          <w:color w:val="1A1A1A"/>
          <w:sz w:val="24"/>
          <w:szCs w:val="24"/>
          <w:rtl/>
        </w:rPr>
        <w:t xml:space="preserve"> سولومون وجيف </w:t>
      </w:r>
      <w:proofErr w:type="spellStart"/>
      <w:r>
        <w:rPr>
          <w:rFonts w:ascii="Traditional Arabic" w:eastAsia="Traditional Arabic" w:hAnsi="Traditional Arabic" w:cs="Traditional Arabic"/>
          <w:color w:val="1A1A1A"/>
          <w:sz w:val="24"/>
          <w:szCs w:val="24"/>
          <w:rtl/>
        </w:rPr>
        <w:t>غرينبرغ</w:t>
      </w:r>
      <w:proofErr w:type="spellEnd"/>
      <w:r>
        <w:rPr>
          <w:rFonts w:ascii="Traditional Arabic" w:eastAsia="Traditional Arabic" w:hAnsi="Traditional Arabic" w:cs="Traditional Arabic"/>
          <w:color w:val="1A1A1A"/>
          <w:sz w:val="24"/>
          <w:szCs w:val="24"/>
          <w:rtl/>
        </w:rPr>
        <w:t xml:space="preserve"> وتوم </w:t>
      </w:r>
      <w:proofErr w:type="spellStart"/>
      <w:r>
        <w:rPr>
          <w:rFonts w:ascii="Traditional Arabic" w:eastAsia="Traditional Arabic" w:hAnsi="Traditional Arabic" w:cs="Traditional Arabic"/>
          <w:color w:val="1A1A1A"/>
          <w:sz w:val="24"/>
          <w:szCs w:val="24"/>
          <w:rtl/>
        </w:rPr>
        <w:t>بيشتشنسكي</w:t>
      </w:r>
      <w:proofErr w:type="spellEnd"/>
      <w:r>
        <w:rPr>
          <w:rFonts w:ascii="Traditional Arabic" w:eastAsia="Traditional Arabic" w:hAnsi="Traditional Arabic" w:cs="Traditional Arabic"/>
          <w:color w:val="1A1A1A"/>
          <w:sz w:val="24"/>
          <w:szCs w:val="24"/>
          <w:rtl/>
        </w:rPr>
        <w:t>. وتفترض هذه النظرية أن الوعي الفريد بحتمية الموت لدى الإنسان يولّد "رعباً" وجودياً كامناً، يدفع الأفراد — دون وعي غالباً — إلى الانخراط في مشاريع "الخلود الرمزي" (</w:t>
      </w:r>
      <w:proofErr w:type="spellStart"/>
      <w:r>
        <w:rPr>
          <w:rFonts w:ascii="Traditional Arabic" w:eastAsia="Traditional Arabic" w:hAnsi="Traditional Arabic" w:cs="Traditional Arabic"/>
          <w:color w:val="1A1A1A"/>
          <w:sz w:val="24"/>
          <w:szCs w:val="24"/>
          <w:rtl/>
        </w:rPr>
        <w:t>symbolic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immortality</w:t>
      </w:r>
      <w:proofErr w:type="spellEnd"/>
      <w:r>
        <w:rPr>
          <w:rFonts w:ascii="Traditional Arabic" w:eastAsia="Traditional Arabic" w:hAnsi="Traditional Arabic" w:cs="Traditional Arabic"/>
          <w:color w:val="1A1A1A"/>
          <w:sz w:val="24"/>
          <w:szCs w:val="24"/>
          <w:rtl/>
        </w:rPr>
        <w:t>)، سواء عبر الانتماء إلى أنساق ثقافية تمنح الحياة معنى يتجاوز الفرد (الأمة، الدين، الأيديولوجيا، الإنجاز الفني أو العلمي)، أو عبر تعزيز تقدير الذات باعتباره درعاً نفسياً واقياً من هذا القلق.</w:t>
      </w:r>
    </w:p>
    <w:p w14:paraId="00C89CBA"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واللافت أن نظرية إدارة الرعب اعتمدت على برنامج بحثي تجريبي واسع اختبر ما يُعرف بـ"فرضية الإبراز الميتي" (</w:t>
      </w:r>
      <w:proofErr w:type="spellStart"/>
      <w:r>
        <w:rPr>
          <w:rFonts w:ascii="Traditional Arabic" w:eastAsia="Traditional Arabic" w:hAnsi="Traditional Arabic" w:cs="Traditional Arabic"/>
          <w:color w:val="1A1A1A"/>
          <w:sz w:val="24"/>
          <w:szCs w:val="24"/>
          <w:rtl/>
        </w:rPr>
        <w:t>Mortality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Salience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Hypothesis</w:t>
      </w:r>
      <w:proofErr w:type="spellEnd"/>
      <w:r>
        <w:rPr>
          <w:rFonts w:ascii="Traditional Arabic" w:eastAsia="Traditional Arabic" w:hAnsi="Traditional Arabic" w:cs="Traditional Arabic"/>
          <w:color w:val="1A1A1A"/>
          <w:sz w:val="24"/>
          <w:szCs w:val="24"/>
          <w:rtl/>
        </w:rPr>
        <w:t>)، والتي أظهرت في عشرات الدراسات أن تذكير الأفراد بموتهم يعزز تشبثهم بقيمهم الثقافية ويزيد من ميلهم إلى الدفاع عنها بعدائية تجاه من يخالفها. وهذا المعطى التجريبي، كما يلاحظ الزراع، يقدم شاهداً غير مباشر لكن قوياً على صحة الأطروحة الاستخلافية: فما دامت مواجهة الموت — في غياب يقين متعالٍ — تنتج تعصباً دفاعياً وقلقاً مكتوماً، فإن هذا يؤكد أن النفس البشرية مفطورة على الحاجة إلى معنى يتجاوز حدود المادة، وأن إشباع هذه الحاجة برموز ثقافية بديلة (الأمة، الإنجاز، الشهرة) هو بمثابة تسكين مؤقت لا شفاء جذري، بخلاف اليقين بالآخرة الذي يعالج الجذر لا العرض فحسب [236].</w:t>
      </w:r>
    </w:p>
    <w:p w14:paraId="2B313528" w14:textId="77777777" w:rsidR="00A5712B" w:rsidRDefault="00C70D44">
      <w:r>
        <w:br w:type="page"/>
      </w:r>
    </w:p>
    <w:p w14:paraId="19D1121B"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الفصل الثالث: أنطولوجيا الموت في التراث الإسلامي — توسيع تأصيلي</w:t>
      </w:r>
    </w:p>
    <w:p w14:paraId="04B05B3C"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 xml:space="preserve">3.1 </w:t>
      </w:r>
      <w:proofErr w:type="spellStart"/>
      <w:r>
        <w:rPr>
          <w:rFonts w:ascii="Traditional Arabic" w:eastAsia="Traditional Arabic" w:hAnsi="Traditional Arabic" w:cs="Traditional Arabic"/>
          <w:b/>
          <w:bCs/>
          <w:color w:val="0F6466"/>
          <w:sz w:val="28"/>
          <w:szCs w:val="28"/>
          <w:rtl/>
        </w:rPr>
        <w:t>التوفي</w:t>
      </w:r>
      <w:proofErr w:type="spellEnd"/>
      <w:r>
        <w:rPr>
          <w:rFonts w:ascii="Traditional Arabic" w:eastAsia="Traditional Arabic" w:hAnsi="Traditional Arabic" w:cs="Traditional Arabic"/>
          <w:b/>
          <w:bCs/>
          <w:color w:val="0F6466"/>
          <w:sz w:val="28"/>
          <w:szCs w:val="28"/>
          <w:rtl/>
        </w:rPr>
        <w:t>: البنية الدلالية للفعل القرآني</w:t>
      </w:r>
    </w:p>
    <w:p w14:paraId="7CA8B837"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يتوقف الزراع مطولاً عند الدقة الدلالية لاختيار القرآن الكريم لفظ "</w:t>
      </w:r>
      <w:proofErr w:type="spellStart"/>
      <w:r>
        <w:rPr>
          <w:rFonts w:ascii="Traditional Arabic" w:eastAsia="Traditional Arabic" w:hAnsi="Traditional Arabic" w:cs="Traditional Arabic"/>
          <w:color w:val="1A1A1A"/>
          <w:sz w:val="24"/>
          <w:szCs w:val="24"/>
          <w:rtl/>
        </w:rPr>
        <w:t>التوفي</w:t>
      </w:r>
      <w:proofErr w:type="spellEnd"/>
      <w:r>
        <w:rPr>
          <w:rFonts w:ascii="Traditional Arabic" w:eastAsia="Traditional Arabic" w:hAnsi="Traditional Arabic" w:cs="Traditional Arabic"/>
          <w:color w:val="1A1A1A"/>
          <w:sz w:val="24"/>
          <w:szCs w:val="24"/>
          <w:rtl/>
        </w:rPr>
        <w:t>" للدلالة على الموت، بدل ألفاظ أخرى كانت متاحة في اللغة كـ"الفناء" أو "الهلاك" أو "العدم". فالفعل "وفّى" في أصله اللغوي يدل على أخذ الشيء كاملاً غير منقوص، كما في قوله تعالى: {وَأَوْفُوا الْكَيْلَ إِذَا كِلْتُمْ}، وهذا يعني أن "</w:t>
      </w:r>
      <w:proofErr w:type="spellStart"/>
      <w:r>
        <w:rPr>
          <w:rFonts w:ascii="Traditional Arabic" w:eastAsia="Traditional Arabic" w:hAnsi="Traditional Arabic" w:cs="Traditional Arabic"/>
          <w:color w:val="1A1A1A"/>
          <w:sz w:val="24"/>
          <w:szCs w:val="24"/>
          <w:rtl/>
        </w:rPr>
        <w:t>التوفي</w:t>
      </w:r>
      <w:proofErr w:type="spellEnd"/>
      <w:r>
        <w:rPr>
          <w:rFonts w:ascii="Traditional Arabic" w:eastAsia="Traditional Arabic" w:hAnsi="Traditional Arabic" w:cs="Traditional Arabic"/>
          <w:color w:val="1A1A1A"/>
          <w:sz w:val="24"/>
          <w:szCs w:val="24"/>
          <w:rtl/>
        </w:rPr>
        <w:t xml:space="preserve">" ليس تبديداً أو إفناءً، بل هو "قبضٌ" </w:t>
      </w:r>
      <w:proofErr w:type="spellStart"/>
      <w:r>
        <w:rPr>
          <w:rFonts w:ascii="Traditional Arabic" w:eastAsia="Traditional Arabic" w:hAnsi="Traditional Arabic" w:cs="Traditional Arabic"/>
          <w:color w:val="1A1A1A"/>
          <w:sz w:val="24"/>
          <w:szCs w:val="24"/>
          <w:rtl/>
        </w:rPr>
        <w:t>و"استيفاءٌ</w:t>
      </w:r>
      <w:proofErr w:type="spellEnd"/>
      <w:r>
        <w:rPr>
          <w:rFonts w:ascii="Traditional Arabic" w:eastAsia="Traditional Arabic" w:hAnsi="Traditional Arabic" w:cs="Traditional Arabic"/>
          <w:color w:val="1A1A1A"/>
          <w:sz w:val="24"/>
          <w:szCs w:val="24"/>
          <w:rtl/>
        </w:rPr>
        <w:t>" كامل للروح من قِبَل من وهبها ابتداءً. وهذا الاختيار اللفظي، كما يُحلل الزراع، يحمل دلالة أنطولوجية عميقة: أن الروح لا تتبدد عند الموت، بل تُقبض وتُحفظ كاملة، تمهيداً لإعادتها في نشأة أخرى.</w:t>
      </w:r>
    </w:p>
    <w:tbl>
      <w:tblPr>
        <w:tblW w:w="5000" w:type="pct"/>
        <w:jc w:val="center"/>
        <w:tblBorders>
          <w:top w:val="single" w:sz="16" w:space="0" w:color="C9A227"/>
          <w:left w:val="single" w:sz="16" w:space="0" w:color="C9A227"/>
          <w:bottom w:val="single" w:sz="16" w:space="0" w:color="C9A227"/>
          <w:right w:val="single" w:sz="16" w:space="0" w:color="C9A22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A5712B" w14:paraId="3AD48F4F" w14:textId="77777777">
        <w:trPr>
          <w:jc w:val="center"/>
        </w:trPr>
        <w:tc>
          <w:tcPr>
            <w:tcW w:w="0" w:type="auto"/>
            <w:shd w:val="clear" w:color="auto" w:fill="F4ECD8"/>
            <w:tcMar>
              <w:top w:w="200" w:type="dxa"/>
              <w:left w:w="300" w:type="dxa"/>
              <w:bottom w:w="200" w:type="dxa"/>
              <w:right w:w="300" w:type="dxa"/>
            </w:tcMar>
            <w:vAlign w:val="center"/>
          </w:tcPr>
          <w:p w14:paraId="6FB00D00" w14:textId="77777777" w:rsidR="00A5712B" w:rsidRDefault="00C70D44">
            <w:pPr>
              <w:spacing w:after="100"/>
              <w:jc w:val="center"/>
            </w:pPr>
            <w:r>
              <w:rPr>
                <w:rFonts w:ascii="Traditional Arabic" w:eastAsia="Traditional Arabic" w:hAnsi="Traditional Arabic" w:cs="Traditional Arabic"/>
                <w:b/>
                <w:bCs/>
                <w:color w:val="1B2A4A"/>
                <w:sz w:val="28"/>
                <w:szCs w:val="28"/>
                <w:rtl/>
              </w:rPr>
              <w:t xml:space="preserve">قُلْ يَتَوَفَّاكُم مَّلَكُ الْمَوْتِ الَّذِي وُكِّلَ بِكُمْ ثُمَّ </w:t>
            </w:r>
            <w:proofErr w:type="spellStart"/>
            <w:r>
              <w:rPr>
                <w:rFonts w:ascii="Traditional Arabic" w:eastAsia="Traditional Arabic" w:hAnsi="Traditional Arabic" w:cs="Traditional Arabic"/>
                <w:b/>
                <w:bCs/>
                <w:color w:val="1B2A4A"/>
                <w:sz w:val="28"/>
                <w:szCs w:val="28"/>
                <w:rtl/>
              </w:rPr>
              <w:t>إِلَىٰ</w:t>
            </w:r>
            <w:proofErr w:type="spellEnd"/>
            <w:r>
              <w:rPr>
                <w:rFonts w:ascii="Traditional Arabic" w:eastAsia="Traditional Arabic" w:hAnsi="Traditional Arabic" w:cs="Traditional Arabic"/>
                <w:b/>
                <w:bCs/>
                <w:color w:val="1B2A4A"/>
                <w:sz w:val="28"/>
                <w:szCs w:val="28"/>
                <w:rtl/>
              </w:rPr>
              <w:t xml:space="preserve"> رَبِّكُمْ تُرْجَعُونَ</w:t>
            </w:r>
          </w:p>
          <w:p w14:paraId="4FEFBA8D" w14:textId="77777777" w:rsidR="00A5712B" w:rsidRDefault="00C70D44">
            <w:pPr>
              <w:jc w:val="center"/>
            </w:pPr>
            <w:r>
              <w:rPr>
                <w:rFonts w:ascii="Traditional Arabic" w:eastAsia="Traditional Arabic" w:hAnsi="Traditional Arabic" w:cs="Traditional Arabic"/>
                <w:i/>
                <w:iCs/>
                <w:color w:val="0F6466"/>
                <w:rtl/>
              </w:rPr>
              <w:t>[السجدة: 11]</w:t>
            </w:r>
          </w:p>
        </w:tc>
      </w:tr>
    </w:tbl>
    <w:p w14:paraId="078AAC9C" w14:textId="77777777" w:rsidR="00A5712B" w:rsidRDefault="00A5712B">
      <w:pPr>
        <w:spacing w:after="160"/>
      </w:pPr>
    </w:p>
    <w:p w14:paraId="6E0C8727"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3.2 البرزخ: العتبة الوسيطة بين الدارين</w:t>
      </w:r>
    </w:p>
    <w:p w14:paraId="71A9E2FE"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يشغل مفهوم "البرزخ" — كما استقصاه ابن القيم الجوزية في كتابه "الروح" — مكانة مركزية في استكمال الأنطولوجيا الاستخلافية للموت، إذ هو المرحلة الوسيطة الممتدة بين الموت وقيام الساعة، والتي تشهد فيها الروح تنعماً أو عذاباً بحسب ما قدّمت. ويستعيد الزراع هذا المفهوم لبيان أن التصور القرآني للموت ليس ثنائياً حاداً (حياة/عدم)، بل هو تصور مرحلي متدرج: حياة دنيا، فبرزخ، فبعث، فحساب، فمآل أبدي. وهذا التدرج، كما يعلّق، ينسجم مع البنية العامة للنظرية الاستخلافية القائمة على مفهوم "الرحلة" (المسار الاستخلافي) لا "اللحظة المنعزلة".</w:t>
      </w:r>
    </w:p>
    <w:tbl>
      <w:tblPr>
        <w:tblW w:w="5000" w:type="pct"/>
        <w:jc w:val="center"/>
        <w:tblBorders>
          <w:top w:val="single" w:sz="16" w:space="0" w:color="C9A227"/>
          <w:left w:val="single" w:sz="16" w:space="0" w:color="C9A227"/>
          <w:bottom w:val="single" w:sz="16" w:space="0" w:color="C9A227"/>
          <w:right w:val="single" w:sz="16" w:space="0" w:color="C9A22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A5712B" w14:paraId="12F33351" w14:textId="77777777">
        <w:trPr>
          <w:jc w:val="center"/>
        </w:trPr>
        <w:tc>
          <w:tcPr>
            <w:tcW w:w="0" w:type="auto"/>
            <w:shd w:val="clear" w:color="auto" w:fill="F4ECD8"/>
            <w:tcMar>
              <w:top w:w="200" w:type="dxa"/>
              <w:left w:w="300" w:type="dxa"/>
              <w:bottom w:w="200" w:type="dxa"/>
              <w:right w:w="300" w:type="dxa"/>
            </w:tcMar>
            <w:vAlign w:val="center"/>
          </w:tcPr>
          <w:p w14:paraId="1D7625D5" w14:textId="77777777" w:rsidR="00A5712B" w:rsidRDefault="00C70D44">
            <w:pPr>
              <w:spacing w:after="100"/>
              <w:jc w:val="center"/>
            </w:pPr>
            <w:r>
              <w:rPr>
                <w:rFonts w:ascii="Traditional Arabic" w:eastAsia="Traditional Arabic" w:hAnsi="Traditional Arabic" w:cs="Traditional Arabic"/>
                <w:b/>
                <w:bCs/>
                <w:color w:val="1B2A4A"/>
                <w:sz w:val="28"/>
                <w:szCs w:val="28"/>
                <w:rtl/>
              </w:rPr>
              <w:t xml:space="preserve">وَمِن وَرَائِهِم بَرْزَخٌ </w:t>
            </w:r>
            <w:proofErr w:type="spellStart"/>
            <w:r>
              <w:rPr>
                <w:rFonts w:ascii="Traditional Arabic" w:eastAsia="Traditional Arabic" w:hAnsi="Traditional Arabic" w:cs="Traditional Arabic"/>
                <w:b/>
                <w:bCs/>
                <w:color w:val="1B2A4A"/>
                <w:sz w:val="28"/>
                <w:szCs w:val="28"/>
                <w:rtl/>
              </w:rPr>
              <w:t>إِلَىٰ</w:t>
            </w:r>
            <w:proofErr w:type="spellEnd"/>
            <w:r>
              <w:rPr>
                <w:rFonts w:ascii="Traditional Arabic" w:eastAsia="Traditional Arabic" w:hAnsi="Traditional Arabic" w:cs="Traditional Arabic"/>
                <w:b/>
                <w:bCs/>
                <w:color w:val="1B2A4A"/>
                <w:sz w:val="28"/>
                <w:szCs w:val="28"/>
                <w:rtl/>
              </w:rPr>
              <w:t xml:space="preserve"> يَوْمِ يُبْعَثُونَ</w:t>
            </w:r>
          </w:p>
          <w:p w14:paraId="58962416" w14:textId="77777777" w:rsidR="00A5712B" w:rsidRDefault="00C70D44">
            <w:pPr>
              <w:jc w:val="center"/>
            </w:pPr>
            <w:r>
              <w:rPr>
                <w:rFonts w:ascii="Traditional Arabic" w:eastAsia="Traditional Arabic" w:hAnsi="Traditional Arabic" w:cs="Traditional Arabic"/>
                <w:i/>
                <w:iCs/>
                <w:color w:val="0F6466"/>
                <w:rtl/>
              </w:rPr>
              <w:t>[المؤمنون: 100]</w:t>
            </w:r>
          </w:p>
        </w:tc>
      </w:tr>
    </w:tbl>
    <w:p w14:paraId="17045D4E" w14:textId="77777777" w:rsidR="00A5712B" w:rsidRDefault="00A5712B">
      <w:pPr>
        <w:spacing w:after="160"/>
      </w:pPr>
    </w:p>
    <w:p w14:paraId="1D7C39A0"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3.3 الغزالي وذكر الموت: من الفقه إلى التزكية</w:t>
      </w:r>
    </w:p>
    <w:p w14:paraId="41BB831F"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يُخصص أبو حامد الغزالي في "إحياء علوم الدين" كتاباً كاملاً بعنوان "كتاب ذكر الموت وما بعده"، يقرر فيه أن الإكثار من تذكر الموت ليس تشاؤماً ولا استسلاماً للقلق، بل هو أداة تزكية نفسية تُطهّر القلب من التعلق المفرط بالدنيا، وتُعيد ترتيب الأولويات وفق ميزان الآخرة. ويستحضر الزراع هذا التراث الغزالي ليؤسس لموقف علاجي مغاير تماماً لموقف "الإنكار" الذي تسوّقه الثقافة الاستهلاكية المعاصرة: فبدل كبت فكرة الموت أو تجنبها (وهي الآلية الدفاعية التي تحذر منها نظرية إدارة الرعب ذاتها بوصفها مصدر قلق مكبوت)، يقترح التراث الإسلامي استحضاراً واعياً ومنتظماً للموت (ذكر الموت)، لكن ضمن إطار من اليقين لا القلق، مما يجعله أداة تحرر لا أداة كبت أو ترويع.</w:t>
      </w:r>
    </w:p>
    <w:p w14:paraId="51A2077D" w14:textId="77777777" w:rsidR="00A5712B" w:rsidRDefault="00C70D44">
      <w:r>
        <w:br w:type="page"/>
      </w:r>
    </w:p>
    <w:p w14:paraId="50062E56"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الفصل الرابع: تركيب مقارن — ثلاث بنى للموقف من الموت</w:t>
      </w:r>
    </w:p>
    <w:p w14:paraId="182C709D"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يقدّم الجدول التالي تركيباً مقارناً بين النماذج الثلاثة الكبرى التي تناولتها هذه الدراسة، من حيث بنيتها الافتراضية، وموقعها من القلق، ووظيفتها العلاجية أو الوجودية:</w:t>
      </w:r>
    </w:p>
    <w:p w14:paraId="7BE8E291" w14:textId="77777777" w:rsidR="00A5712B" w:rsidRDefault="00A5712B">
      <w:pPr>
        <w:spacing w:after="120"/>
      </w:pPr>
    </w:p>
    <w:tbl>
      <w:tblPr>
        <w:tblW w:w="5000" w:type="pct"/>
        <w:jc w:val="center"/>
        <w:tblBorders>
          <w:top w:val="single" w:sz="6" w:space="0" w:color="1B2A4A"/>
          <w:left w:val="single" w:sz="6" w:space="0" w:color="1B2A4A"/>
          <w:bottom w:val="single" w:sz="6" w:space="0" w:color="1B2A4A"/>
          <w:right w:val="single" w:sz="6" w:space="0" w:color="1B2A4A"/>
          <w:insideH w:val="single" w:sz="4" w:space="0" w:color="AAAAAA"/>
          <w:insideV w:val="single" w:sz="4" w:space="0" w:color="AAAAAA"/>
        </w:tblBorders>
        <w:tblCellMar>
          <w:left w:w="10" w:type="dxa"/>
          <w:right w:w="10" w:type="dxa"/>
        </w:tblCellMar>
        <w:tblLook w:val="0000" w:firstRow="0" w:lastRow="0" w:firstColumn="0" w:lastColumn="0" w:noHBand="0" w:noVBand="0"/>
      </w:tblPr>
      <w:tblGrid>
        <w:gridCol w:w="2232"/>
        <w:gridCol w:w="2229"/>
        <w:gridCol w:w="2289"/>
        <w:gridCol w:w="2260"/>
      </w:tblGrid>
      <w:tr w:rsidR="00A5712B" w14:paraId="4DE79033" w14:textId="77777777">
        <w:trPr>
          <w:tblHeader/>
          <w:jc w:val="center"/>
        </w:trPr>
        <w:tc>
          <w:tcPr>
            <w:tcW w:w="2600" w:type="dxa"/>
            <w:shd w:val="clear" w:color="auto" w:fill="1B2A4A"/>
            <w:tcMar>
              <w:top w:w="100" w:type="dxa"/>
              <w:left w:w="100" w:type="dxa"/>
              <w:bottom w:w="100" w:type="dxa"/>
              <w:right w:w="100" w:type="dxa"/>
            </w:tcMar>
            <w:vAlign w:val="center"/>
          </w:tcPr>
          <w:p w14:paraId="3048C2F9" w14:textId="77777777" w:rsidR="00A5712B" w:rsidRDefault="00C70D44">
            <w:pPr>
              <w:jc w:val="center"/>
            </w:pPr>
            <w:r>
              <w:rPr>
                <w:rFonts w:ascii="Traditional Arabic" w:eastAsia="Traditional Arabic" w:hAnsi="Traditional Arabic" w:cs="Traditional Arabic"/>
                <w:b/>
                <w:bCs/>
                <w:color w:val="FFFFFF"/>
                <w:rtl/>
              </w:rPr>
              <w:t>البُعد المقارَن</w:t>
            </w:r>
          </w:p>
        </w:tc>
        <w:tc>
          <w:tcPr>
            <w:tcW w:w="2600" w:type="dxa"/>
            <w:shd w:val="clear" w:color="auto" w:fill="1B2A4A"/>
            <w:tcMar>
              <w:top w:w="100" w:type="dxa"/>
              <w:left w:w="100" w:type="dxa"/>
              <w:bottom w:w="100" w:type="dxa"/>
              <w:right w:w="100" w:type="dxa"/>
            </w:tcMar>
            <w:vAlign w:val="center"/>
          </w:tcPr>
          <w:p w14:paraId="726C8C51" w14:textId="77777777" w:rsidR="00A5712B" w:rsidRDefault="00C70D44">
            <w:pPr>
              <w:jc w:val="center"/>
            </w:pPr>
            <w:r>
              <w:rPr>
                <w:rFonts w:ascii="Traditional Arabic" w:eastAsia="Traditional Arabic" w:hAnsi="Traditional Arabic" w:cs="Traditional Arabic"/>
                <w:b/>
                <w:bCs/>
                <w:color w:val="FFFFFF"/>
                <w:rtl/>
              </w:rPr>
              <w:t>المادية / العدمية</w:t>
            </w:r>
          </w:p>
        </w:tc>
        <w:tc>
          <w:tcPr>
            <w:tcW w:w="2600" w:type="dxa"/>
            <w:shd w:val="clear" w:color="auto" w:fill="1B2A4A"/>
            <w:tcMar>
              <w:top w:w="100" w:type="dxa"/>
              <w:left w:w="100" w:type="dxa"/>
              <w:bottom w:w="100" w:type="dxa"/>
              <w:right w:w="100" w:type="dxa"/>
            </w:tcMar>
            <w:vAlign w:val="center"/>
          </w:tcPr>
          <w:p w14:paraId="494FF2AA" w14:textId="77777777" w:rsidR="00A5712B" w:rsidRDefault="00C70D44">
            <w:pPr>
              <w:jc w:val="center"/>
            </w:pPr>
            <w:r>
              <w:rPr>
                <w:rFonts w:ascii="Traditional Arabic" w:eastAsia="Traditional Arabic" w:hAnsi="Traditional Arabic" w:cs="Traditional Arabic"/>
                <w:b/>
                <w:bCs/>
                <w:color w:val="FFFFFF"/>
                <w:rtl/>
              </w:rPr>
              <w:t>الوجودية (هايدغر/</w:t>
            </w:r>
            <w:proofErr w:type="spellStart"/>
            <w:r>
              <w:rPr>
                <w:rFonts w:ascii="Traditional Arabic" w:eastAsia="Traditional Arabic" w:hAnsi="Traditional Arabic" w:cs="Traditional Arabic"/>
                <w:b/>
                <w:bCs/>
                <w:color w:val="FFFFFF"/>
                <w:rtl/>
              </w:rPr>
              <w:t>يالوم</w:t>
            </w:r>
            <w:proofErr w:type="spellEnd"/>
            <w:r>
              <w:rPr>
                <w:rFonts w:ascii="Traditional Arabic" w:eastAsia="Traditional Arabic" w:hAnsi="Traditional Arabic" w:cs="Traditional Arabic"/>
                <w:b/>
                <w:bCs/>
                <w:color w:val="FFFFFF"/>
                <w:rtl/>
              </w:rPr>
              <w:t>)</w:t>
            </w:r>
          </w:p>
        </w:tc>
        <w:tc>
          <w:tcPr>
            <w:tcW w:w="2600" w:type="dxa"/>
            <w:shd w:val="clear" w:color="auto" w:fill="1B2A4A"/>
            <w:tcMar>
              <w:top w:w="100" w:type="dxa"/>
              <w:left w:w="100" w:type="dxa"/>
              <w:bottom w:w="100" w:type="dxa"/>
              <w:right w:w="100" w:type="dxa"/>
            </w:tcMar>
            <w:vAlign w:val="center"/>
          </w:tcPr>
          <w:p w14:paraId="1B1D4B89" w14:textId="77777777" w:rsidR="00A5712B" w:rsidRDefault="00C70D44">
            <w:pPr>
              <w:jc w:val="center"/>
            </w:pPr>
            <w:r>
              <w:rPr>
                <w:rFonts w:ascii="Traditional Arabic" w:eastAsia="Traditional Arabic" w:hAnsi="Traditional Arabic" w:cs="Traditional Arabic"/>
                <w:b/>
                <w:bCs/>
                <w:color w:val="FFFFFF"/>
                <w:rtl/>
              </w:rPr>
              <w:t>الاستخلافية</w:t>
            </w:r>
          </w:p>
        </w:tc>
      </w:tr>
      <w:tr w:rsidR="00A5712B" w14:paraId="6D4AF8EA" w14:textId="77777777">
        <w:trPr>
          <w:jc w:val="center"/>
        </w:trPr>
        <w:tc>
          <w:tcPr>
            <w:tcW w:w="2600" w:type="dxa"/>
            <w:shd w:val="clear" w:color="auto" w:fill="F4ECD8"/>
            <w:tcMar>
              <w:top w:w="100" w:type="dxa"/>
              <w:left w:w="100" w:type="dxa"/>
              <w:bottom w:w="100" w:type="dxa"/>
              <w:right w:w="100" w:type="dxa"/>
            </w:tcMar>
            <w:vAlign w:val="center"/>
          </w:tcPr>
          <w:p w14:paraId="4793CEAA" w14:textId="77777777" w:rsidR="00A5712B" w:rsidRDefault="00C70D44">
            <w:pPr>
              <w:jc w:val="center"/>
            </w:pPr>
            <w:r>
              <w:rPr>
                <w:rFonts w:ascii="Traditional Arabic" w:eastAsia="Traditional Arabic" w:hAnsi="Traditional Arabic" w:cs="Traditional Arabic"/>
                <w:b/>
                <w:bCs/>
                <w:color w:val="1A1A1A"/>
                <w:sz w:val="19"/>
                <w:szCs w:val="19"/>
                <w:rtl/>
              </w:rPr>
              <w:t>طبيعة الموت</w:t>
            </w:r>
          </w:p>
        </w:tc>
        <w:tc>
          <w:tcPr>
            <w:tcW w:w="2600" w:type="dxa"/>
            <w:shd w:val="clear" w:color="auto" w:fill="FFFFFF"/>
            <w:tcMar>
              <w:top w:w="100" w:type="dxa"/>
              <w:left w:w="100" w:type="dxa"/>
              <w:bottom w:w="100" w:type="dxa"/>
              <w:right w:w="100" w:type="dxa"/>
            </w:tcMar>
            <w:vAlign w:val="center"/>
          </w:tcPr>
          <w:p w14:paraId="0C6C3D4E" w14:textId="77777777" w:rsidR="00A5712B" w:rsidRDefault="00C70D44">
            <w:pPr>
              <w:jc w:val="center"/>
            </w:pPr>
            <w:r>
              <w:rPr>
                <w:rFonts w:ascii="Traditional Arabic" w:eastAsia="Traditional Arabic" w:hAnsi="Traditional Arabic" w:cs="Traditional Arabic"/>
                <w:color w:val="1A1A1A"/>
                <w:sz w:val="19"/>
                <w:szCs w:val="19"/>
                <w:rtl/>
              </w:rPr>
              <w:t>عدم مطلق ونهاية للوعي</w:t>
            </w:r>
          </w:p>
        </w:tc>
        <w:tc>
          <w:tcPr>
            <w:tcW w:w="2600" w:type="dxa"/>
            <w:shd w:val="clear" w:color="auto" w:fill="FFFFFF"/>
            <w:tcMar>
              <w:top w:w="100" w:type="dxa"/>
              <w:left w:w="100" w:type="dxa"/>
              <w:bottom w:w="100" w:type="dxa"/>
              <w:right w:w="100" w:type="dxa"/>
            </w:tcMar>
            <w:vAlign w:val="center"/>
          </w:tcPr>
          <w:p w14:paraId="2F78A23E" w14:textId="77777777" w:rsidR="00A5712B" w:rsidRDefault="00C70D44">
            <w:pPr>
              <w:jc w:val="center"/>
            </w:pPr>
            <w:r>
              <w:rPr>
                <w:rFonts w:ascii="Traditional Arabic" w:eastAsia="Traditional Arabic" w:hAnsi="Traditional Arabic" w:cs="Traditional Arabic"/>
                <w:color w:val="1A1A1A"/>
                <w:sz w:val="19"/>
                <w:szCs w:val="19"/>
                <w:rtl/>
              </w:rPr>
              <w:t>إمكانية حدّية تكشف الأصالة</w:t>
            </w:r>
          </w:p>
        </w:tc>
        <w:tc>
          <w:tcPr>
            <w:tcW w:w="2600" w:type="dxa"/>
            <w:shd w:val="clear" w:color="auto" w:fill="FFFFFF"/>
            <w:tcMar>
              <w:top w:w="100" w:type="dxa"/>
              <w:left w:w="100" w:type="dxa"/>
              <w:bottom w:w="100" w:type="dxa"/>
              <w:right w:w="100" w:type="dxa"/>
            </w:tcMar>
            <w:vAlign w:val="center"/>
          </w:tcPr>
          <w:p w14:paraId="41F4F43F" w14:textId="77777777" w:rsidR="00A5712B" w:rsidRDefault="00C70D44">
            <w:pPr>
              <w:jc w:val="center"/>
            </w:pPr>
            <w:r>
              <w:rPr>
                <w:rFonts w:ascii="Traditional Arabic" w:eastAsia="Traditional Arabic" w:hAnsi="Traditional Arabic" w:cs="Traditional Arabic"/>
                <w:color w:val="1A1A1A"/>
                <w:sz w:val="19"/>
                <w:szCs w:val="19"/>
                <w:rtl/>
              </w:rPr>
              <w:t>عتبة وانتقال وتوفٍّ كامل</w:t>
            </w:r>
          </w:p>
        </w:tc>
      </w:tr>
      <w:tr w:rsidR="00A5712B" w14:paraId="7411845D" w14:textId="77777777">
        <w:trPr>
          <w:jc w:val="center"/>
        </w:trPr>
        <w:tc>
          <w:tcPr>
            <w:tcW w:w="2600" w:type="dxa"/>
            <w:shd w:val="clear" w:color="auto" w:fill="F4ECD8"/>
            <w:tcMar>
              <w:top w:w="100" w:type="dxa"/>
              <w:left w:w="100" w:type="dxa"/>
              <w:bottom w:w="100" w:type="dxa"/>
              <w:right w:w="100" w:type="dxa"/>
            </w:tcMar>
            <w:vAlign w:val="center"/>
          </w:tcPr>
          <w:p w14:paraId="703C15A7" w14:textId="77777777" w:rsidR="00A5712B" w:rsidRDefault="00C70D44">
            <w:pPr>
              <w:jc w:val="center"/>
            </w:pPr>
            <w:r>
              <w:rPr>
                <w:rFonts w:ascii="Traditional Arabic" w:eastAsia="Traditional Arabic" w:hAnsi="Traditional Arabic" w:cs="Traditional Arabic"/>
                <w:b/>
                <w:bCs/>
                <w:color w:val="1A1A1A"/>
                <w:sz w:val="19"/>
                <w:szCs w:val="19"/>
                <w:rtl/>
              </w:rPr>
              <w:t>مصدر القلق</w:t>
            </w:r>
          </w:p>
        </w:tc>
        <w:tc>
          <w:tcPr>
            <w:tcW w:w="2600" w:type="dxa"/>
            <w:shd w:val="clear" w:color="auto" w:fill="FFFFFF"/>
            <w:tcMar>
              <w:top w:w="100" w:type="dxa"/>
              <w:left w:w="100" w:type="dxa"/>
              <w:bottom w:w="100" w:type="dxa"/>
              <w:right w:w="100" w:type="dxa"/>
            </w:tcMar>
            <w:vAlign w:val="center"/>
          </w:tcPr>
          <w:p w14:paraId="4C17900B" w14:textId="77777777" w:rsidR="00A5712B" w:rsidRDefault="00C70D44">
            <w:pPr>
              <w:jc w:val="center"/>
            </w:pPr>
            <w:r>
              <w:rPr>
                <w:rFonts w:ascii="Traditional Arabic" w:eastAsia="Traditional Arabic" w:hAnsi="Traditional Arabic" w:cs="Traditional Arabic"/>
                <w:color w:val="1A1A1A"/>
                <w:sz w:val="19"/>
                <w:szCs w:val="19"/>
                <w:rtl/>
              </w:rPr>
              <w:t>الفناء الكلي بلا معنى</w:t>
            </w:r>
          </w:p>
        </w:tc>
        <w:tc>
          <w:tcPr>
            <w:tcW w:w="2600" w:type="dxa"/>
            <w:shd w:val="clear" w:color="auto" w:fill="FFFFFF"/>
            <w:tcMar>
              <w:top w:w="100" w:type="dxa"/>
              <w:left w:w="100" w:type="dxa"/>
              <w:bottom w:w="100" w:type="dxa"/>
              <w:right w:w="100" w:type="dxa"/>
            </w:tcMar>
            <w:vAlign w:val="center"/>
          </w:tcPr>
          <w:p w14:paraId="3EFDD0E2" w14:textId="77777777" w:rsidR="00A5712B" w:rsidRDefault="00C70D44">
            <w:pPr>
              <w:jc w:val="center"/>
            </w:pPr>
            <w:r>
              <w:rPr>
                <w:rFonts w:ascii="Traditional Arabic" w:eastAsia="Traditional Arabic" w:hAnsi="Traditional Arabic" w:cs="Traditional Arabic"/>
                <w:color w:val="1A1A1A"/>
                <w:sz w:val="19"/>
                <w:szCs w:val="19"/>
                <w:rtl/>
              </w:rPr>
              <w:t>الفردانية المطلقة وغياب النيابة</w:t>
            </w:r>
          </w:p>
        </w:tc>
        <w:tc>
          <w:tcPr>
            <w:tcW w:w="2600" w:type="dxa"/>
            <w:shd w:val="clear" w:color="auto" w:fill="FFFFFF"/>
            <w:tcMar>
              <w:top w:w="100" w:type="dxa"/>
              <w:left w:w="100" w:type="dxa"/>
              <w:bottom w:w="100" w:type="dxa"/>
              <w:right w:w="100" w:type="dxa"/>
            </w:tcMar>
            <w:vAlign w:val="center"/>
          </w:tcPr>
          <w:p w14:paraId="2A43549B" w14:textId="77777777" w:rsidR="00A5712B" w:rsidRDefault="00C70D44">
            <w:pPr>
              <w:jc w:val="center"/>
            </w:pPr>
            <w:r>
              <w:rPr>
                <w:rFonts w:ascii="Traditional Arabic" w:eastAsia="Traditional Arabic" w:hAnsi="Traditional Arabic" w:cs="Traditional Arabic"/>
                <w:color w:val="1A1A1A"/>
                <w:sz w:val="19"/>
                <w:szCs w:val="19"/>
                <w:rtl/>
              </w:rPr>
              <w:t>لا قلق جذري؛ شوق ورجاء</w:t>
            </w:r>
          </w:p>
        </w:tc>
      </w:tr>
      <w:tr w:rsidR="00A5712B" w14:paraId="23C0B8E3" w14:textId="77777777">
        <w:trPr>
          <w:jc w:val="center"/>
        </w:trPr>
        <w:tc>
          <w:tcPr>
            <w:tcW w:w="2600" w:type="dxa"/>
            <w:shd w:val="clear" w:color="auto" w:fill="F4ECD8"/>
            <w:tcMar>
              <w:top w:w="100" w:type="dxa"/>
              <w:left w:w="100" w:type="dxa"/>
              <w:bottom w:w="100" w:type="dxa"/>
              <w:right w:w="100" w:type="dxa"/>
            </w:tcMar>
            <w:vAlign w:val="center"/>
          </w:tcPr>
          <w:p w14:paraId="5F0FDD9E" w14:textId="77777777" w:rsidR="00A5712B" w:rsidRDefault="00C70D44">
            <w:pPr>
              <w:jc w:val="center"/>
            </w:pPr>
            <w:r>
              <w:rPr>
                <w:rFonts w:ascii="Traditional Arabic" w:eastAsia="Traditional Arabic" w:hAnsi="Traditional Arabic" w:cs="Traditional Arabic"/>
                <w:b/>
                <w:bCs/>
                <w:color w:val="1A1A1A"/>
                <w:sz w:val="19"/>
                <w:szCs w:val="19"/>
                <w:rtl/>
              </w:rPr>
              <w:t>الاستجابة المقترحة</w:t>
            </w:r>
          </w:p>
        </w:tc>
        <w:tc>
          <w:tcPr>
            <w:tcW w:w="2600" w:type="dxa"/>
            <w:shd w:val="clear" w:color="auto" w:fill="FFFFFF"/>
            <w:tcMar>
              <w:top w:w="100" w:type="dxa"/>
              <w:left w:w="100" w:type="dxa"/>
              <w:bottom w:w="100" w:type="dxa"/>
              <w:right w:w="100" w:type="dxa"/>
            </w:tcMar>
            <w:vAlign w:val="center"/>
          </w:tcPr>
          <w:p w14:paraId="7EB5DD92" w14:textId="77777777" w:rsidR="00A5712B" w:rsidRDefault="00C70D44">
            <w:pPr>
              <w:jc w:val="center"/>
            </w:pPr>
            <w:r>
              <w:rPr>
                <w:rFonts w:ascii="Traditional Arabic" w:eastAsia="Traditional Arabic" w:hAnsi="Traditional Arabic" w:cs="Traditional Arabic"/>
                <w:color w:val="1A1A1A"/>
                <w:sz w:val="19"/>
                <w:szCs w:val="19"/>
                <w:rtl/>
              </w:rPr>
              <w:t>قبول رواقي أو إنكار استهلاكي</w:t>
            </w:r>
          </w:p>
        </w:tc>
        <w:tc>
          <w:tcPr>
            <w:tcW w:w="2600" w:type="dxa"/>
            <w:shd w:val="clear" w:color="auto" w:fill="FFFFFF"/>
            <w:tcMar>
              <w:top w:w="100" w:type="dxa"/>
              <w:left w:w="100" w:type="dxa"/>
              <w:bottom w:w="100" w:type="dxa"/>
              <w:right w:w="100" w:type="dxa"/>
            </w:tcMar>
            <w:vAlign w:val="center"/>
          </w:tcPr>
          <w:p w14:paraId="22022ED0" w14:textId="77777777" w:rsidR="00A5712B" w:rsidRDefault="00C70D44">
            <w:pPr>
              <w:jc w:val="center"/>
            </w:pPr>
            <w:r>
              <w:rPr>
                <w:rFonts w:ascii="Traditional Arabic" w:eastAsia="Traditional Arabic" w:hAnsi="Traditional Arabic" w:cs="Traditional Arabic"/>
                <w:color w:val="1A1A1A"/>
                <w:sz w:val="19"/>
                <w:szCs w:val="19"/>
                <w:rtl/>
              </w:rPr>
              <w:t>مواجهة واعية وعيش أصيل</w:t>
            </w:r>
          </w:p>
        </w:tc>
        <w:tc>
          <w:tcPr>
            <w:tcW w:w="2600" w:type="dxa"/>
            <w:shd w:val="clear" w:color="auto" w:fill="FFFFFF"/>
            <w:tcMar>
              <w:top w:w="100" w:type="dxa"/>
              <w:left w:w="100" w:type="dxa"/>
              <w:bottom w:w="100" w:type="dxa"/>
              <w:right w:w="100" w:type="dxa"/>
            </w:tcMar>
            <w:vAlign w:val="center"/>
          </w:tcPr>
          <w:p w14:paraId="48CAB64E" w14:textId="77777777" w:rsidR="00A5712B" w:rsidRDefault="00C70D44">
            <w:pPr>
              <w:jc w:val="center"/>
            </w:pPr>
            <w:r>
              <w:rPr>
                <w:rFonts w:ascii="Traditional Arabic" w:eastAsia="Traditional Arabic" w:hAnsi="Traditional Arabic" w:cs="Traditional Arabic"/>
                <w:color w:val="1A1A1A"/>
                <w:sz w:val="19"/>
                <w:szCs w:val="19"/>
                <w:rtl/>
              </w:rPr>
              <w:t>ذكر وتزكية ويقين وعمل صالح</w:t>
            </w:r>
          </w:p>
        </w:tc>
      </w:tr>
      <w:tr w:rsidR="00A5712B" w14:paraId="3EE2FACD" w14:textId="77777777">
        <w:trPr>
          <w:jc w:val="center"/>
        </w:trPr>
        <w:tc>
          <w:tcPr>
            <w:tcW w:w="2600" w:type="dxa"/>
            <w:shd w:val="clear" w:color="auto" w:fill="F4ECD8"/>
            <w:tcMar>
              <w:top w:w="100" w:type="dxa"/>
              <w:left w:w="100" w:type="dxa"/>
              <w:bottom w:w="100" w:type="dxa"/>
              <w:right w:w="100" w:type="dxa"/>
            </w:tcMar>
            <w:vAlign w:val="center"/>
          </w:tcPr>
          <w:p w14:paraId="33819B2E" w14:textId="77777777" w:rsidR="00A5712B" w:rsidRDefault="00C70D44">
            <w:pPr>
              <w:jc w:val="center"/>
            </w:pPr>
            <w:r>
              <w:rPr>
                <w:rFonts w:ascii="Traditional Arabic" w:eastAsia="Traditional Arabic" w:hAnsi="Traditional Arabic" w:cs="Traditional Arabic"/>
                <w:b/>
                <w:bCs/>
                <w:color w:val="1A1A1A"/>
                <w:sz w:val="19"/>
                <w:szCs w:val="19"/>
                <w:rtl/>
              </w:rPr>
              <w:t>المآل النهائي</w:t>
            </w:r>
          </w:p>
        </w:tc>
        <w:tc>
          <w:tcPr>
            <w:tcW w:w="2600" w:type="dxa"/>
            <w:shd w:val="clear" w:color="auto" w:fill="FFFFFF"/>
            <w:tcMar>
              <w:top w:w="100" w:type="dxa"/>
              <w:left w:w="100" w:type="dxa"/>
              <w:bottom w:w="100" w:type="dxa"/>
              <w:right w:w="100" w:type="dxa"/>
            </w:tcMar>
            <w:vAlign w:val="center"/>
          </w:tcPr>
          <w:p w14:paraId="0E2B0ED4" w14:textId="77777777" w:rsidR="00A5712B" w:rsidRDefault="00C70D44">
            <w:pPr>
              <w:jc w:val="center"/>
            </w:pPr>
            <w:r>
              <w:rPr>
                <w:rFonts w:ascii="Traditional Arabic" w:eastAsia="Traditional Arabic" w:hAnsi="Traditional Arabic" w:cs="Traditional Arabic"/>
                <w:color w:val="1A1A1A"/>
                <w:sz w:val="19"/>
                <w:szCs w:val="19"/>
                <w:rtl/>
              </w:rPr>
              <w:t>لا مآل؛ انقطاع تام</w:t>
            </w:r>
          </w:p>
        </w:tc>
        <w:tc>
          <w:tcPr>
            <w:tcW w:w="2600" w:type="dxa"/>
            <w:shd w:val="clear" w:color="auto" w:fill="FFFFFF"/>
            <w:tcMar>
              <w:top w:w="100" w:type="dxa"/>
              <w:left w:w="100" w:type="dxa"/>
              <w:bottom w:w="100" w:type="dxa"/>
              <w:right w:w="100" w:type="dxa"/>
            </w:tcMar>
            <w:vAlign w:val="center"/>
          </w:tcPr>
          <w:p w14:paraId="24E489B3" w14:textId="77777777" w:rsidR="00A5712B" w:rsidRDefault="00C70D44">
            <w:pPr>
              <w:jc w:val="center"/>
            </w:pPr>
            <w:r>
              <w:rPr>
                <w:rFonts w:ascii="Traditional Arabic" w:eastAsia="Traditional Arabic" w:hAnsi="Traditional Arabic" w:cs="Traditional Arabic"/>
                <w:color w:val="1A1A1A"/>
                <w:sz w:val="19"/>
                <w:szCs w:val="19"/>
                <w:rtl/>
              </w:rPr>
              <w:t>أثر رمزي (التموّج) فقط</w:t>
            </w:r>
          </w:p>
        </w:tc>
        <w:tc>
          <w:tcPr>
            <w:tcW w:w="2600" w:type="dxa"/>
            <w:shd w:val="clear" w:color="auto" w:fill="FFFFFF"/>
            <w:tcMar>
              <w:top w:w="100" w:type="dxa"/>
              <w:left w:w="100" w:type="dxa"/>
              <w:bottom w:w="100" w:type="dxa"/>
              <w:right w:w="100" w:type="dxa"/>
            </w:tcMar>
            <w:vAlign w:val="center"/>
          </w:tcPr>
          <w:p w14:paraId="6E8351B8" w14:textId="77777777" w:rsidR="00A5712B" w:rsidRDefault="00C70D44">
            <w:pPr>
              <w:jc w:val="center"/>
            </w:pPr>
            <w:r>
              <w:rPr>
                <w:rFonts w:ascii="Traditional Arabic" w:eastAsia="Traditional Arabic" w:hAnsi="Traditional Arabic" w:cs="Traditional Arabic"/>
                <w:color w:val="1A1A1A"/>
                <w:sz w:val="19"/>
                <w:szCs w:val="19"/>
                <w:rtl/>
              </w:rPr>
              <w:t>برزخ ثم بعث ثم عدالة مطلقة</w:t>
            </w:r>
          </w:p>
        </w:tc>
      </w:tr>
      <w:tr w:rsidR="00A5712B" w14:paraId="18613BE8" w14:textId="77777777">
        <w:trPr>
          <w:jc w:val="center"/>
        </w:trPr>
        <w:tc>
          <w:tcPr>
            <w:tcW w:w="2600" w:type="dxa"/>
            <w:shd w:val="clear" w:color="auto" w:fill="F4ECD8"/>
            <w:tcMar>
              <w:top w:w="100" w:type="dxa"/>
              <w:left w:w="100" w:type="dxa"/>
              <w:bottom w:w="100" w:type="dxa"/>
              <w:right w:w="100" w:type="dxa"/>
            </w:tcMar>
            <w:vAlign w:val="center"/>
          </w:tcPr>
          <w:p w14:paraId="24BC6729" w14:textId="77777777" w:rsidR="00A5712B" w:rsidRDefault="00C70D44">
            <w:pPr>
              <w:jc w:val="center"/>
            </w:pPr>
            <w:r>
              <w:rPr>
                <w:rFonts w:ascii="Traditional Arabic" w:eastAsia="Traditional Arabic" w:hAnsi="Traditional Arabic" w:cs="Traditional Arabic"/>
                <w:b/>
                <w:bCs/>
                <w:color w:val="1A1A1A"/>
                <w:sz w:val="19"/>
                <w:szCs w:val="19"/>
                <w:rtl/>
              </w:rPr>
              <w:t>الوظيفة العلاجية</w:t>
            </w:r>
          </w:p>
        </w:tc>
        <w:tc>
          <w:tcPr>
            <w:tcW w:w="2600" w:type="dxa"/>
            <w:shd w:val="clear" w:color="auto" w:fill="FFFFFF"/>
            <w:tcMar>
              <w:top w:w="100" w:type="dxa"/>
              <w:left w:w="100" w:type="dxa"/>
              <w:bottom w:w="100" w:type="dxa"/>
              <w:right w:w="100" w:type="dxa"/>
            </w:tcMar>
            <w:vAlign w:val="center"/>
          </w:tcPr>
          <w:p w14:paraId="6ACE5DD1" w14:textId="77777777" w:rsidR="00A5712B" w:rsidRDefault="00C70D44">
            <w:pPr>
              <w:jc w:val="center"/>
            </w:pPr>
            <w:r>
              <w:rPr>
                <w:rFonts w:ascii="Traditional Arabic" w:eastAsia="Traditional Arabic" w:hAnsi="Traditional Arabic" w:cs="Traditional Arabic"/>
                <w:color w:val="1A1A1A"/>
                <w:sz w:val="19"/>
                <w:szCs w:val="19"/>
                <w:rtl/>
              </w:rPr>
              <w:t>تخدير أو تبرير عدمي</w:t>
            </w:r>
          </w:p>
        </w:tc>
        <w:tc>
          <w:tcPr>
            <w:tcW w:w="2600" w:type="dxa"/>
            <w:shd w:val="clear" w:color="auto" w:fill="FFFFFF"/>
            <w:tcMar>
              <w:top w:w="100" w:type="dxa"/>
              <w:left w:w="100" w:type="dxa"/>
              <w:bottom w:w="100" w:type="dxa"/>
              <w:right w:w="100" w:type="dxa"/>
            </w:tcMar>
            <w:vAlign w:val="center"/>
          </w:tcPr>
          <w:p w14:paraId="09F21789" w14:textId="77777777" w:rsidR="00A5712B" w:rsidRDefault="00C70D44">
            <w:pPr>
              <w:jc w:val="center"/>
            </w:pPr>
            <w:r>
              <w:rPr>
                <w:rFonts w:ascii="Traditional Arabic" w:eastAsia="Traditional Arabic" w:hAnsi="Traditional Arabic" w:cs="Traditional Arabic"/>
                <w:color w:val="1A1A1A"/>
                <w:sz w:val="19"/>
                <w:szCs w:val="19"/>
                <w:rtl/>
              </w:rPr>
              <w:t>تحرر من الزيف اليومي</w:t>
            </w:r>
          </w:p>
        </w:tc>
        <w:tc>
          <w:tcPr>
            <w:tcW w:w="2600" w:type="dxa"/>
            <w:shd w:val="clear" w:color="auto" w:fill="FFFFFF"/>
            <w:tcMar>
              <w:top w:w="100" w:type="dxa"/>
              <w:left w:w="100" w:type="dxa"/>
              <w:bottom w:w="100" w:type="dxa"/>
              <w:right w:w="100" w:type="dxa"/>
            </w:tcMar>
            <w:vAlign w:val="center"/>
          </w:tcPr>
          <w:p w14:paraId="277D98F2" w14:textId="77777777" w:rsidR="00A5712B" w:rsidRDefault="00C70D44">
            <w:pPr>
              <w:jc w:val="center"/>
            </w:pPr>
            <w:r>
              <w:rPr>
                <w:rFonts w:ascii="Traditional Arabic" w:eastAsia="Traditional Arabic" w:hAnsi="Traditional Arabic" w:cs="Traditional Arabic"/>
                <w:color w:val="1A1A1A"/>
                <w:sz w:val="19"/>
                <w:szCs w:val="19"/>
                <w:rtl/>
              </w:rPr>
              <w:t>تحرر من سجن المادة والاستهلاك</w:t>
            </w:r>
          </w:p>
        </w:tc>
      </w:tr>
    </w:tbl>
    <w:p w14:paraId="6543EB67" w14:textId="77777777" w:rsidR="00A5712B" w:rsidRDefault="00A5712B">
      <w:pPr>
        <w:spacing w:after="200"/>
      </w:pPr>
    </w:p>
    <w:p w14:paraId="79AAAA21"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يتضح من هذا التركيب أن الفارق بين النماذج الثلاثة ليس فارقاً في "درجة التفاؤل" أو "لهجة الخطاب" فحسب، بل هو فارق في البنية الأنطولوجية العميقة: فبينما تُبقي المادية والوجودية الموت أفقاً مغلقاً (سواء بالإنكار أو بالمواجهة الرواقية)، يفتح التصور الاستخلافي هذا الأفق على امتداد لانهائي يعيد صياغة معنى كل لحظة في الحياة الدنيا.</w:t>
      </w:r>
    </w:p>
    <w:p w14:paraId="234D9A6B" w14:textId="77777777" w:rsidR="00A5712B" w:rsidRDefault="00C70D44">
      <w:r>
        <w:br w:type="page"/>
      </w:r>
    </w:p>
    <w:p w14:paraId="7329BA08"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 xml:space="preserve">الفصل الخامس: </w:t>
      </w:r>
      <w:proofErr w:type="spellStart"/>
      <w:r>
        <w:rPr>
          <w:rFonts w:ascii="Traditional Arabic" w:eastAsia="Traditional Arabic" w:hAnsi="Traditional Arabic" w:cs="Traditional Arabic"/>
          <w:b/>
          <w:bCs/>
          <w:color w:val="1B2A4A"/>
          <w:sz w:val="34"/>
          <w:szCs w:val="34"/>
          <w:rtl/>
        </w:rPr>
        <w:t>التضمينات</w:t>
      </w:r>
      <w:proofErr w:type="spellEnd"/>
      <w:r>
        <w:rPr>
          <w:rFonts w:ascii="Traditional Arabic" w:eastAsia="Traditional Arabic" w:hAnsi="Traditional Arabic" w:cs="Traditional Arabic"/>
          <w:b/>
          <w:bCs/>
          <w:color w:val="1B2A4A"/>
          <w:sz w:val="34"/>
          <w:szCs w:val="34"/>
          <w:rtl/>
        </w:rPr>
        <w:t xml:space="preserve"> الإكلينيكية — الموت في بروتوكول TLRT</w:t>
      </w:r>
    </w:p>
    <w:p w14:paraId="22D2C9D5"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 xml:space="preserve">5.1 الضلع الثامن وقياس اليقين </w:t>
      </w:r>
      <w:proofErr w:type="spellStart"/>
      <w:r>
        <w:rPr>
          <w:rFonts w:ascii="Traditional Arabic" w:eastAsia="Traditional Arabic" w:hAnsi="Traditional Arabic" w:cs="Traditional Arabic"/>
          <w:b/>
          <w:bCs/>
          <w:color w:val="0F6466"/>
          <w:sz w:val="28"/>
          <w:szCs w:val="28"/>
          <w:rtl/>
        </w:rPr>
        <w:t>الأخروي</w:t>
      </w:r>
      <w:proofErr w:type="spellEnd"/>
    </w:p>
    <w:p w14:paraId="0B95ACB3"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بناءً على ما سبق، يقترح هذا البحث أن تفعيل "الضلع الثامن" (رحمة إلهية ← مطمئنة) في نموذج الأضلاع الثمانية يستلزم إكلينيكياً بُعدين متكاملين: أولاً، بُعد معرفي-تعبّدي، يتمثل في تعميق اليقين النظري بحقائق الآخرة عبر التدبر والتعلم؛ وثانياً، بُعد وجداني-تطبيقي، يتمثل في ممارسة "ذكر الموت" المنضبط (لا القلق المرضي منه) كأداة لإعادة ترتيب الأولويات الحياتية. ويقترح الباحث أن يُدرَج ضمن أدوات القياس المرتبطة بمقياس DMN-HI أو أدوات مشابهة، بُعدٌ فرعي لقياس "اليقين </w:t>
      </w:r>
      <w:proofErr w:type="spellStart"/>
      <w:r>
        <w:rPr>
          <w:rFonts w:ascii="Traditional Arabic" w:eastAsia="Traditional Arabic" w:hAnsi="Traditional Arabic" w:cs="Traditional Arabic"/>
          <w:color w:val="1A1A1A"/>
          <w:sz w:val="24"/>
          <w:szCs w:val="24"/>
          <w:rtl/>
        </w:rPr>
        <w:t>الأخروي</w:t>
      </w:r>
      <w:proofErr w:type="spellEnd"/>
      <w:r>
        <w:rPr>
          <w:rFonts w:ascii="Traditional Arabic" w:eastAsia="Traditional Arabic" w:hAnsi="Traditional Arabic" w:cs="Traditional Arabic"/>
          <w:color w:val="1A1A1A"/>
          <w:sz w:val="24"/>
          <w:szCs w:val="24"/>
          <w:rtl/>
        </w:rPr>
        <w:t>" (</w:t>
      </w:r>
      <w:proofErr w:type="spellStart"/>
      <w:r>
        <w:rPr>
          <w:rFonts w:ascii="Traditional Arabic" w:eastAsia="Traditional Arabic" w:hAnsi="Traditional Arabic" w:cs="Traditional Arabic"/>
          <w:color w:val="1A1A1A"/>
          <w:sz w:val="24"/>
          <w:szCs w:val="24"/>
          <w:rtl/>
        </w:rPr>
        <w:t>Eschatological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Certainty</w:t>
      </w:r>
      <w:proofErr w:type="spellEnd"/>
      <w:r>
        <w:rPr>
          <w:rFonts w:ascii="Traditional Arabic" w:eastAsia="Traditional Arabic" w:hAnsi="Traditional Arabic" w:cs="Traditional Arabic"/>
          <w:color w:val="1A1A1A"/>
          <w:sz w:val="24"/>
          <w:szCs w:val="24"/>
          <w:rtl/>
        </w:rPr>
        <w:t xml:space="preserve">) بوصفه متغيراً وسيطاً محتملاً بين التدين المعرفي والطمأنينة النفسية، تمييزاً له عن "القلق من الموت" الذي تقيسه أدوات غربية كمقياس </w:t>
      </w:r>
      <w:proofErr w:type="spellStart"/>
      <w:r>
        <w:rPr>
          <w:rFonts w:ascii="Traditional Arabic" w:eastAsia="Traditional Arabic" w:hAnsi="Traditional Arabic" w:cs="Traditional Arabic"/>
          <w:color w:val="1A1A1A"/>
          <w:sz w:val="24"/>
          <w:szCs w:val="24"/>
          <w:rtl/>
        </w:rPr>
        <w:t>Templer's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Death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Anxiety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Scale</w:t>
      </w:r>
      <w:proofErr w:type="spellEnd"/>
      <w:r>
        <w:rPr>
          <w:rFonts w:ascii="Traditional Arabic" w:eastAsia="Traditional Arabic" w:hAnsi="Traditional Arabic" w:cs="Traditional Arabic"/>
          <w:color w:val="1A1A1A"/>
          <w:sz w:val="24"/>
          <w:szCs w:val="24"/>
          <w:rtl/>
        </w:rPr>
        <w:t>.</w:t>
      </w:r>
    </w:p>
    <w:p w14:paraId="080F0AF9" w14:textId="77777777" w:rsidR="00A5712B" w:rsidRDefault="00C70D44">
      <w:pPr>
        <w:pStyle w:val="2"/>
        <w:bidi/>
        <w:spacing w:before="360" w:after="180"/>
        <w:jc w:val="right"/>
      </w:pPr>
      <w:r>
        <w:rPr>
          <w:rFonts w:ascii="Traditional Arabic" w:eastAsia="Traditional Arabic" w:hAnsi="Traditional Arabic" w:cs="Traditional Arabic"/>
          <w:b/>
          <w:bCs/>
          <w:color w:val="0F6466"/>
          <w:sz w:val="28"/>
          <w:szCs w:val="28"/>
          <w:rtl/>
        </w:rPr>
        <w:t>5.2 من قلق الموت إلى شوق اللقاء: مسار علاجي مقترح</w:t>
      </w:r>
    </w:p>
    <w:p w14:paraId="4424B1EC"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يقترح هذا البحث، تطويراً لما سبق في وثائق TLRT النظرية، مساراً علاجياً من ثلاث مراحل للتعامل مع قلق الموت المرضي (</w:t>
      </w:r>
      <w:proofErr w:type="spellStart"/>
      <w:r>
        <w:rPr>
          <w:rFonts w:ascii="Traditional Arabic" w:eastAsia="Traditional Arabic" w:hAnsi="Traditional Arabic" w:cs="Traditional Arabic"/>
          <w:color w:val="1A1A1A"/>
          <w:sz w:val="24"/>
          <w:szCs w:val="24"/>
          <w:rtl/>
        </w:rPr>
        <w:t>Thanatophobia</w:t>
      </w:r>
      <w:proofErr w:type="spellEnd"/>
      <w:r>
        <w:rPr>
          <w:rFonts w:ascii="Traditional Arabic" w:eastAsia="Traditional Arabic" w:hAnsi="Traditional Arabic" w:cs="Traditional Arabic"/>
          <w:color w:val="1A1A1A"/>
          <w:sz w:val="24"/>
          <w:szCs w:val="24"/>
          <w:rtl/>
        </w:rPr>
        <w:t xml:space="preserve">) ضمن الإطار الاستخلافي: المرحلة الأولى، "تفكيك الإنكار"، وفيها يُواجَه المسترشد برفق مع حقيقة الموت بدل تجنبها، بالاستفادة من أدوات "يقظة الموت" عند </w:t>
      </w:r>
      <w:proofErr w:type="spellStart"/>
      <w:r>
        <w:rPr>
          <w:rFonts w:ascii="Traditional Arabic" w:eastAsia="Traditional Arabic" w:hAnsi="Traditional Arabic" w:cs="Traditional Arabic"/>
          <w:color w:val="1A1A1A"/>
          <w:sz w:val="24"/>
          <w:szCs w:val="24"/>
          <w:rtl/>
        </w:rPr>
        <w:t>يالوم</w:t>
      </w:r>
      <w:proofErr w:type="spellEnd"/>
      <w:r>
        <w:rPr>
          <w:rFonts w:ascii="Traditional Arabic" w:eastAsia="Traditional Arabic" w:hAnsi="Traditional Arabic" w:cs="Traditional Arabic"/>
          <w:color w:val="1A1A1A"/>
          <w:sz w:val="24"/>
          <w:szCs w:val="24"/>
          <w:rtl/>
        </w:rPr>
        <w:t xml:space="preserve"> لكن ضمن سياق إيماني موجّه؛ المرحلة الثانية، "إعادة البناء المعرفي </w:t>
      </w:r>
      <w:proofErr w:type="spellStart"/>
      <w:r>
        <w:rPr>
          <w:rFonts w:ascii="Traditional Arabic" w:eastAsia="Traditional Arabic" w:hAnsi="Traditional Arabic" w:cs="Traditional Arabic"/>
          <w:color w:val="1A1A1A"/>
          <w:sz w:val="24"/>
          <w:szCs w:val="24"/>
          <w:rtl/>
        </w:rPr>
        <w:t>الأخروي</w:t>
      </w:r>
      <w:proofErr w:type="spellEnd"/>
      <w:r>
        <w:rPr>
          <w:rFonts w:ascii="Traditional Arabic" w:eastAsia="Traditional Arabic" w:hAnsi="Traditional Arabic" w:cs="Traditional Arabic"/>
          <w:color w:val="1A1A1A"/>
          <w:sz w:val="24"/>
          <w:szCs w:val="24"/>
          <w:rtl/>
        </w:rPr>
        <w:t>"، وفيها يُستبدل التصور المادي أو الغامض للموت بتصور قرآني واضح المعالم (</w:t>
      </w:r>
      <w:proofErr w:type="spellStart"/>
      <w:r>
        <w:rPr>
          <w:rFonts w:ascii="Traditional Arabic" w:eastAsia="Traditional Arabic" w:hAnsi="Traditional Arabic" w:cs="Traditional Arabic"/>
          <w:color w:val="1A1A1A"/>
          <w:sz w:val="24"/>
          <w:szCs w:val="24"/>
          <w:rtl/>
        </w:rPr>
        <w:t>التوفي</w:t>
      </w:r>
      <w:proofErr w:type="spellEnd"/>
      <w:r>
        <w:rPr>
          <w:rFonts w:ascii="Traditional Arabic" w:eastAsia="Traditional Arabic" w:hAnsi="Traditional Arabic" w:cs="Traditional Arabic"/>
          <w:color w:val="1A1A1A"/>
          <w:sz w:val="24"/>
          <w:szCs w:val="24"/>
          <w:rtl/>
        </w:rPr>
        <w:t>، البرزخ، العدالة المطلقة)؛ المرحلة الثالثة، "تحويل القلق إلى شوق"، وهي غاية العلاج، حيث يُعاد توجيه الطاقة الانفعالية المرتبطة بالموت من التجنب والخوف إلى الرجاء والاستعداد والعمل الصالح، بما يحقق حالة "النفس المطمئنة" [239، 454].</w:t>
      </w:r>
    </w:p>
    <w:p w14:paraId="4ECA7ECE" w14:textId="77777777" w:rsidR="00A5712B" w:rsidRDefault="00C70D44">
      <w:r>
        <w:br w:type="page"/>
      </w:r>
    </w:p>
    <w:p w14:paraId="496F7708"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ملحق منهجي نقدي: حدود القابلية للاختبار التجريبي</w:t>
      </w:r>
    </w:p>
    <w:p w14:paraId="543651B6"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حفاظاً على الأمانة العلمية التي </w:t>
      </w:r>
      <w:proofErr w:type="spellStart"/>
      <w:r>
        <w:rPr>
          <w:rFonts w:ascii="Traditional Arabic" w:eastAsia="Traditional Arabic" w:hAnsi="Traditional Arabic" w:cs="Traditional Arabic"/>
          <w:color w:val="1A1A1A"/>
          <w:sz w:val="24"/>
          <w:szCs w:val="24"/>
          <w:rtl/>
        </w:rPr>
        <w:t>تقتضيها</w:t>
      </w:r>
      <w:proofErr w:type="spellEnd"/>
      <w:r>
        <w:rPr>
          <w:rFonts w:ascii="Traditional Arabic" w:eastAsia="Traditional Arabic" w:hAnsi="Traditional Arabic" w:cs="Traditional Arabic"/>
          <w:color w:val="1A1A1A"/>
          <w:sz w:val="24"/>
          <w:szCs w:val="24"/>
          <w:rtl/>
        </w:rPr>
        <w:t xml:space="preserve"> هذه السلسلة البحثية، لا بد من الإشارة إلى أن جانباً كبيراً من الأطروحات الواردة في هذه الدراسة — لا سيما ما يتعلق بطبيعة البرزخ أو تفاصيل ما بعد الموت — هو من قبيل "الغيب" الذي مصدره النص </w:t>
      </w:r>
      <w:proofErr w:type="spellStart"/>
      <w:r>
        <w:rPr>
          <w:rFonts w:ascii="Traditional Arabic" w:eastAsia="Traditional Arabic" w:hAnsi="Traditional Arabic" w:cs="Traditional Arabic"/>
          <w:color w:val="1A1A1A"/>
          <w:sz w:val="24"/>
          <w:szCs w:val="24"/>
          <w:rtl/>
        </w:rPr>
        <w:t>الوحياني</w:t>
      </w:r>
      <w:proofErr w:type="spellEnd"/>
      <w:r>
        <w:rPr>
          <w:rFonts w:ascii="Traditional Arabic" w:eastAsia="Traditional Arabic" w:hAnsi="Traditional Arabic" w:cs="Traditional Arabic"/>
          <w:color w:val="1A1A1A"/>
          <w:sz w:val="24"/>
          <w:szCs w:val="24"/>
          <w:rtl/>
        </w:rPr>
        <w:t>، وليس من قبيل الفرضيات القابلة للتحقق التجريبي بالمعنى الذي تشترطه فلسفة العلم المعاصرة (معيار كارل بوبر في قابلية التكذيب، مثلاً). وهذا لا يُضعف قيمتها الإيمانية أو العلاجية، لكنه يستوجب التمييز المنهجي الدقيق بين ما يمكن اختباره تجريبياً (كالعلاقة الإحصائية بين اليقين الديني وانخفاض قلق الموت، وهي علاقة موثقة في عشرات الدراسات النفسية-الدينية الغربية والعربية) وبين ما هو تسليم إيماني بالغيب لا يخضع لهذا النوع من الاختبار.</w:t>
      </w:r>
    </w:p>
    <w:p w14:paraId="42E98ADC"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كما يوصي الباحث، تطويراً للملاحق المنهجية السابقة في وثائق TLRT، بأن تُجرى دراسات مقارنة تُقيس بأدوات إحصائية موثوقة (مع ضبط متغيرات العمر والمستوى التعليمي والخلفية الثقافية) الفرق بين مستويات "قلق الموت" لدى عينات ذات تدين معرفي مرتفع مقابل عينات أقل تديناً، مع الانتباه إلى مشكلات التحيز في العينة (</w:t>
      </w:r>
      <w:proofErr w:type="spellStart"/>
      <w:r>
        <w:rPr>
          <w:rFonts w:ascii="Traditional Arabic" w:eastAsia="Traditional Arabic" w:hAnsi="Traditional Arabic" w:cs="Traditional Arabic"/>
          <w:color w:val="1A1A1A"/>
          <w:sz w:val="24"/>
          <w:szCs w:val="24"/>
          <w:rtl/>
        </w:rPr>
        <w:t>Sampling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Bias</w:t>
      </w:r>
      <w:proofErr w:type="spellEnd"/>
      <w:r>
        <w:rPr>
          <w:rFonts w:ascii="Traditional Arabic" w:eastAsia="Traditional Arabic" w:hAnsi="Traditional Arabic" w:cs="Traditional Arabic"/>
          <w:color w:val="1A1A1A"/>
          <w:sz w:val="24"/>
          <w:szCs w:val="24"/>
          <w:rtl/>
        </w:rPr>
        <w:t xml:space="preserve">) وصعوبة عزل أثر "اليقين </w:t>
      </w:r>
      <w:proofErr w:type="spellStart"/>
      <w:r>
        <w:rPr>
          <w:rFonts w:ascii="Traditional Arabic" w:eastAsia="Traditional Arabic" w:hAnsi="Traditional Arabic" w:cs="Traditional Arabic"/>
          <w:color w:val="1A1A1A"/>
          <w:sz w:val="24"/>
          <w:szCs w:val="24"/>
          <w:rtl/>
        </w:rPr>
        <w:t>الأخروي</w:t>
      </w:r>
      <w:proofErr w:type="spellEnd"/>
      <w:r>
        <w:rPr>
          <w:rFonts w:ascii="Traditional Arabic" w:eastAsia="Traditional Arabic" w:hAnsi="Traditional Arabic" w:cs="Traditional Arabic"/>
          <w:color w:val="1A1A1A"/>
          <w:sz w:val="24"/>
          <w:szCs w:val="24"/>
          <w:rtl/>
        </w:rPr>
        <w:t>" تحديداً عن متغيرات مرتبطة كالدعم الاجتماعي الذي توفره الجماعة الدينية، والتي قد تكون هي المتغير الفعلي المفسر لا اليقين العقدي بذاته.</w:t>
      </w:r>
    </w:p>
    <w:p w14:paraId="1480E84D" w14:textId="77777777" w:rsidR="00A5712B" w:rsidRDefault="00C70D44">
      <w:r>
        <w:br w:type="page"/>
      </w:r>
    </w:p>
    <w:p w14:paraId="305C854D"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خاتمة موسّعة: الموت — نهاية الجسد وميلاد الروح</w:t>
      </w:r>
    </w:p>
    <w:p w14:paraId="68729EB5"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في ختام هذه الدراسة الموسّعة، يتأكد أن الموقف من الموت ليس تفصيلاً هامشياً ضمن أي بناء نفسي أو فلسفي، بل هو حجر الزاوية الذي يتحدد على أساسه الموقف الكلي من الحياة والمعنى والقيمة. وقد بيّنت هذه الدراسة أن النماذج الغربية الكبرى — من المادية الأبيقورية إلى الوجودية </w:t>
      </w:r>
      <w:proofErr w:type="spellStart"/>
      <w:r>
        <w:rPr>
          <w:rFonts w:ascii="Traditional Arabic" w:eastAsia="Traditional Arabic" w:hAnsi="Traditional Arabic" w:cs="Traditional Arabic"/>
          <w:color w:val="1A1A1A"/>
          <w:sz w:val="24"/>
          <w:szCs w:val="24"/>
          <w:rtl/>
        </w:rPr>
        <w:t>الهايدغرية</w:t>
      </w:r>
      <w:proofErr w:type="spellEnd"/>
      <w:r>
        <w:rPr>
          <w:rFonts w:ascii="Traditional Arabic" w:eastAsia="Traditional Arabic" w:hAnsi="Traditional Arabic" w:cs="Traditional Arabic"/>
          <w:color w:val="1A1A1A"/>
          <w:sz w:val="24"/>
          <w:szCs w:val="24"/>
          <w:rtl/>
        </w:rPr>
        <w:t xml:space="preserve"> إلى العلاج الوجودي </w:t>
      </w:r>
      <w:proofErr w:type="spellStart"/>
      <w:r>
        <w:rPr>
          <w:rFonts w:ascii="Traditional Arabic" w:eastAsia="Traditional Arabic" w:hAnsi="Traditional Arabic" w:cs="Traditional Arabic"/>
          <w:color w:val="1A1A1A"/>
          <w:sz w:val="24"/>
          <w:szCs w:val="24"/>
          <w:rtl/>
        </w:rPr>
        <w:t>اليالومي</w:t>
      </w:r>
      <w:proofErr w:type="spellEnd"/>
      <w:r>
        <w:rPr>
          <w:rFonts w:ascii="Traditional Arabic" w:eastAsia="Traditional Arabic" w:hAnsi="Traditional Arabic" w:cs="Traditional Arabic"/>
          <w:color w:val="1A1A1A"/>
          <w:sz w:val="24"/>
          <w:szCs w:val="24"/>
          <w:rtl/>
        </w:rPr>
        <w:t xml:space="preserve"> إلى نظرية إدارة الرعب </w:t>
      </w:r>
      <w:proofErr w:type="spellStart"/>
      <w:r>
        <w:rPr>
          <w:rFonts w:ascii="Traditional Arabic" w:eastAsia="Traditional Arabic" w:hAnsi="Traditional Arabic" w:cs="Traditional Arabic"/>
          <w:color w:val="1A1A1A"/>
          <w:sz w:val="24"/>
          <w:szCs w:val="24"/>
          <w:rtl/>
        </w:rPr>
        <w:t>البيكرية</w:t>
      </w:r>
      <w:proofErr w:type="spellEnd"/>
      <w:r>
        <w:rPr>
          <w:rFonts w:ascii="Traditional Arabic" w:eastAsia="Traditional Arabic" w:hAnsi="Traditional Arabic" w:cs="Traditional Arabic"/>
          <w:color w:val="1A1A1A"/>
          <w:sz w:val="24"/>
          <w:szCs w:val="24"/>
          <w:rtl/>
        </w:rPr>
        <w:t xml:space="preserve"> — وإن بلغت في تحليلاتها درجات عالية من العمق </w:t>
      </w:r>
      <w:proofErr w:type="spellStart"/>
      <w:r>
        <w:rPr>
          <w:rFonts w:ascii="Traditional Arabic" w:eastAsia="Traditional Arabic" w:hAnsi="Traditional Arabic" w:cs="Traditional Arabic"/>
          <w:color w:val="1A1A1A"/>
          <w:sz w:val="24"/>
          <w:szCs w:val="24"/>
          <w:rtl/>
        </w:rPr>
        <w:t>الفينومينولوجي</w:t>
      </w:r>
      <w:proofErr w:type="spellEnd"/>
      <w:r>
        <w:rPr>
          <w:rFonts w:ascii="Traditional Arabic" w:eastAsia="Traditional Arabic" w:hAnsi="Traditional Arabic" w:cs="Traditional Arabic"/>
          <w:color w:val="1A1A1A"/>
          <w:sz w:val="24"/>
          <w:szCs w:val="24"/>
          <w:rtl/>
        </w:rPr>
        <w:t xml:space="preserve"> والدقة الإكلينيكية، فإنها تبقى جميعاً محكومة بأفق مغلق لا يتجاوز حدود الوجود التجريبي المباشر، وتنتهي إما إلى تخدير عدمي، أو إلى مواجهة رواقية بلا رجاء متعالٍ، أو إلى خلود رمزي هو في الحقيقة تعويض نفسي عن غياب اليقين لا حل له.</w:t>
      </w:r>
    </w:p>
    <w:p w14:paraId="103F6764"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 xml:space="preserve">في المقابل، يقدّم التصور الاستخلافي، المؤسَّس على النص القرآني والتراث الإسلامي العريق (من ابن القيم إلى الغزالي)، بديلاً متكاملاً يعيد للموت معناه بوصفه "توفياً" لا فناءً، و"عتبة" لا جداراً، </w:t>
      </w:r>
      <w:proofErr w:type="spellStart"/>
      <w:r>
        <w:rPr>
          <w:rFonts w:ascii="Traditional Arabic" w:eastAsia="Traditional Arabic" w:hAnsi="Traditional Arabic" w:cs="Traditional Arabic"/>
          <w:color w:val="1A1A1A"/>
          <w:sz w:val="24"/>
          <w:szCs w:val="24"/>
          <w:rtl/>
        </w:rPr>
        <w:t>و"أفقاً</w:t>
      </w:r>
      <w:proofErr w:type="spellEnd"/>
      <w:r>
        <w:rPr>
          <w:rFonts w:ascii="Traditional Arabic" w:eastAsia="Traditional Arabic" w:hAnsi="Traditional Arabic" w:cs="Traditional Arabic"/>
          <w:color w:val="1A1A1A"/>
          <w:sz w:val="24"/>
          <w:szCs w:val="24"/>
          <w:rtl/>
        </w:rPr>
        <w:t xml:space="preserve"> لانهائياً" يمتد إلى عدالة مطلقة ولقاء بالله. وهذا التصور، كما بيّنت هذه الدراسة، ليس مجرد عزاء إيماني مجرد، بل هو بنية أنطولوجية متكاملة تنعكس مباشرة على الصحة النفسية، عبر تحرير الإنسان من القلق المزمن والغضب المكبوت والاستعباد للمادة، ومنحه بدلاً من ذلك طاقة دافعية هائلة نحو العمل الصالح والاستقامة والسكينة.</w:t>
      </w:r>
    </w:p>
    <w:p w14:paraId="6B6E0E70" w14:textId="77777777" w:rsidR="00A5712B" w:rsidRDefault="00C70D44">
      <w:pPr>
        <w:spacing w:after="200" w:line="340" w:lineRule="auto"/>
        <w:jc w:val="both"/>
      </w:pPr>
      <w:r>
        <w:rPr>
          <w:rFonts w:ascii="Traditional Arabic" w:eastAsia="Traditional Arabic" w:hAnsi="Traditional Arabic" w:cs="Traditional Arabic"/>
          <w:color w:val="1A1A1A"/>
          <w:sz w:val="24"/>
          <w:szCs w:val="24"/>
          <w:rtl/>
        </w:rPr>
        <w:t>وتبقى الدعوة مفتوحة أمام الباحثين، ضمن هذه السلسلة، لتعميق هذا الخط البحثي عبر دراسات ميدانية تقيس تجريبياً الفروق النفسية بين من يحمل هذا التصور الاستخلافي للموت ومن يفتقر إليه، بما يخدم الغاية الكبرى لهذا المشروع: تأسيس علم نفس إسلامي أصيل، متجذر في الوحي، ومنفتح في الوقت ذاته على أدوات المنهج العلمي المعاصر ونتائجه الموثقة.</w:t>
      </w:r>
    </w:p>
    <w:tbl>
      <w:tblPr>
        <w:tblW w:w="5000" w:type="pct"/>
        <w:jc w:val="center"/>
        <w:tblBorders>
          <w:top w:val="single" w:sz="16" w:space="0" w:color="C9A227"/>
          <w:left w:val="single" w:sz="16" w:space="0" w:color="C9A227"/>
          <w:bottom w:val="single" w:sz="16" w:space="0" w:color="C9A227"/>
          <w:right w:val="single" w:sz="16" w:space="0" w:color="C9A22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A5712B" w14:paraId="13E1E01E" w14:textId="77777777">
        <w:trPr>
          <w:jc w:val="center"/>
        </w:trPr>
        <w:tc>
          <w:tcPr>
            <w:tcW w:w="0" w:type="auto"/>
            <w:shd w:val="clear" w:color="auto" w:fill="F4ECD8"/>
            <w:tcMar>
              <w:top w:w="200" w:type="dxa"/>
              <w:left w:w="300" w:type="dxa"/>
              <w:bottom w:w="200" w:type="dxa"/>
              <w:right w:w="300" w:type="dxa"/>
            </w:tcMar>
            <w:vAlign w:val="center"/>
          </w:tcPr>
          <w:p w14:paraId="782CD7D8" w14:textId="77777777" w:rsidR="00A5712B" w:rsidRDefault="00C70D44">
            <w:pPr>
              <w:spacing w:after="100"/>
              <w:jc w:val="center"/>
            </w:pPr>
            <w:r>
              <w:rPr>
                <w:rFonts w:ascii="Traditional Arabic" w:eastAsia="Traditional Arabic" w:hAnsi="Traditional Arabic" w:cs="Traditional Arabic"/>
                <w:b/>
                <w:bCs/>
                <w:color w:val="1B2A4A"/>
                <w:sz w:val="28"/>
                <w:szCs w:val="28"/>
                <w:rtl/>
              </w:rPr>
              <w:t>وَلَا تَحْسَبَنَّ الَّذِينَ قُتِلُوا فِي سَبِيلِ اللَّهِ أَمْوَاتًا ۚ بَلْ أَحْيَاءٌ عِندَ رَبِّهِمْ يُرْزَقُونَ</w:t>
            </w:r>
          </w:p>
          <w:p w14:paraId="6B616EBB" w14:textId="77777777" w:rsidR="00A5712B" w:rsidRDefault="00C70D44">
            <w:pPr>
              <w:jc w:val="center"/>
            </w:pPr>
            <w:r>
              <w:rPr>
                <w:rFonts w:ascii="Traditional Arabic" w:eastAsia="Traditional Arabic" w:hAnsi="Traditional Arabic" w:cs="Traditional Arabic"/>
                <w:i/>
                <w:iCs/>
                <w:color w:val="0F6466"/>
                <w:rtl/>
              </w:rPr>
              <w:t>[آل عمران: 169]</w:t>
            </w:r>
          </w:p>
        </w:tc>
      </w:tr>
    </w:tbl>
    <w:p w14:paraId="5B5F8CD4" w14:textId="77777777" w:rsidR="00A5712B" w:rsidRDefault="00C70D44">
      <w:r>
        <w:br w:type="page"/>
      </w:r>
    </w:p>
    <w:p w14:paraId="7BAA881D" w14:textId="77777777" w:rsidR="00A5712B" w:rsidRDefault="00C70D44">
      <w:pPr>
        <w:pStyle w:val="1"/>
        <w:pBdr>
          <w:bottom w:val="single" w:sz="12" w:space="6" w:color="C9A227"/>
        </w:pBdr>
        <w:bidi/>
        <w:spacing w:before="480" w:after="240"/>
        <w:jc w:val="right"/>
      </w:pPr>
      <w:r>
        <w:rPr>
          <w:rFonts w:ascii="Traditional Arabic" w:eastAsia="Traditional Arabic" w:hAnsi="Traditional Arabic" w:cs="Traditional Arabic"/>
          <w:b/>
          <w:bCs/>
          <w:color w:val="1B2A4A"/>
          <w:sz w:val="34"/>
          <w:szCs w:val="34"/>
          <w:rtl/>
        </w:rPr>
        <w:t>المراجع والمصادر (موسّعة)</w:t>
      </w:r>
    </w:p>
    <w:p w14:paraId="5834BE57" w14:textId="77777777" w:rsidR="00A5712B" w:rsidRDefault="00C70D44">
      <w:pPr>
        <w:spacing w:before="260" w:after="140"/>
        <w:jc w:val="right"/>
      </w:pPr>
      <w:r>
        <w:rPr>
          <w:rFonts w:ascii="Traditional Arabic" w:eastAsia="Traditional Arabic" w:hAnsi="Traditional Arabic" w:cs="Traditional Arabic"/>
          <w:b/>
          <w:bCs/>
          <w:color w:val="0F6466"/>
          <w:sz w:val="24"/>
          <w:szCs w:val="24"/>
          <w:rtl/>
        </w:rPr>
        <w:t>أولاً: المصادر الأساسية (النموذج الاستخلافي)</w:t>
      </w:r>
    </w:p>
    <w:p w14:paraId="7A76E88B"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1. الزراع، عبد السلام. (2026). العلاج بحرث المصالحة التحويلية (TLRT): الدليل النظري والإكلينيكي. (الطبعة التجريبية الأولى).</w:t>
      </w:r>
    </w:p>
    <w:p w14:paraId="3EC40DA3"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2. الزراع، عبد السلام. (2026). الفصام الأخلاقي ومصدر الأزمات النفسية: قراءة في ضوء نظرية TLRT.</w:t>
      </w:r>
    </w:p>
    <w:p w14:paraId="024C0AB3"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3. الزراع، عبد السلام. (2026). </w:t>
      </w:r>
      <w:proofErr w:type="spellStart"/>
      <w:r>
        <w:rPr>
          <w:rFonts w:ascii="Traditional Arabic" w:eastAsia="Traditional Arabic" w:hAnsi="Traditional Arabic" w:cs="Traditional Arabic"/>
          <w:color w:val="1A1A1A"/>
          <w:sz w:val="22"/>
          <w:szCs w:val="22"/>
          <w:rtl/>
        </w:rPr>
        <w:t>التمثلات</w:t>
      </w:r>
      <w:proofErr w:type="spellEnd"/>
      <w:r>
        <w:rPr>
          <w:rFonts w:ascii="Traditional Arabic" w:eastAsia="Traditional Arabic" w:hAnsi="Traditional Arabic" w:cs="Traditional Arabic"/>
          <w:color w:val="1A1A1A"/>
          <w:sz w:val="22"/>
          <w:szCs w:val="22"/>
          <w:rtl/>
        </w:rPr>
        <w:t xml:space="preserve"> الداخلية للإله: من نظرية </w:t>
      </w:r>
      <w:proofErr w:type="spellStart"/>
      <w:r>
        <w:rPr>
          <w:rFonts w:ascii="Traditional Arabic" w:eastAsia="Traditional Arabic" w:hAnsi="Traditional Arabic" w:cs="Traditional Arabic"/>
          <w:color w:val="1A1A1A"/>
          <w:sz w:val="22"/>
          <w:szCs w:val="22"/>
          <w:rtl/>
        </w:rPr>
        <w:t>ريزوتو</w:t>
      </w:r>
      <w:proofErr w:type="spellEnd"/>
      <w:r>
        <w:rPr>
          <w:rFonts w:ascii="Traditional Arabic" w:eastAsia="Traditional Arabic" w:hAnsi="Traditional Arabic" w:cs="Traditional Arabic"/>
          <w:color w:val="1A1A1A"/>
          <w:sz w:val="22"/>
          <w:szCs w:val="22"/>
          <w:rtl/>
        </w:rPr>
        <w:t xml:space="preserve"> إلى إعادة بناء صورة الله في TLRT.</w:t>
      </w:r>
    </w:p>
    <w:p w14:paraId="3A431865"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4. الزراع، عبد السلام. (2026). من "النفخة الإلهية" إلى "الشوق الوجودي": نحو نظرية استخلافية للروح.</w:t>
      </w:r>
    </w:p>
    <w:p w14:paraId="3B0BAA58" w14:textId="77777777" w:rsidR="00A5712B" w:rsidRDefault="00C70D44">
      <w:pPr>
        <w:spacing w:before="260" w:after="140"/>
        <w:jc w:val="right"/>
      </w:pPr>
      <w:r>
        <w:rPr>
          <w:rFonts w:ascii="Traditional Arabic" w:eastAsia="Traditional Arabic" w:hAnsi="Traditional Arabic" w:cs="Traditional Arabic"/>
          <w:b/>
          <w:bCs/>
          <w:color w:val="0F6466"/>
          <w:sz w:val="24"/>
          <w:szCs w:val="24"/>
          <w:rtl/>
        </w:rPr>
        <w:t>ثانياً: مراجع في فلسفة الموت اليونانية والمادية</w:t>
      </w:r>
    </w:p>
    <w:p w14:paraId="4992BFAB"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1. </w:t>
      </w:r>
      <w:proofErr w:type="spellStart"/>
      <w:r>
        <w:rPr>
          <w:rFonts w:ascii="Traditional Arabic" w:eastAsia="Traditional Arabic" w:hAnsi="Traditional Arabic" w:cs="Traditional Arabic"/>
          <w:color w:val="1A1A1A"/>
          <w:sz w:val="22"/>
          <w:szCs w:val="22"/>
          <w:rtl/>
        </w:rPr>
        <w:t>Epicurus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Letter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Menoeceus</w:t>
      </w:r>
      <w:proofErr w:type="spellEnd"/>
      <w:r>
        <w:rPr>
          <w:rFonts w:ascii="Traditional Arabic" w:eastAsia="Traditional Arabic" w:hAnsi="Traditional Arabic" w:cs="Traditional Arabic"/>
          <w:color w:val="1A1A1A"/>
          <w:sz w:val="22"/>
          <w:szCs w:val="22"/>
          <w:rtl/>
        </w:rPr>
        <w:t>.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Diogenes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Laërtius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Lives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Eminent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Philosophers</w:t>
      </w:r>
      <w:proofErr w:type="spellEnd"/>
      <w:r>
        <w:rPr>
          <w:rFonts w:ascii="Traditional Arabic" w:eastAsia="Traditional Arabic" w:hAnsi="Traditional Arabic" w:cs="Traditional Arabic"/>
          <w:color w:val="1A1A1A"/>
          <w:sz w:val="22"/>
          <w:szCs w:val="22"/>
          <w:rtl/>
        </w:rPr>
        <w:t>).</w:t>
      </w:r>
    </w:p>
    <w:p w14:paraId="1DCFEAD3"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2. </w:t>
      </w:r>
      <w:proofErr w:type="spellStart"/>
      <w:r>
        <w:rPr>
          <w:rFonts w:ascii="Traditional Arabic" w:eastAsia="Traditional Arabic" w:hAnsi="Traditional Arabic" w:cs="Traditional Arabic"/>
          <w:color w:val="1A1A1A"/>
          <w:sz w:val="22"/>
          <w:szCs w:val="22"/>
          <w:rtl/>
        </w:rPr>
        <w:t>Lucretius</w:t>
      </w:r>
      <w:proofErr w:type="spellEnd"/>
      <w:r>
        <w:rPr>
          <w:rFonts w:ascii="Traditional Arabic" w:eastAsia="Traditional Arabic" w:hAnsi="Traditional Arabic" w:cs="Traditional Arabic"/>
          <w:color w:val="1A1A1A"/>
          <w:sz w:val="22"/>
          <w:szCs w:val="22"/>
          <w:rtl/>
        </w:rPr>
        <w:t xml:space="preserve">. (c. 55 BCE). </w:t>
      </w:r>
      <w:proofErr w:type="spellStart"/>
      <w:r>
        <w:rPr>
          <w:rFonts w:ascii="Traditional Arabic" w:eastAsia="Traditional Arabic" w:hAnsi="Traditional Arabic" w:cs="Traditional Arabic"/>
          <w:color w:val="1A1A1A"/>
          <w:sz w:val="22"/>
          <w:szCs w:val="22"/>
          <w:rtl/>
        </w:rPr>
        <w:t>De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Rerum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Natura</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Nature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Things</w:t>
      </w:r>
      <w:proofErr w:type="spellEnd"/>
      <w:r>
        <w:rPr>
          <w:rFonts w:ascii="Traditional Arabic" w:eastAsia="Traditional Arabic" w:hAnsi="Traditional Arabic" w:cs="Traditional Arabic"/>
          <w:color w:val="1A1A1A"/>
          <w:sz w:val="22"/>
          <w:szCs w:val="22"/>
          <w:rtl/>
        </w:rPr>
        <w:t>].</w:t>
      </w:r>
    </w:p>
    <w:p w14:paraId="4C70631D"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3. </w:t>
      </w:r>
      <w:proofErr w:type="spellStart"/>
      <w:r>
        <w:rPr>
          <w:rFonts w:ascii="Traditional Arabic" w:eastAsia="Traditional Arabic" w:hAnsi="Traditional Arabic" w:cs="Traditional Arabic"/>
          <w:color w:val="1A1A1A"/>
          <w:sz w:val="22"/>
          <w:szCs w:val="22"/>
          <w:rtl/>
        </w:rPr>
        <w:t>Camus</w:t>
      </w:r>
      <w:proofErr w:type="spellEnd"/>
      <w:r>
        <w:rPr>
          <w:rFonts w:ascii="Traditional Arabic" w:eastAsia="Traditional Arabic" w:hAnsi="Traditional Arabic" w:cs="Traditional Arabic"/>
          <w:color w:val="1A1A1A"/>
          <w:sz w:val="22"/>
          <w:szCs w:val="22"/>
          <w:rtl/>
        </w:rPr>
        <w:t xml:space="preserve">, A. (1942). </w:t>
      </w:r>
      <w:proofErr w:type="spellStart"/>
      <w:r>
        <w:rPr>
          <w:rFonts w:ascii="Traditional Arabic" w:eastAsia="Traditional Arabic" w:hAnsi="Traditional Arabic" w:cs="Traditional Arabic"/>
          <w:color w:val="1A1A1A"/>
          <w:sz w:val="22"/>
          <w:szCs w:val="22"/>
          <w:rtl/>
        </w:rPr>
        <w:t>Le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Mythe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Sisyphe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Paris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Gallimard</w:t>
      </w:r>
      <w:proofErr w:type="spellEnd"/>
      <w:r>
        <w:rPr>
          <w:rFonts w:ascii="Traditional Arabic" w:eastAsia="Traditional Arabic" w:hAnsi="Traditional Arabic" w:cs="Traditional Arabic"/>
          <w:color w:val="1A1A1A"/>
          <w:sz w:val="22"/>
          <w:szCs w:val="22"/>
          <w:rtl/>
        </w:rPr>
        <w:t>.</w:t>
      </w:r>
    </w:p>
    <w:p w14:paraId="0E972DCC" w14:textId="77777777" w:rsidR="00A5712B" w:rsidRDefault="00C70D44">
      <w:pPr>
        <w:spacing w:before="260" w:after="140"/>
        <w:jc w:val="right"/>
      </w:pPr>
      <w:r>
        <w:rPr>
          <w:rFonts w:ascii="Traditional Arabic" w:eastAsia="Traditional Arabic" w:hAnsi="Traditional Arabic" w:cs="Traditional Arabic"/>
          <w:b/>
          <w:bCs/>
          <w:color w:val="0F6466"/>
          <w:sz w:val="24"/>
          <w:szCs w:val="24"/>
          <w:rtl/>
        </w:rPr>
        <w:t>ثالثاً: مراجع في العلاج الوجودي وفلسفة الموت</w:t>
      </w:r>
    </w:p>
    <w:p w14:paraId="58C4B1EA"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1. </w:t>
      </w:r>
      <w:proofErr w:type="spellStart"/>
      <w:r>
        <w:rPr>
          <w:rFonts w:ascii="Traditional Arabic" w:eastAsia="Traditional Arabic" w:hAnsi="Traditional Arabic" w:cs="Traditional Arabic"/>
          <w:color w:val="1A1A1A"/>
          <w:sz w:val="22"/>
          <w:szCs w:val="22"/>
          <w:rtl/>
        </w:rPr>
        <w:t>Yalom</w:t>
      </w:r>
      <w:proofErr w:type="spellEnd"/>
      <w:r>
        <w:rPr>
          <w:rFonts w:ascii="Traditional Arabic" w:eastAsia="Traditional Arabic" w:hAnsi="Traditional Arabic" w:cs="Traditional Arabic"/>
          <w:color w:val="1A1A1A"/>
          <w:sz w:val="22"/>
          <w:szCs w:val="22"/>
          <w:rtl/>
        </w:rPr>
        <w:t xml:space="preserve">, I. D. (1980). </w:t>
      </w:r>
      <w:proofErr w:type="spellStart"/>
      <w:r>
        <w:rPr>
          <w:rFonts w:ascii="Traditional Arabic" w:eastAsia="Traditional Arabic" w:hAnsi="Traditional Arabic" w:cs="Traditional Arabic"/>
          <w:color w:val="1A1A1A"/>
          <w:sz w:val="22"/>
          <w:szCs w:val="22"/>
          <w:rtl/>
        </w:rPr>
        <w:t>Existential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Psychotherapy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Basic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Books</w:t>
      </w:r>
      <w:proofErr w:type="spellEnd"/>
      <w:r>
        <w:rPr>
          <w:rFonts w:ascii="Traditional Arabic" w:eastAsia="Traditional Arabic" w:hAnsi="Traditional Arabic" w:cs="Traditional Arabic"/>
          <w:color w:val="1A1A1A"/>
          <w:sz w:val="22"/>
          <w:szCs w:val="22"/>
          <w:rtl/>
        </w:rPr>
        <w:t>.</w:t>
      </w:r>
    </w:p>
    <w:p w14:paraId="0CEA50CD"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2. </w:t>
      </w:r>
      <w:proofErr w:type="spellStart"/>
      <w:r>
        <w:rPr>
          <w:rFonts w:ascii="Traditional Arabic" w:eastAsia="Traditional Arabic" w:hAnsi="Traditional Arabic" w:cs="Traditional Arabic"/>
          <w:color w:val="1A1A1A"/>
          <w:sz w:val="22"/>
          <w:szCs w:val="22"/>
          <w:rtl/>
        </w:rPr>
        <w:t>Yalom</w:t>
      </w:r>
      <w:proofErr w:type="spellEnd"/>
      <w:r>
        <w:rPr>
          <w:rFonts w:ascii="Traditional Arabic" w:eastAsia="Traditional Arabic" w:hAnsi="Traditional Arabic" w:cs="Traditional Arabic"/>
          <w:color w:val="1A1A1A"/>
          <w:sz w:val="22"/>
          <w:szCs w:val="22"/>
          <w:rtl/>
        </w:rPr>
        <w:t xml:space="preserve">, I. D. (2008). </w:t>
      </w:r>
      <w:proofErr w:type="spellStart"/>
      <w:r>
        <w:rPr>
          <w:rFonts w:ascii="Traditional Arabic" w:eastAsia="Traditional Arabic" w:hAnsi="Traditional Arabic" w:cs="Traditional Arabic"/>
          <w:color w:val="1A1A1A"/>
          <w:sz w:val="22"/>
          <w:szCs w:val="22"/>
          <w:rtl/>
        </w:rPr>
        <w:t>Staring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Sun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Overcoming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Terror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Death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Francisco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Jossey-Bass</w:t>
      </w:r>
      <w:proofErr w:type="spellEnd"/>
      <w:r>
        <w:rPr>
          <w:rFonts w:ascii="Traditional Arabic" w:eastAsia="Traditional Arabic" w:hAnsi="Traditional Arabic" w:cs="Traditional Arabic"/>
          <w:color w:val="1A1A1A"/>
          <w:sz w:val="22"/>
          <w:szCs w:val="22"/>
          <w:rtl/>
        </w:rPr>
        <w:t>.</w:t>
      </w:r>
    </w:p>
    <w:p w14:paraId="142A8671"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3. </w:t>
      </w:r>
      <w:proofErr w:type="spellStart"/>
      <w:r>
        <w:rPr>
          <w:rFonts w:ascii="Traditional Arabic" w:eastAsia="Traditional Arabic" w:hAnsi="Traditional Arabic" w:cs="Traditional Arabic"/>
          <w:color w:val="1A1A1A"/>
          <w:sz w:val="22"/>
          <w:szCs w:val="22"/>
          <w:rtl/>
        </w:rPr>
        <w:t>Becker</w:t>
      </w:r>
      <w:proofErr w:type="spellEnd"/>
      <w:r>
        <w:rPr>
          <w:rFonts w:ascii="Traditional Arabic" w:eastAsia="Traditional Arabic" w:hAnsi="Traditional Arabic" w:cs="Traditional Arabic"/>
          <w:color w:val="1A1A1A"/>
          <w:sz w:val="22"/>
          <w:szCs w:val="22"/>
          <w:rtl/>
        </w:rPr>
        <w:t xml:space="preserve">, E. (1973).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Denial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Death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Free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3E7458D8"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4. </w:t>
      </w:r>
      <w:proofErr w:type="spellStart"/>
      <w:r>
        <w:rPr>
          <w:rFonts w:ascii="Traditional Arabic" w:eastAsia="Traditional Arabic" w:hAnsi="Traditional Arabic" w:cs="Traditional Arabic"/>
          <w:color w:val="1A1A1A"/>
          <w:sz w:val="22"/>
          <w:szCs w:val="22"/>
          <w:rtl/>
        </w:rPr>
        <w:t>Solomon</w:t>
      </w:r>
      <w:proofErr w:type="spellEnd"/>
      <w:r>
        <w:rPr>
          <w:rFonts w:ascii="Traditional Arabic" w:eastAsia="Traditional Arabic" w:hAnsi="Traditional Arabic" w:cs="Traditional Arabic"/>
          <w:color w:val="1A1A1A"/>
          <w:sz w:val="22"/>
          <w:szCs w:val="22"/>
          <w:rtl/>
        </w:rPr>
        <w:t xml:space="preserve">, S., </w:t>
      </w:r>
      <w:proofErr w:type="spellStart"/>
      <w:r>
        <w:rPr>
          <w:rFonts w:ascii="Traditional Arabic" w:eastAsia="Traditional Arabic" w:hAnsi="Traditional Arabic" w:cs="Traditional Arabic"/>
          <w:color w:val="1A1A1A"/>
          <w:sz w:val="22"/>
          <w:szCs w:val="22"/>
          <w:rtl/>
        </w:rPr>
        <w:t>Greenberg</w:t>
      </w:r>
      <w:proofErr w:type="spellEnd"/>
      <w:r>
        <w:rPr>
          <w:rFonts w:ascii="Traditional Arabic" w:eastAsia="Traditional Arabic" w:hAnsi="Traditional Arabic" w:cs="Traditional Arabic"/>
          <w:color w:val="1A1A1A"/>
          <w:sz w:val="22"/>
          <w:szCs w:val="22"/>
          <w:rtl/>
        </w:rPr>
        <w:t xml:space="preserve">, J., &amp; </w:t>
      </w:r>
      <w:proofErr w:type="spellStart"/>
      <w:r>
        <w:rPr>
          <w:rFonts w:ascii="Traditional Arabic" w:eastAsia="Traditional Arabic" w:hAnsi="Traditional Arabic" w:cs="Traditional Arabic"/>
          <w:color w:val="1A1A1A"/>
          <w:sz w:val="22"/>
          <w:szCs w:val="22"/>
          <w:rtl/>
        </w:rPr>
        <w:t>Pyszczynski</w:t>
      </w:r>
      <w:proofErr w:type="spellEnd"/>
      <w:r>
        <w:rPr>
          <w:rFonts w:ascii="Traditional Arabic" w:eastAsia="Traditional Arabic" w:hAnsi="Traditional Arabic" w:cs="Traditional Arabic"/>
          <w:color w:val="1A1A1A"/>
          <w:sz w:val="22"/>
          <w:szCs w:val="22"/>
          <w:rtl/>
        </w:rPr>
        <w:t xml:space="preserve">, T. (2015).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Worm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Role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Death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Life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Random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House</w:t>
      </w:r>
      <w:proofErr w:type="spellEnd"/>
      <w:r>
        <w:rPr>
          <w:rFonts w:ascii="Traditional Arabic" w:eastAsia="Traditional Arabic" w:hAnsi="Traditional Arabic" w:cs="Traditional Arabic"/>
          <w:color w:val="1A1A1A"/>
          <w:sz w:val="22"/>
          <w:szCs w:val="22"/>
          <w:rtl/>
        </w:rPr>
        <w:t>.</w:t>
      </w:r>
    </w:p>
    <w:p w14:paraId="10812E5D" w14:textId="77777777" w:rsidR="00A5712B" w:rsidRDefault="00C70D44">
      <w:pPr>
        <w:spacing w:before="260" w:after="140"/>
        <w:jc w:val="right"/>
      </w:pPr>
      <w:r>
        <w:rPr>
          <w:rFonts w:ascii="Traditional Arabic" w:eastAsia="Traditional Arabic" w:hAnsi="Traditional Arabic" w:cs="Traditional Arabic"/>
          <w:b/>
          <w:bCs/>
          <w:color w:val="0F6466"/>
          <w:sz w:val="24"/>
          <w:szCs w:val="24"/>
          <w:rtl/>
        </w:rPr>
        <w:t xml:space="preserve">رابعاً: مراجع في فلسفة الموت في التراث الغربي </w:t>
      </w:r>
      <w:proofErr w:type="spellStart"/>
      <w:r>
        <w:rPr>
          <w:rFonts w:ascii="Traditional Arabic" w:eastAsia="Traditional Arabic" w:hAnsi="Traditional Arabic" w:cs="Traditional Arabic"/>
          <w:b/>
          <w:bCs/>
          <w:color w:val="0F6466"/>
          <w:sz w:val="24"/>
          <w:szCs w:val="24"/>
          <w:rtl/>
        </w:rPr>
        <w:t>الفينومينولوجي</w:t>
      </w:r>
      <w:proofErr w:type="spellEnd"/>
    </w:p>
    <w:p w14:paraId="46DC5BBC"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1. </w:t>
      </w:r>
      <w:proofErr w:type="spellStart"/>
      <w:r>
        <w:rPr>
          <w:rFonts w:ascii="Traditional Arabic" w:eastAsia="Traditional Arabic" w:hAnsi="Traditional Arabic" w:cs="Traditional Arabic"/>
          <w:color w:val="1A1A1A"/>
          <w:sz w:val="22"/>
          <w:szCs w:val="22"/>
          <w:rtl/>
        </w:rPr>
        <w:t>Heidegger</w:t>
      </w:r>
      <w:proofErr w:type="spellEnd"/>
      <w:r>
        <w:rPr>
          <w:rFonts w:ascii="Traditional Arabic" w:eastAsia="Traditional Arabic" w:hAnsi="Traditional Arabic" w:cs="Traditional Arabic"/>
          <w:color w:val="1A1A1A"/>
          <w:sz w:val="22"/>
          <w:szCs w:val="22"/>
          <w:rtl/>
        </w:rPr>
        <w:t xml:space="preserve">, M. (1927). </w:t>
      </w:r>
      <w:proofErr w:type="spellStart"/>
      <w:r>
        <w:rPr>
          <w:rFonts w:ascii="Traditional Arabic" w:eastAsia="Traditional Arabic" w:hAnsi="Traditional Arabic" w:cs="Traditional Arabic"/>
          <w:color w:val="1A1A1A"/>
          <w:sz w:val="22"/>
          <w:szCs w:val="22"/>
          <w:rtl/>
        </w:rPr>
        <w:t>Sein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Zeit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Being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Time</w:t>
      </w:r>
      <w:proofErr w:type="spellEnd"/>
      <w:r>
        <w:rPr>
          <w:rFonts w:ascii="Traditional Arabic" w:eastAsia="Traditional Arabic" w:hAnsi="Traditional Arabic" w:cs="Traditional Arabic"/>
          <w:color w:val="1A1A1A"/>
          <w:sz w:val="22"/>
          <w:szCs w:val="22"/>
          <w:rtl/>
        </w:rPr>
        <w:t xml:space="preserve">]. (J. </w:t>
      </w:r>
      <w:proofErr w:type="spellStart"/>
      <w:r>
        <w:rPr>
          <w:rFonts w:ascii="Traditional Arabic" w:eastAsia="Traditional Arabic" w:hAnsi="Traditional Arabic" w:cs="Traditional Arabic"/>
          <w:color w:val="1A1A1A"/>
          <w:sz w:val="22"/>
          <w:szCs w:val="22"/>
          <w:rtl/>
        </w:rPr>
        <w:t>Macquarrie</w:t>
      </w:r>
      <w:proofErr w:type="spellEnd"/>
      <w:r>
        <w:rPr>
          <w:rFonts w:ascii="Traditional Arabic" w:eastAsia="Traditional Arabic" w:hAnsi="Traditional Arabic" w:cs="Traditional Arabic"/>
          <w:color w:val="1A1A1A"/>
          <w:sz w:val="22"/>
          <w:szCs w:val="22"/>
          <w:rtl/>
        </w:rPr>
        <w:t xml:space="preserve"> &amp; E. </w:t>
      </w:r>
      <w:proofErr w:type="spellStart"/>
      <w:r>
        <w:rPr>
          <w:rFonts w:ascii="Traditional Arabic" w:eastAsia="Traditional Arabic" w:hAnsi="Traditional Arabic" w:cs="Traditional Arabic"/>
          <w:color w:val="1A1A1A"/>
          <w:sz w:val="22"/>
          <w:szCs w:val="22"/>
          <w:rtl/>
        </w:rPr>
        <w:t>Robinson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Trans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Harper</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Row</w:t>
      </w:r>
      <w:proofErr w:type="spellEnd"/>
      <w:r>
        <w:rPr>
          <w:rFonts w:ascii="Traditional Arabic" w:eastAsia="Traditional Arabic" w:hAnsi="Traditional Arabic" w:cs="Traditional Arabic"/>
          <w:color w:val="1A1A1A"/>
          <w:sz w:val="22"/>
          <w:szCs w:val="22"/>
          <w:rtl/>
        </w:rPr>
        <w:t>.</w:t>
      </w:r>
    </w:p>
    <w:p w14:paraId="0EB80CBF"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2. </w:t>
      </w:r>
      <w:proofErr w:type="spellStart"/>
      <w:r>
        <w:rPr>
          <w:rFonts w:ascii="Traditional Arabic" w:eastAsia="Traditional Arabic" w:hAnsi="Traditional Arabic" w:cs="Traditional Arabic"/>
          <w:color w:val="1A1A1A"/>
          <w:sz w:val="22"/>
          <w:szCs w:val="22"/>
          <w:rtl/>
        </w:rPr>
        <w:t>Jaspers</w:t>
      </w:r>
      <w:proofErr w:type="spellEnd"/>
      <w:r>
        <w:rPr>
          <w:rFonts w:ascii="Traditional Arabic" w:eastAsia="Traditional Arabic" w:hAnsi="Traditional Arabic" w:cs="Traditional Arabic"/>
          <w:color w:val="1A1A1A"/>
          <w:sz w:val="22"/>
          <w:szCs w:val="22"/>
          <w:rtl/>
        </w:rPr>
        <w:t xml:space="preserve">, K. (1932). </w:t>
      </w:r>
      <w:proofErr w:type="spellStart"/>
      <w:r>
        <w:rPr>
          <w:rFonts w:ascii="Traditional Arabic" w:eastAsia="Traditional Arabic" w:hAnsi="Traditional Arabic" w:cs="Traditional Arabic"/>
          <w:color w:val="1A1A1A"/>
          <w:sz w:val="22"/>
          <w:szCs w:val="22"/>
          <w:rtl/>
        </w:rPr>
        <w:t>Philosophie</w:t>
      </w:r>
      <w:proofErr w:type="spellEnd"/>
      <w:r>
        <w:rPr>
          <w:rFonts w:ascii="Traditional Arabic" w:eastAsia="Traditional Arabic" w:hAnsi="Traditional Arabic" w:cs="Traditional Arabic"/>
          <w:color w:val="1A1A1A"/>
          <w:sz w:val="22"/>
          <w:szCs w:val="22"/>
          <w:rtl/>
        </w:rPr>
        <w:t xml:space="preserve"> II: </w:t>
      </w:r>
      <w:proofErr w:type="spellStart"/>
      <w:r>
        <w:rPr>
          <w:rFonts w:ascii="Traditional Arabic" w:eastAsia="Traditional Arabic" w:hAnsi="Traditional Arabic" w:cs="Traditional Arabic"/>
          <w:color w:val="1A1A1A"/>
          <w:sz w:val="22"/>
          <w:szCs w:val="22"/>
          <w:rtl/>
        </w:rPr>
        <w:t>Existenzerhellung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Berlin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Springer</w:t>
      </w:r>
      <w:proofErr w:type="spellEnd"/>
      <w:r>
        <w:rPr>
          <w:rFonts w:ascii="Traditional Arabic" w:eastAsia="Traditional Arabic" w:hAnsi="Traditional Arabic" w:cs="Traditional Arabic"/>
          <w:color w:val="1A1A1A"/>
          <w:sz w:val="22"/>
          <w:szCs w:val="22"/>
          <w:rtl/>
        </w:rPr>
        <w:t>.</w:t>
      </w:r>
    </w:p>
    <w:p w14:paraId="45CDBFDF"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3. </w:t>
      </w:r>
      <w:proofErr w:type="spellStart"/>
      <w:r>
        <w:rPr>
          <w:rFonts w:ascii="Traditional Arabic" w:eastAsia="Traditional Arabic" w:hAnsi="Traditional Arabic" w:cs="Traditional Arabic"/>
          <w:color w:val="1A1A1A"/>
          <w:sz w:val="22"/>
          <w:szCs w:val="22"/>
          <w:rtl/>
        </w:rPr>
        <w:t>Kierkegaard</w:t>
      </w:r>
      <w:proofErr w:type="spellEnd"/>
      <w:r>
        <w:rPr>
          <w:rFonts w:ascii="Traditional Arabic" w:eastAsia="Traditional Arabic" w:hAnsi="Traditional Arabic" w:cs="Traditional Arabic"/>
          <w:color w:val="1A1A1A"/>
          <w:sz w:val="22"/>
          <w:szCs w:val="22"/>
          <w:rtl/>
        </w:rPr>
        <w:t xml:space="preserve">, S. (1843). </w:t>
      </w:r>
      <w:proofErr w:type="spellStart"/>
      <w:r>
        <w:rPr>
          <w:rFonts w:ascii="Traditional Arabic" w:eastAsia="Traditional Arabic" w:hAnsi="Traditional Arabic" w:cs="Traditional Arabic"/>
          <w:color w:val="1A1A1A"/>
          <w:sz w:val="22"/>
          <w:szCs w:val="22"/>
          <w:rtl/>
        </w:rPr>
        <w:t>Fear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Trembling</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Hannay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Trans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London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Penguin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Classics</w:t>
      </w:r>
      <w:proofErr w:type="spellEnd"/>
      <w:r>
        <w:rPr>
          <w:rFonts w:ascii="Traditional Arabic" w:eastAsia="Traditional Arabic" w:hAnsi="Traditional Arabic" w:cs="Traditional Arabic"/>
          <w:color w:val="1A1A1A"/>
          <w:sz w:val="22"/>
          <w:szCs w:val="22"/>
          <w:rtl/>
        </w:rPr>
        <w:t>.</w:t>
      </w:r>
    </w:p>
    <w:p w14:paraId="0146A89B" w14:textId="77777777" w:rsidR="00A5712B" w:rsidRDefault="00C70D44">
      <w:pPr>
        <w:spacing w:before="260" w:after="140"/>
        <w:jc w:val="right"/>
      </w:pPr>
      <w:r>
        <w:rPr>
          <w:rFonts w:ascii="Traditional Arabic" w:eastAsia="Traditional Arabic" w:hAnsi="Traditional Arabic" w:cs="Traditional Arabic"/>
          <w:b/>
          <w:bCs/>
          <w:color w:val="0F6466"/>
          <w:sz w:val="24"/>
          <w:szCs w:val="24"/>
          <w:rtl/>
        </w:rPr>
        <w:t>خامساً: مراجع في التحليل النفسي</w:t>
      </w:r>
    </w:p>
    <w:p w14:paraId="0EBEE694"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 xml:space="preserve">1. </w:t>
      </w:r>
      <w:proofErr w:type="spellStart"/>
      <w:r>
        <w:rPr>
          <w:rFonts w:ascii="Traditional Arabic" w:eastAsia="Traditional Arabic" w:hAnsi="Traditional Arabic" w:cs="Traditional Arabic"/>
          <w:color w:val="1A1A1A"/>
          <w:sz w:val="22"/>
          <w:szCs w:val="22"/>
          <w:rtl/>
        </w:rPr>
        <w:t>Freud</w:t>
      </w:r>
      <w:proofErr w:type="spellEnd"/>
      <w:r>
        <w:rPr>
          <w:rFonts w:ascii="Traditional Arabic" w:eastAsia="Traditional Arabic" w:hAnsi="Traditional Arabic" w:cs="Traditional Arabic"/>
          <w:color w:val="1A1A1A"/>
          <w:sz w:val="22"/>
          <w:szCs w:val="22"/>
          <w:rtl/>
        </w:rPr>
        <w:t xml:space="preserve">, S. (1920). </w:t>
      </w:r>
      <w:proofErr w:type="spellStart"/>
      <w:r>
        <w:rPr>
          <w:rFonts w:ascii="Traditional Arabic" w:eastAsia="Traditional Arabic" w:hAnsi="Traditional Arabic" w:cs="Traditional Arabic"/>
          <w:color w:val="1A1A1A"/>
          <w:sz w:val="22"/>
          <w:szCs w:val="22"/>
          <w:rtl/>
        </w:rPr>
        <w:t>Beyond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Pleasure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Principle</w:t>
      </w:r>
      <w:proofErr w:type="spellEnd"/>
      <w:r>
        <w:rPr>
          <w:rFonts w:ascii="Traditional Arabic" w:eastAsia="Traditional Arabic" w:hAnsi="Traditional Arabic" w:cs="Traditional Arabic"/>
          <w:color w:val="1A1A1A"/>
          <w:sz w:val="22"/>
          <w:szCs w:val="22"/>
          <w:rtl/>
        </w:rPr>
        <w:t xml:space="preserve">. (J. </w:t>
      </w:r>
      <w:proofErr w:type="spellStart"/>
      <w:r>
        <w:rPr>
          <w:rFonts w:ascii="Traditional Arabic" w:eastAsia="Traditional Arabic" w:hAnsi="Traditional Arabic" w:cs="Traditional Arabic"/>
          <w:color w:val="1A1A1A"/>
          <w:sz w:val="22"/>
          <w:szCs w:val="22"/>
          <w:rtl/>
        </w:rPr>
        <w:t>Strachey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Trans</w:t>
      </w:r>
      <w:proofErr w:type="spellEnd"/>
      <w:r>
        <w:rPr>
          <w:rFonts w:ascii="Traditional Arabic" w:eastAsia="Traditional Arabic" w:hAnsi="Traditional Arabic" w:cs="Traditional Arabic"/>
          <w:color w:val="1A1A1A"/>
          <w:sz w:val="22"/>
          <w:szCs w:val="22"/>
          <w:rtl/>
        </w:rPr>
        <w:t>.).</w:t>
      </w:r>
    </w:p>
    <w:p w14:paraId="4CA06BF2" w14:textId="77777777" w:rsidR="00A5712B" w:rsidRDefault="00C70D44">
      <w:pPr>
        <w:spacing w:before="260" w:after="140"/>
        <w:jc w:val="right"/>
      </w:pPr>
      <w:r>
        <w:rPr>
          <w:rFonts w:ascii="Traditional Arabic" w:eastAsia="Traditional Arabic" w:hAnsi="Traditional Arabic" w:cs="Traditional Arabic"/>
          <w:b/>
          <w:bCs/>
          <w:color w:val="0F6466"/>
          <w:sz w:val="24"/>
          <w:szCs w:val="24"/>
          <w:rtl/>
        </w:rPr>
        <w:t>سادساً: مراجع في التراث الإسلامي</w:t>
      </w:r>
    </w:p>
    <w:p w14:paraId="415A0063"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1. القرآن الكريم.</w:t>
      </w:r>
    </w:p>
    <w:p w14:paraId="34CDB38D"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2. ابن القيم الجوزية. (د.ت.). الروح في الكلام على أرواح الأموات والأحياء بالدلائل من الكتاب والسنة. بيروت: دار الكتب العلمية.</w:t>
      </w:r>
    </w:p>
    <w:p w14:paraId="526DFD0A" w14:textId="77777777" w:rsidR="00A5712B" w:rsidRDefault="00C70D44">
      <w:pPr>
        <w:spacing w:after="120" w:line="300" w:lineRule="auto"/>
        <w:ind w:left="360"/>
        <w:jc w:val="right"/>
      </w:pPr>
      <w:r>
        <w:rPr>
          <w:rFonts w:ascii="Traditional Arabic" w:eastAsia="Traditional Arabic" w:hAnsi="Traditional Arabic" w:cs="Traditional Arabic"/>
          <w:color w:val="1A1A1A"/>
          <w:sz w:val="22"/>
          <w:szCs w:val="22"/>
          <w:rtl/>
        </w:rPr>
        <w:t>3. الغزالي، أبو حامد. (د.ت.). إحياء علوم الدين، كتاب ذكر الموت وما بعده. بيروت: دار المعرفة.</w:t>
      </w:r>
    </w:p>
    <w:sectPr w:rsidR="00A5712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EC0E" w14:textId="77777777" w:rsidR="0032342F" w:rsidRDefault="0032342F">
      <w:r>
        <w:separator/>
      </w:r>
    </w:p>
  </w:endnote>
  <w:endnote w:type="continuationSeparator" w:id="0">
    <w:p w14:paraId="6F66560B" w14:textId="77777777" w:rsidR="0032342F" w:rsidRDefault="0032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3687" w14:textId="77777777" w:rsidR="00A5712B" w:rsidRDefault="00C70D44">
    <w:pPr>
      <w:jc w:val="center"/>
    </w:pPr>
    <w:r>
      <w:rPr>
        <w:rFonts w:ascii="Traditional Arabic" w:eastAsia="Traditional Arabic" w:hAnsi="Traditional Arabic" w:cs="Traditional Arabic"/>
        <w:color w:val="1B2A4A"/>
        <w:sz w:val="18"/>
        <w:szCs w:val="18"/>
      </w:rPr>
      <w:fldChar w:fldCharType="begin"/>
    </w:r>
    <w:r>
      <w:rPr>
        <w:rFonts w:ascii="Traditional Arabic" w:eastAsia="Traditional Arabic" w:hAnsi="Traditional Arabic" w:cs="Traditional Arabic"/>
        <w:color w:val="1B2A4A"/>
        <w:sz w:val="18"/>
        <w:szCs w:val="18"/>
      </w:rPr>
      <w:instrText>PAGE</w:instrText>
    </w:r>
    <w:r>
      <w:rPr>
        <w:rFonts w:ascii="Traditional Arabic" w:eastAsia="Traditional Arabic" w:hAnsi="Traditional Arabic" w:cs="Traditional Arabic"/>
        <w:color w:val="1B2A4A"/>
        <w:sz w:val="18"/>
        <w:szCs w:val="18"/>
      </w:rPr>
      <w:fldChar w:fldCharType="separate"/>
    </w:r>
    <w:r>
      <w:rPr>
        <w:rFonts w:ascii="Traditional Arabic" w:eastAsia="Traditional Arabic" w:hAnsi="Traditional Arabic" w:cs="Traditional Arabic"/>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CC90" w14:textId="77777777" w:rsidR="0032342F" w:rsidRDefault="0032342F">
      <w:r>
        <w:separator/>
      </w:r>
    </w:p>
  </w:footnote>
  <w:footnote w:type="continuationSeparator" w:id="0">
    <w:p w14:paraId="47575E00" w14:textId="77777777" w:rsidR="0032342F" w:rsidRDefault="00323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1EFD" w14:textId="77777777" w:rsidR="00A5712B" w:rsidRDefault="00C70D44">
    <w:pPr>
      <w:pBdr>
        <w:bottom w:val="single" w:sz="6" w:space="4" w:color="C9A227"/>
      </w:pBdr>
      <w:jc w:val="center"/>
    </w:pPr>
    <w:r>
      <w:rPr>
        <w:rFonts w:ascii="Traditional Arabic" w:eastAsia="Traditional Arabic" w:hAnsi="Traditional Arabic" w:cs="Traditional Arabic"/>
        <w:color w:val="0F6466"/>
        <w:sz w:val="16"/>
        <w:szCs w:val="16"/>
        <w:rtl/>
      </w:rPr>
      <w:t>علم النفس الاستخلافي — سلسلة الدراسات المقارنة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B1663"/>
    <w:multiLevelType w:val="hybridMultilevel"/>
    <w:tmpl w:val="FFFFFFFF"/>
    <w:lvl w:ilvl="0" w:tplc="FCAE3F62">
      <w:start w:val="1"/>
      <w:numFmt w:val="bullet"/>
      <w:lvlText w:val="●"/>
      <w:lvlJc w:val="left"/>
      <w:pPr>
        <w:ind w:left="720" w:hanging="360"/>
      </w:pPr>
    </w:lvl>
    <w:lvl w:ilvl="1" w:tplc="FA56741E">
      <w:start w:val="1"/>
      <w:numFmt w:val="bullet"/>
      <w:lvlText w:val="○"/>
      <w:lvlJc w:val="left"/>
      <w:pPr>
        <w:ind w:left="1440" w:hanging="360"/>
      </w:pPr>
    </w:lvl>
    <w:lvl w:ilvl="2" w:tplc="0242FF02">
      <w:start w:val="1"/>
      <w:numFmt w:val="bullet"/>
      <w:lvlText w:val="■"/>
      <w:lvlJc w:val="left"/>
      <w:pPr>
        <w:ind w:left="2160" w:hanging="360"/>
      </w:pPr>
    </w:lvl>
    <w:lvl w:ilvl="3" w:tplc="A59E22AA">
      <w:start w:val="1"/>
      <w:numFmt w:val="bullet"/>
      <w:lvlText w:val="●"/>
      <w:lvlJc w:val="left"/>
      <w:pPr>
        <w:ind w:left="2880" w:hanging="360"/>
      </w:pPr>
    </w:lvl>
    <w:lvl w:ilvl="4" w:tplc="339651C2">
      <w:start w:val="1"/>
      <w:numFmt w:val="bullet"/>
      <w:lvlText w:val="○"/>
      <w:lvlJc w:val="left"/>
      <w:pPr>
        <w:ind w:left="3600" w:hanging="360"/>
      </w:pPr>
    </w:lvl>
    <w:lvl w:ilvl="5" w:tplc="D10EB9B8">
      <w:start w:val="1"/>
      <w:numFmt w:val="bullet"/>
      <w:lvlText w:val="■"/>
      <w:lvlJc w:val="left"/>
      <w:pPr>
        <w:ind w:left="4320" w:hanging="360"/>
      </w:pPr>
    </w:lvl>
    <w:lvl w:ilvl="6" w:tplc="5170C738">
      <w:start w:val="1"/>
      <w:numFmt w:val="bullet"/>
      <w:lvlText w:val="●"/>
      <w:lvlJc w:val="left"/>
      <w:pPr>
        <w:ind w:left="5040" w:hanging="360"/>
      </w:pPr>
    </w:lvl>
    <w:lvl w:ilvl="7" w:tplc="42F88ECE">
      <w:start w:val="1"/>
      <w:numFmt w:val="bullet"/>
      <w:lvlText w:val="●"/>
      <w:lvlJc w:val="left"/>
      <w:pPr>
        <w:ind w:left="5760" w:hanging="360"/>
      </w:pPr>
    </w:lvl>
    <w:lvl w:ilvl="8" w:tplc="DDE685A6">
      <w:start w:val="1"/>
      <w:numFmt w:val="bullet"/>
      <w:lvlText w:val="●"/>
      <w:lvlJc w:val="left"/>
      <w:pPr>
        <w:ind w:left="6480" w:hanging="360"/>
      </w:pPr>
    </w:lvl>
  </w:abstractNum>
  <w:num w:numId="1" w16cid:durableId="14612670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12B"/>
    <w:rsid w:val="000B6FB8"/>
    <w:rsid w:val="0032342F"/>
    <w:rsid w:val="0073761C"/>
    <w:rsid w:val="00812C20"/>
    <w:rsid w:val="00851A2E"/>
    <w:rsid w:val="00A5712B"/>
    <w:rsid w:val="00AA561B"/>
    <w:rsid w:val="00BC62AD"/>
    <w:rsid w:val="00C70D44"/>
    <w:rsid w:val="00DD6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C7B8F37"/>
  <w15:docId w15:val="{9AE5DEB4-D70E-E748-9D41-50681BFC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2775</Words>
  <Characters>15824</Characters>
  <Application>Microsoft Office Word</Application>
  <DocSecurity>0</DocSecurity>
  <Lines>131</Lines>
  <Paragraphs>37</Paragraphs>
  <ScaleCrop>false</ScaleCrop>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2026-07-27T08:28:00Z</dcterms:created>
  <dcterms:modified xsi:type="dcterms:W3CDTF">2026-07-27T16:03:00Z</dcterms:modified>
</cp:coreProperties>
</file>