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DAE74" w14:textId="77777777" w:rsidR="006E6A4B" w:rsidRDefault="009568D6">
      <w:pPr>
        <w:pBdr>
          <w:bottom w:val="single" w:sz="18" w:space="8" w:color="B8860B"/>
        </w:pBdr>
        <w:spacing w:after="120"/>
        <w:jc w:val="center"/>
        <w:rPr>
          <w:rFonts w:cs="Arial"/>
        </w:rPr>
      </w:pPr>
      <w:r>
        <w:rPr>
          <w:rFonts w:hint="cs"/>
          <w:b/>
          <w:bCs/>
          <w:color w:val="1F3864"/>
          <w:sz w:val="40"/>
          <w:szCs w:val="40"/>
        </w:rPr>
        <w:t>م</w:t>
      </w:r>
      <w:r>
        <w:rPr>
          <w:b/>
          <w:bCs/>
          <w:color w:val="1F3864"/>
          <w:sz w:val="40"/>
          <w:szCs w:val="40"/>
        </w:rPr>
        <w:t>ن «مزاجية الوجود» إلى «مقامات النفس»</w:t>
      </w:r>
    </w:p>
    <w:p w14:paraId="01BA44E0" w14:textId="09200326" w:rsidR="006E6A4B" w:rsidRDefault="009568D6">
      <w:pPr>
        <w:spacing w:after="400"/>
        <w:jc w:val="center"/>
        <w:rPr>
          <w:rFonts w:cs="Arial"/>
        </w:rPr>
      </w:pPr>
      <w:r>
        <w:rPr>
          <w:i/>
          <w:iCs/>
          <w:color w:val="0F6B72"/>
          <w:sz w:val="26"/>
          <w:szCs w:val="26"/>
        </w:rPr>
        <w:t>دراسة مقارنة  بين بيونغ شول هان وعلم النفس الاستخلافي في نقد الحداثة الرقمية واستعادة المعنى</w:t>
      </w:r>
    </w:p>
    <w:p w14:paraId="654E6FA6" w14:textId="12B2BBE9" w:rsidR="00B75FD3" w:rsidRDefault="00B75FD3">
      <w:pPr>
        <w:spacing w:after="400"/>
        <w:jc w:val="center"/>
        <w:rPr>
          <w:rFonts w:cs="Arial"/>
        </w:rPr>
      </w:pPr>
      <w:r>
        <w:rPr>
          <w:rFonts w:cs="Arial" w:hint="cs"/>
        </w:rPr>
        <w:t xml:space="preserve">بقلم </w:t>
      </w:r>
      <w:r w:rsidR="00810815">
        <w:rPr>
          <w:rFonts w:cs="Arial" w:hint="cs"/>
        </w:rPr>
        <w:t xml:space="preserve">: عبد السلام الزراع </w:t>
      </w:r>
    </w:p>
    <w:p w14:paraId="61F109B5" w14:textId="77777777" w:rsidR="006E6A4B" w:rsidRDefault="009568D6">
      <w:pPr>
        <w:spacing w:after="500"/>
        <w:jc w:val="center"/>
        <w:rPr>
          <w:rFonts w:cs="Arial"/>
        </w:rPr>
      </w:pPr>
      <w:r>
        <w:rPr>
          <w:i/>
          <w:iCs/>
          <w:color w:val="0F6B72"/>
          <w:sz w:val="22"/>
          <w:szCs w:val="22"/>
        </w:rPr>
        <w:t>قراءة نقدية معمّقة في فلسفة الوجدان والاستحواذ الرقمي</w:t>
      </w:r>
    </w:p>
    <w:p w14:paraId="770E57C5" w14:textId="77777777" w:rsidR="006E6A4B" w:rsidRDefault="009568D6" w:rsidP="00463DCD">
      <w:pPr>
        <w:pStyle w:val="1"/>
        <w:shd w:val="clear" w:color="auto" w:fill="1F3864"/>
        <w:bidi/>
        <w:spacing w:before="480" w:after="200"/>
        <w:rPr>
          <w:rFonts w:cs="Arial"/>
        </w:rPr>
      </w:pPr>
      <w:r>
        <w:rPr>
          <w:b/>
          <w:bCs/>
          <w:color w:val="FFFFFF"/>
        </w:rPr>
        <w:t>تمهيد: لقاء «الفيلسوف الكوري-الألماني» و«الحقل المعرفي الاستخلافي» على أرض «الاغتراب»</w:t>
      </w:r>
    </w:p>
    <w:p w14:paraId="7C4A0A70" w14:textId="77777777" w:rsidR="006E6A4B" w:rsidRDefault="009568D6" w:rsidP="00463DCD">
      <w:pPr>
        <w:spacing w:after="160" w:line="336" w:lineRule="auto"/>
        <w:ind w:firstLine="340"/>
        <w:rPr>
          <w:rFonts w:cs="Arial"/>
        </w:rPr>
      </w:pPr>
      <w:r>
        <w:rPr>
          <w:color w:val="1A1A1A"/>
        </w:rPr>
        <w:t>في «مشهد» «الفكر النقدي» «المعاصر»، يبرز اسم بيونغ شول هان (</w:t>
      </w:r>
      <w:proofErr w:type="spellStart"/>
      <w:r>
        <w:rPr>
          <w:color w:val="1A1A1A"/>
        </w:rPr>
        <w:t>Byung-Chul</w:t>
      </w:r>
      <w:proofErr w:type="spellEnd"/>
      <w:r>
        <w:rPr>
          <w:color w:val="1A1A1A"/>
        </w:rPr>
        <w:t xml:space="preserve"> </w:t>
      </w:r>
      <w:proofErr w:type="spellStart"/>
      <w:r>
        <w:rPr>
          <w:color w:val="1A1A1A"/>
        </w:rPr>
        <w:t>Han</w:t>
      </w:r>
      <w:proofErr w:type="spellEnd"/>
      <w:r>
        <w:rPr>
          <w:color w:val="1A1A1A"/>
        </w:rPr>
        <w:t>) بوصفه أحد أعمق الأصوات التي شخّصت «أمراض» «الحداثة المتأخرة» و«الرأسمالية الرقمية»، من خلال مفاهيم مثل «مجتمع الإرهاق» (</w:t>
      </w:r>
      <w:proofErr w:type="spellStart"/>
      <w:r>
        <w:rPr>
          <w:color w:val="1A1A1A"/>
        </w:rPr>
        <w:t>Müdigkeitsgesellschaft</w:t>
      </w:r>
      <w:proofErr w:type="spellEnd"/>
      <w:r>
        <w:rPr>
          <w:color w:val="1A1A1A"/>
        </w:rPr>
        <w:t>) و«مجتمع الشفافية» (</w:t>
      </w:r>
      <w:proofErr w:type="spellStart"/>
      <w:r>
        <w:rPr>
          <w:color w:val="1A1A1A"/>
        </w:rPr>
        <w:t>Transparenzgesellschaft</w:t>
      </w:r>
      <w:proofErr w:type="spellEnd"/>
      <w:r>
        <w:rPr>
          <w:color w:val="1A1A1A"/>
        </w:rPr>
        <w:t>) و«زمن التشتت» و«أزمة السرد». ويتميز هان بأنه لا يكتفي بالتحليل الاجتماعي أو الاقتصادي، بل يغوص إلى «البنية الوجودية» للتجربة الإنسانية، مستخدماً مفهوم «المزاج» (</w:t>
      </w:r>
      <w:proofErr w:type="spellStart"/>
      <w:r>
        <w:rPr>
          <w:color w:val="1A1A1A"/>
        </w:rPr>
        <w:t>Stimmung</w:t>
      </w:r>
      <w:proofErr w:type="spellEnd"/>
      <w:r>
        <w:rPr>
          <w:color w:val="1A1A1A"/>
        </w:rPr>
        <w:t>) – المستعار من هيدغر – كأداة لرصد التحولات العميقة في طريقة وجود الإنسان في العالم. وما يميز مشروعه الفلسفي، مقارنة بمعظم منظّري ما بعد الحداثة، هو رفضه المنهجي للاكتفاء بالوصف السوسيولوجي، وإصراره على أن أي تشخيص للعصر لا بد أن يمرّ عبر «الأنطولوجيا الوجدانية»، أي عبر السؤال عن «كيف يشعر الإنسانُ بأنه موجود» قبل السؤال عن «كيف ينتج» أو «كيف يستهلك».</w:t>
      </w:r>
    </w:p>
    <w:p w14:paraId="3F7F5DDA" w14:textId="77777777" w:rsidR="006E6A4B" w:rsidRDefault="009568D6" w:rsidP="00463DCD">
      <w:pPr>
        <w:spacing w:after="160" w:line="336" w:lineRule="auto"/>
        <w:ind w:firstLine="340"/>
        <w:rPr>
          <w:rFonts w:cs="Arial"/>
        </w:rPr>
      </w:pPr>
      <w:r>
        <w:rPr>
          <w:color w:val="1A1A1A"/>
        </w:rPr>
        <w:t xml:space="preserve">وفي مقابل هذا الأفق الفلسفي الغربي، يبرز حقل «علم النفس الاستخلافي» (المؤسَّس على يد الباحث عبد السلام الزراع) بوصفه إطاراً نظرياً متكاملاً يقدّم بدوره نقداً جذرياً للحداثة المادية و«رأسمالية المراقبة»، عبر بروتوكول علاجي محكم هو «العلاج بحرث المصالحة التحويلية» (TLRT)، ومن خلال مفاهيم «النفس الأمارة» و«النفس اللوّامة» و«النفس المطمئنة»، و«الفصام الأخلاقي»، و«سيادة الانتباه»، و«الأضلاع الثمانية». والملاحَظ أن علم النفس الاستخلافي لا يكتفي – كما لا يكتفي هان – بالتوصيف </w:t>
      </w:r>
      <w:proofErr w:type="spellStart"/>
      <w:r>
        <w:rPr>
          <w:color w:val="1A1A1A"/>
        </w:rPr>
        <w:t>الظاهراتي</w:t>
      </w:r>
      <w:proofErr w:type="spellEnd"/>
      <w:r>
        <w:rPr>
          <w:color w:val="1A1A1A"/>
        </w:rPr>
        <w:t xml:space="preserve">، بل يتجاوزه نحو «هندسة علاجية» تستمد </w:t>
      </w:r>
      <w:proofErr w:type="spellStart"/>
      <w:r>
        <w:rPr>
          <w:color w:val="1A1A1A"/>
        </w:rPr>
        <w:t>مرجعيتها</w:t>
      </w:r>
      <w:proofErr w:type="spellEnd"/>
      <w:r>
        <w:rPr>
          <w:color w:val="1A1A1A"/>
        </w:rPr>
        <w:t xml:space="preserve"> من الوحي والفطرة، فيغدو التشخيص الفلسفي مقدّمة لعملية «تحويل» (</w:t>
      </w:r>
      <w:proofErr w:type="spellStart"/>
      <w:r>
        <w:rPr>
          <w:color w:val="1A1A1A"/>
        </w:rPr>
        <w:t>transformation</w:t>
      </w:r>
      <w:proofErr w:type="spellEnd"/>
      <w:r>
        <w:rPr>
          <w:color w:val="1A1A1A"/>
        </w:rPr>
        <w:t>) لا مجرد وعي نظري بالأزمة.</w:t>
      </w:r>
    </w:p>
    <w:p w14:paraId="14405515" w14:textId="77777777" w:rsidR="006E6A4B" w:rsidRDefault="009568D6" w:rsidP="00463DCD">
      <w:pPr>
        <w:spacing w:after="160" w:line="336" w:lineRule="auto"/>
        <w:ind w:firstLine="340"/>
        <w:rPr>
          <w:rFonts w:cs="Arial"/>
        </w:rPr>
      </w:pPr>
      <w:r>
        <w:rPr>
          <w:color w:val="1A1A1A"/>
        </w:rPr>
        <w:t xml:space="preserve">ورغم اختلاف المرجعيات – </w:t>
      </w:r>
      <w:proofErr w:type="spellStart"/>
      <w:r>
        <w:rPr>
          <w:color w:val="1A1A1A"/>
        </w:rPr>
        <w:t>هيدغرية</w:t>
      </w:r>
      <w:proofErr w:type="spellEnd"/>
      <w:r>
        <w:rPr>
          <w:color w:val="1A1A1A"/>
        </w:rPr>
        <w:t>/فلسفية عند هان، وقرآنية/إيمانية عند علم النفس الاستخلافي – فإن المشروعين يلتقيان في نقطة مركزية: تشخيص أزمة المعنى والاغتراب في زمن الاستهلاك الرقمي، واقتراح سبل لاستعادة «الوجود الأصيل» أو «الاستخلاف». هذا الالتقاء، رغم عمقه، ليس التقاءً سطحياً في المفردات، بل هو التقاء في «موقع السؤال» ذاته: كلا المشروعين يرفضان اختزال أزمة الإنسان المعاصر في متغيرات اقتصادية أو تقنية بحتة، ويصرّان على أن الأزمة – في جوهرها – أزمة «وجدانية-وجودية» تمسّ بنية الذات في علاقتها بالزمن، وبالآخر، وبما هو أبعد من الأنا.</w:t>
      </w:r>
    </w:p>
    <w:p w14:paraId="030CB4CA" w14:textId="77777777" w:rsidR="006E6A4B" w:rsidRDefault="009568D6" w:rsidP="00463DCD">
      <w:pPr>
        <w:spacing w:after="200"/>
        <w:rPr>
          <w:rFonts w:cs="Arial"/>
        </w:rPr>
      </w:pPr>
      <w:r>
        <w:rPr>
          <w:i/>
          <w:iCs/>
          <w:color w:val="0F6B72"/>
          <w:sz w:val="22"/>
          <w:szCs w:val="22"/>
        </w:rPr>
        <w:t>هذه الدراسة المقارنة الموسعة تسعى إلى استجلاء أوجه التقارب والافتراق بين المشروعين، عبر سبعة فصول: منهجية المقارنة وإشكالياتها، المزاج والمقامات، نقد الرأسمالية الرقمية، الزمن والتشتت، الشفاء والتأمل، المرجعية والغاية، ثم التطبيقات المقارنة في الحقلين السياسي والعلاجي. وستعتمد على المصادر المتاحة بالفرنسية لأعمال هان، وعلى أعمال علم النفس الاستخلافي العربية، مع الإحالة الدقيقة والمحافظة على أمانة النقل.</w:t>
      </w:r>
    </w:p>
    <w:p w14:paraId="198058AA" w14:textId="77777777" w:rsidR="006E6A4B" w:rsidRDefault="009568D6" w:rsidP="00463DCD">
      <w:pPr>
        <w:rPr>
          <w:rFonts w:cs="Arial"/>
        </w:rPr>
      </w:pPr>
      <w:r>
        <w:br w:type="page"/>
      </w:r>
    </w:p>
    <w:p w14:paraId="6BD63CD6" w14:textId="77777777" w:rsidR="006E6A4B" w:rsidRDefault="009568D6" w:rsidP="00463DCD">
      <w:pPr>
        <w:pStyle w:val="1"/>
        <w:shd w:val="clear" w:color="auto" w:fill="1F3864"/>
        <w:bidi/>
        <w:spacing w:before="480" w:after="200"/>
        <w:rPr>
          <w:rFonts w:cs="Arial"/>
        </w:rPr>
      </w:pPr>
      <w:r>
        <w:rPr>
          <w:b/>
          <w:bCs/>
          <w:color w:val="FFFFFF"/>
        </w:rPr>
        <w:t xml:space="preserve">الفصل الأول: منهجية المقارنة وإشكالياتها </w:t>
      </w:r>
      <w:proofErr w:type="spellStart"/>
      <w:r>
        <w:rPr>
          <w:b/>
          <w:bCs/>
          <w:color w:val="FFFFFF"/>
        </w:rPr>
        <w:t>الإبستمولوجية</w:t>
      </w:r>
      <w:proofErr w:type="spellEnd"/>
    </w:p>
    <w:p w14:paraId="14E8CEBD" w14:textId="77777777" w:rsidR="006E6A4B" w:rsidRDefault="009568D6" w:rsidP="00463DCD">
      <w:pPr>
        <w:pStyle w:val="2"/>
        <w:pBdr>
          <w:bottom w:val="single" w:sz="8" w:space="4" w:color="B8860B"/>
        </w:pBdr>
        <w:bidi/>
        <w:spacing w:before="320" w:after="140"/>
        <w:rPr>
          <w:rFonts w:cs="Arial"/>
        </w:rPr>
      </w:pPr>
      <w:r>
        <w:rPr>
          <w:b/>
          <w:bCs/>
          <w:color w:val="0F6B72"/>
        </w:rPr>
        <w:t>1.1 لماذا هذه المقارنة؟ إشكالية «الترجمة المفهومية» بين تقليدين معرفيين</w:t>
      </w:r>
    </w:p>
    <w:p w14:paraId="424FD8D7" w14:textId="77777777" w:rsidR="006E6A4B" w:rsidRDefault="009568D6" w:rsidP="00463DCD">
      <w:pPr>
        <w:spacing w:after="160" w:line="336" w:lineRule="auto"/>
        <w:ind w:firstLine="340"/>
        <w:rPr>
          <w:rFonts w:cs="Arial"/>
        </w:rPr>
      </w:pPr>
      <w:r>
        <w:rPr>
          <w:color w:val="1A1A1A"/>
        </w:rPr>
        <w:t>قبل الشروع في أي مقارنة بين هان وعلم النفس الاستخلافي، لا بد من مساءلة شرعية المقارنة ذاتها. فالمقارنة بين تقليدين معرفيين مختلفَي المرجعية – فلسفة قارية علمانية من جهة، وإطار نفسي-ديني مؤسَّس على الوحي من جهة أخرى – تنطوي على مخاطر «الترجمة المفهومية» القسرية، أي تحميل مصطلح من تقليد بدلالات مصطلح مقابل من تقليد آخر دون تحقّق من التطابق البنيوي بينهما. فمفهوم «المزاج» (</w:t>
      </w:r>
      <w:proofErr w:type="spellStart"/>
      <w:r>
        <w:rPr>
          <w:color w:val="1A1A1A"/>
        </w:rPr>
        <w:t>Stimmung</w:t>
      </w:r>
      <w:proofErr w:type="spellEnd"/>
      <w:r>
        <w:rPr>
          <w:color w:val="1A1A1A"/>
        </w:rPr>
        <w:t xml:space="preserve">) عند هيدغر وهان له تاريخ فلسفي دقيق يمتد من «الوجود والزمان» (1927) حتى مؤلفات هان المتأخرة، وهو مفهوم لا يحيل إلى «متعالٍ» البتة، بل إلى بنية </w:t>
      </w:r>
      <w:proofErr w:type="spellStart"/>
      <w:r>
        <w:rPr>
          <w:color w:val="1A1A1A"/>
        </w:rPr>
        <w:t>الدازاين</w:t>
      </w:r>
      <w:proofErr w:type="spellEnd"/>
      <w:r>
        <w:rPr>
          <w:color w:val="1A1A1A"/>
        </w:rPr>
        <w:t xml:space="preserve"> (</w:t>
      </w:r>
      <w:proofErr w:type="spellStart"/>
      <w:r>
        <w:rPr>
          <w:color w:val="1A1A1A"/>
        </w:rPr>
        <w:t>Dasein</w:t>
      </w:r>
      <w:proofErr w:type="spellEnd"/>
      <w:r>
        <w:rPr>
          <w:color w:val="1A1A1A"/>
        </w:rPr>
        <w:t xml:space="preserve">) في تناهيه الزمني. بينما «المقامات» في التصوف الإسلامي وفي علم النفس الاستخلافي مفهوم له تاريخ مختلف تماماً، يحيل إلى «منازل» يقطعها السالك في طريق التزكية، وهي بالضرورة مرتبطة بغائية </w:t>
      </w:r>
      <w:proofErr w:type="spellStart"/>
      <w:r>
        <w:rPr>
          <w:color w:val="1A1A1A"/>
        </w:rPr>
        <w:t>أخروية</w:t>
      </w:r>
      <w:proofErr w:type="spellEnd"/>
      <w:r>
        <w:rPr>
          <w:color w:val="1A1A1A"/>
        </w:rPr>
        <w:t>.</w:t>
      </w:r>
    </w:p>
    <w:p w14:paraId="0C3E8215" w14:textId="77777777" w:rsidR="006E6A4B" w:rsidRDefault="009568D6" w:rsidP="00463DCD">
      <w:pPr>
        <w:spacing w:after="160" w:line="336" w:lineRule="auto"/>
        <w:ind w:firstLine="340"/>
        <w:rPr>
          <w:rFonts w:cs="Arial"/>
        </w:rPr>
      </w:pPr>
      <w:r>
        <w:rPr>
          <w:color w:val="1A1A1A"/>
        </w:rPr>
        <w:t>غير أن هذه الدراسة لا تدّعي أن المفهومين «متطابقان»، بل تتبنى منهجاً في «المقارنة الوظيفية» (</w:t>
      </w:r>
      <w:proofErr w:type="spellStart"/>
      <w:r>
        <w:rPr>
          <w:color w:val="1A1A1A"/>
        </w:rPr>
        <w:t>functional</w:t>
      </w:r>
      <w:proofErr w:type="spellEnd"/>
      <w:r>
        <w:rPr>
          <w:color w:val="1A1A1A"/>
        </w:rPr>
        <w:t xml:space="preserve"> </w:t>
      </w:r>
      <w:proofErr w:type="spellStart"/>
      <w:r>
        <w:rPr>
          <w:color w:val="1A1A1A"/>
        </w:rPr>
        <w:t>comparison</w:t>
      </w:r>
      <w:proofErr w:type="spellEnd"/>
      <w:r>
        <w:rPr>
          <w:color w:val="1A1A1A"/>
        </w:rPr>
        <w:t>): أي مقارنة الدور الذي يؤديه كل مفهوم داخل نسقه – بصرف النظر عن الاختلاف الجوهري في المرجعية الغائية – في تفسير كيفية «انكشاف العالم» للذات، وكيفية تأثّر هذا الانكشاف بالبنى الاجتماعية والتقنية المحيطة. وبهذا المعنى، فإن المقارنة هنا ليست مقارنة «</w:t>
      </w:r>
      <w:proofErr w:type="spellStart"/>
      <w:r>
        <w:rPr>
          <w:color w:val="1A1A1A"/>
        </w:rPr>
        <w:t>ماهوية</w:t>
      </w:r>
      <w:proofErr w:type="spellEnd"/>
      <w:r>
        <w:rPr>
          <w:color w:val="1A1A1A"/>
        </w:rPr>
        <w:t>» (</w:t>
      </w:r>
      <w:proofErr w:type="spellStart"/>
      <w:r>
        <w:rPr>
          <w:color w:val="1A1A1A"/>
        </w:rPr>
        <w:t>essentialist</w:t>
      </w:r>
      <w:proofErr w:type="spellEnd"/>
      <w:r>
        <w:rPr>
          <w:color w:val="1A1A1A"/>
        </w:rPr>
        <w:t>) تبحث عن تطابق الجواهر، بل مقارنة «بنيوية-وظيفية» تبحث عن تناظر الأدوار.</w:t>
      </w:r>
    </w:p>
    <w:p w14:paraId="5511082A" w14:textId="77777777" w:rsidR="006E6A4B" w:rsidRDefault="009568D6" w:rsidP="00463DCD">
      <w:pPr>
        <w:pStyle w:val="2"/>
        <w:pBdr>
          <w:bottom w:val="single" w:sz="8" w:space="4" w:color="B8860B"/>
        </w:pBdr>
        <w:bidi/>
        <w:spacing w:before="320" w:after="140"/>
        <w:rPr>
          <w:rFonts w:cs="Arial"/>
        </w:rPr>
      </w:pPr>
      <w:r>
        <w:rPr>
          <w:b/>
          <w:bCs/>
          <w:color w:val="0F6B72"/>
        </w:rPr>
        <w:t>1.2 حدود التناظر: مخاطر القسر التوفيقي وضرورة احترام التمايز</w:t>
      </w:r>
    </w:p>
    <w:p w14:paraId="0973175E" w14:textId="77777777" w:rsidR="006E6A4B" w:rsidRDefault="009568D6" w:rsidP="00463DCD">
      <w:pPr>
        <w:spacing w:after="160" w:line="336" w:lineRule="auto"/>
        <w:ind w:firstLine="340"/>
        <w:rPr>
          <w:rFonts w:cs="Arial"/>
        </w:rPr>
      </w:pPr>
      <w:r>
        <w:rPr>
          <w:color w:val="1A1A1A"/>
        </w:rPr>
        <w:t>من أخطر مزالق الدراسات المقارنة بين الفكر الإسلامي والفلسفة الغربية المعاصرة هو الانزلاق إلى «التوفيقية القسرية» (</w:t>
      </w:r>
      <w:proofErr w:type="spellStart"/>
      <w:r>
        <w:rPr>
          <w:color w:val="1A1A1A"/>
        </w:rPr>
        <w:t>forced</w:t>
      </w:r>
      <w:proofErr w:type="spellEnd"/>
      <w:r>
        <w:rPr>
          <w:color w:val="1A1A1A"/>
        </w:rPr>
        <w:t xml:space="preserve"> </w:t>
      </w:r>
      <w:proofErr w:type="spellStart"/>
      <w:r>
        <w:rPr>
          <w:color w:val="1A1A1A"/>
        </w:rPr>
        <w:t>syncretism</w:t>
      </w:r>
      <w:proofErr w:type="spellEnd"/>
      <w:r>
        <w:rPr>
          <w:color w:val="1A1A1A"/>
        </w:rPr>
        <w:t>)، أي السعي لإثبات أن التراث الإسلامي «قال كل شيء سلفاً» أو أن الفلسفة الغربية «لا تضيف جديداً». وتحاول هذه الدراسة تجنّب هذا المزلق عبر الإبقاء على «مسافة نقدية» تسمح بإبراز نقاط القوة الخاصة بكل مشروع، ونقاط قصوره أيضاً. فحين يُقارَن، مثلاً، مفهوم «النفس اللوّامة» بمفهوم «الوعي النقدي» عند هان، لا يعني هذا أن الاثنين متطابقان، بل أن كليهما يؤديان وظيفة «المراقبة الذاتية التأملية» التي تقاوم انجراف الذات في التشتت الاستهلاكي – مع اختلاف جذري في الغاية والمرجعية والآلية.</w:t>
      </w:r>
    </w:p>
    <w:p w14:paraId="1F54180A" w14:textId="77777777" w:rsidR="006E6A4B" w:rsidRDefault="009568D6" w:rsidP="00463DCD">
      <w:pPr>
        <w:spacing w:after="160" w:line="336" w:lineRule="auto"/>
        <w:ind w:firstLine="340"/>
        <w:rPr>
          <w:rFonts w:cs="Arial"/>
        </w:rPr>
      </w:pPr>
      <w:r>
        <w:rPr>
          <w:color w:val="1A1A1A"/>
        </w:rPr>
        <w:t>كذلك ينبغي التنبّه إلى أن هان كاتب أنتج عشرات الكتب على مدى أكثر من عقدين، وأن مفاهيمه تطوّرت وتشعّبت (من «مجتمع الإرهاق» 2010 إلى «</w:t>
      </w:r>
      <w:proofErr w:type="spellStart"/>
      <w:r>
        <w:rPr>
          <w:color w:val="1A1A1A"/>
        </w:rPr>
        <w:t>اللاأشياء</w:t>
      </w:r>
      <w:proofErr w:type="spellEnd"/>
      <w:r>
        <w:rPr>
          <w:color w:val="1A1A1A"/>
        </w:rPr>
        <w:t>» 2021 و«الحياة التأملية» 2023)، بينما لا يزال علم النفس الاستخلافي في طور «التأسيس النظري» المتسارع (بحسب ما تصفه أعماله ذاتها بـ«الطبعة التجريبية»). وهذا التفاوت في «مدى النضج الأكاديمي» بين المشروعين يستوجب حذراً منهجياً: فمقارنة نسق مكتمل نسبياً بنسق ناشئ ليست مقارنة بين نديّين متكافئين من حيث حجم الإنتاج، وإن كانت مشروعة من حيث عمق السؤال الذي يطرحه كل منهما.</w:t>
      </w:r>
    </w:p>
    <w:p w14:paraId="782AF585" w14:textId="77777777" w:rsidR="006E6A4B" w:rsidRDefault="009568D6" w:rsidP="00463DCD">
      <w:pPr>
        <w:pStyle w:val="2"/>
        <w:pBdr>
          <w:bottom w:val="single" w:sz="8" w:space="4" w:color="B8860B"/>
        </w:pBdr>
        <w:bidi/>
        <w:spacing w:before="320" w:after="140"/>
        <w:rPr>
          <w:rFonts w:cs="Arial"/>
        </w:rPr>
      </w:pPr>
      <w:r>
        <w:rPr>
          <w:b/>
          <w:bCs/>
          <w:color w:val="0F6B72"/>
        </w:rPr>
        <w:t>1.3 أدوات المقارنة: التحليل البنيوي مقابل التحليل الوظيفي</w:t>
      </w:r>
    </w:p>
    <w:p w14:paraId="2319F0DF" w14:textId="77777777" w:rsidR="006E6A4B" w:rsidRDefault="009568D6" w:rsidP="00463DCD">
      <w:pPr>
        <w:spacing w:after="160" w:line="336" w:lineRule="auto"/>
        <w:ind w:firstLine="340"/>
        <w:rPr>
          <w:rFonts w:cs="Arial"/>
        </w:rPr>
      </w:pPr>
      <w:r>
        <w:rPr>
          <w:color w:val="1A1A1A"/>
        </w:rPr>
        <w:t>تعتمد هذه الدراسة أداتين تحليليتين متكاملتين: الأولى هي «التحليل البنيوي» الذي يفحص العمارة الداخلية لكل مفهوم (أصله الفلسفي أو النصّي، علاقته بالمفاهيم المجاورة، منطقه الداخلي)؛ والثانية هي «التحليل الوظيفي» الذي يفحص ما يفعله المفهوم في تفسير الظاهرة موضوع الدراسة، أي «أزمة الإنسان الرقمي». وبتقاطع الأداتين، يمكن رسم خريطة مقارنة تحدّد بدقة: أين يتطابق المفهومان وظيفياً رغم اختلاف بنيتهما؟ وأين يختلفان وظيفياً رغم تشابه ظاهر في المفردات؟</w:t>
      </w:r>
    </w:p>
    <w:p w14:paraId="353A50BC" w14:textId="77777777" w:rsidR="006E6A4B" w:rsidRDefault="009568D6" w:rsidP="00463DCD">
      <w:pPr>
        <w:pStyle w:val="a4"/>
        <w:numPr>
          <w:ilvl w:val="0"/>
          <w:numId w:val="2"/>
        </w:numPr>
        <w:bidi/>
        <w:spacing w:after="100"/>
        <w:rPr>
          <w:rFonts w:cs="Arial"/>
        </w:rPr>
      </w:pPr>
      <w:r>
        <w:rPr>
          <w:color w:val="1A1A1A"/>
        </w:rPr>
        <w:t>معيار المرجعية: هل المفهوم مؤسَّس على متعالٍ (وحي) أم على تحليل ظاهراتي للوجود المتناهي؟</w:t>
      </w:r>
    </w:p>
    <w:p w14:paraId="19381F34" w14:textId="77777777" w:rsidR="006E6A4B" w:rsidRDefault="009568D6" w:rsidP="00463DCD">
      <w:pPr>
        <w:pStyle w:val="a4"/>
        <w:numPr>
          <w:ilvl w:val="0"/>
          <w:numId w:val="2"/>
        </w:numPr>
        <w:bidi/>
        <w:spacing w:after="100"/>
        <w:rPr>
          <w:rFonts w:cs="Arial"/>
        </w:rPr>
      </w:pPr>
      <w:r>
        <w:rPr>
          <w:color w:val="1A1A1A"/>
        </w:rPr>
        <w:t>معيار الغائية: هل الغاية النهائية «معنى في إطار الفناء» أم «فلاح وحياة أبدية»؟</w:t>
      </w:r>
    </w:p>
    <w:p w14:paraId="1911DEBE" w14:textId="77777777" w:rsidR="006E6A4B" w:rsidRDefault="009568D6" w:rsidP="00463DCD">
      <w:pPr>
        <w:pStyle w:val="a4"/>
        <w:numPr>
          <w:ilvl w:val="0"/>
          <w:numId w:val="2"/>
        </w:numPr>
        <w:bidi/>
        <w:spacing w:after="100"/>
        <w:rPr>
          <w:rFonts w:cs="Arial"/>
        </w:rPr>
      </w:pPr>
      <w:r>
        <w:rPr>
          <w:color w:val="1A1A1A"/>
        </w:rPr>
        <w:t>معيار الإجرائية: هل يقدّم المفهوم بروتوكولاً علاجياً قابلاً للتطبيق أم يبقى في مستوى التوصيف الفلسفي؟</w:t>
      </w:r>
    </w:p>
    <w:p w14:paraId="5D9AD220" w14:textId="77777777" w:rsidR="006E6A4B" w:rsidRDefault="009568D6" w:rsidP="00463DCD">
      <w:pPr>
        <w:pStyle w:val="a4"/>
        <w:numPr>
          <w:ilvl w:val="0"/>
          <w:numId w:val="2"/>
        </w:numPr>
        <w:bidi/>
        <w:spacing w:after="100"/>
        <w:rPr>
          <w:rFonts w:cs="Arial"/>
        </w:rPr>
      </w:pPr>
      <w:r>
        <w:rPr>
          <w:color w:val="1A1A1A"/>
        </w:rPr>
        <w:t>معيار الشمول: هل يفسّر المفهوم البعد الفردي فقط أم يمتدّ إلى البعد الاجتماعي-السياسي؟</w:t>
      </w:r>
    </w:p>
    <w:p w14:paraId="177BEAD2" w14:textId="77777777" w:rsidR="006E6A4B" w:rsidRDefault="009568D6" w:rsidP="00463DCD">
      <w:pPr>
        <w:rPr>
          <w:rFonts w:cs="Arial"/>
        </w:rPr>
      </w:pPr>
      <w:r>
        <w:br w:type="page"/>
      </w:r>
    </w:p>
    <w:p w14:paraId="07EC41ED" w14:textId="77777777" w:rsidR="006E6A4B" w:rsidRDefault="009568D6" w:rsidP="00463DCD">
      <w:pPr>
        <w:pStyle w:val="1"/>
        <w:shd w:val="clear" w:color="auto" w:fill="1F3864"/>
        <w:bidi/>
        <w:spacing w:before="480" w:after="200"/>
        <w:rPr>
          <w:rFonts w:cs="Arial"/>
        </w:rPr>
      </w:pPr>
      <w:r>
        <w:rPr>
          <w:b/>
          <w:bCs/>
          <w:color w:val="FFFFFF"/>
        </w:rPr>
        <w:t>الفصل الثاني: «المزاج» و«المقامات» – من الانكشاف الوجودي إلى الهرم النفسي</w:t>
      </w:r>
    </w:p>
    <w:p w14:paraId="0DA9C717" w14:textId="77777777" w:rsidR="006E6A4B" w:rsidRDefault="009568D6" w:rsidP="00463DCD">
      <w:pPr>
        <w:pStyle w:val="2"/>
        <w:pBdr>
          <w:bottom w:val="single" w:sz="8" w:space="4" w:color="B8860B"/>
        </w:pBdr>
        <w:bidi/>
        <w:spacing w:before="320" w:after="140"/>
        <w:rPr>
          <w:rFonts w:cs="Arial"/>
        </w:rPr>
      </w:pPr>
      <w:r>
        <w:rPr>
          <w:b/>
          <w:bCs/>
          <w:color w:val="0F6B72"/>
        </w:rPr>
        <w:t>2.1 هيدغر وهان: المزاج كأفق أنطولوجي سابق على الإدراك</w:t>
      </w:r>
    </w:p>
    <w:p w14:paraId="4547745A" w14:textId="77777777" w:rsidR="006E6A4B" w:rsidRDefault="009568D6" w:rsidP="00463DCD">
      <w:pPr>
        <w:spacing w:after="160" w:line="336" w:lineRule="auto"/>
        <w:ind w:firstLine="340"/>
        <w:rPr>
          <w:rFonts w:cs="Arial"/>
        </w:rPr>
      </w:pPr>
      <w:r>
        <w:rPr>
          <w:color w:val="1A1A1A"/>
        </w:rPr>
        <w:t>ينطلق هان – كما يوضح مشروعه الفلسفي – من مفهوم هيدغر عن «المزاج» (</w:t>
      </w:r>
      <w:proofErr w:type="spellStart"/>
      <w:r>
        <w:rPr>
          <w:color w:val="1A1A1A"/>
        </w:rPr>
        <w:t>Stimmung</w:t>
      </w:r>
      <w:proofErr w:type="spellEnd"/>
      <w:r>
        <w:rPr>
          <w:color w:val="1A1A1A"/>
        </w:rPr>
        <w:t>)، الذي لا يُفهم كحالة نفسية عابرة، بل كـ«الكيفية التي ينكشف بها الكائنُ للعالم قبل كل حكم أو تصور عقلي». إنه «الضوء الذي لا نراه مباشرة، لكننا نرى الأشياء من خلاله». وبهذا المعنى، يصبح المزاج «أفقاً وجودياً» يتحدد من خلاله كيف يظهر لنا العالم بأسره. وقد خصّص هان كتاباً كاملاً لهذا المفهوم بعنوان «قلب هيدغر: مفهوم المزاج عند مارتن هيدغر» (</w:t>
      </w:r>
      <w:proofErr w:type="spellStart"/>
      <w:r>
        <w:rPr>
          <w:color w:val="1A1A1A"/>
        </w:rPr>
        <w:t>Heideggers</w:t>
      </w:r>
      <w:proofErr w:type="spellEnd"/>
      <w:r>
        <w:rPr>
          <w:color w:val="1A1A1A"/>
        </w:rPr>
        <w:t xml:space="preserve"> </w:t>
      </w:r>
      <w:proofErr w:type="spellStart"/>
      <w:r>
        <w:rPr>
          <w:color w:val="1A1A1A"/>
        </w:rPr>
        <w:t>Herz</w:t>
      </w:r>
      <w:proofErr w:type="spellEnd"/>
      <w:r>
        <w:rPr>
          <w:color w:val="1A1A1A"/>
        </w:rPr>
        <w:t xml:space="preserve">, 1996)، حيث يتتبّع تطوّر مفهوم </w:t>
      </w:r>
      <w:proofErr w:type="spellStart"/>
      <w:r>
        <w:rPr>
          <w:color w:val="1A1A1A"/>
        </w:rPr>
        <w:t>Stimmung</w:t>
      </w:r>
      <w:proofErr w:type="spellEnd"/>
      <w:r>
        <w:rPr>
          <w:color w:val="1A1A1A"/>
        </w:rPr>
        <w:t xml:space="preserve"> من «الخوف» و«القلق» في «الوجود والزمان» إلى «الملل العميق» في محاضرات هيدغر اللاحقة، مبرزاً أن المزاج – خلافاً للانفعال العابر (</w:t>
      </w:r>
      <w:proofErr w:type="spellStart"/>
      <w:r>
        <w:rPr>
          <w:color w:val="1A1A1A"/>
        </w:rPr>
        <w:t>Affekt</w:t>
      </w:r>
      <w:proofErr w:type="spellEnd"/>
      <w:r>
        <w:rPr>
          <w:color w:val="1A1A1A"/>
        </w:rPr>
        <w:t>) – هو بنية «قبل-موضوعية» تحدّد أفق ظهور الأشياء ذاته، لا مجرد رد فعل تجاه أشياء ظاهرة سلفاً.</w:t>
      </w:r>
    </w:p>
    <w:p w14:paraId="614786F9" w14:textId="77777777" w:rsidR="006E6A4B" w:rsidRDefault="009568D6" w:rsidP="00463DCD">
      <w:pPr>
        <w:spacing w:after="160" w:line="336" w:lineRule="auto"/>
        <w:ind w:firstLine="340"/>
        <w:rPr>
          <w:rFonts w:cs="Arial"/>
        </w:rPr>
      </w:pPr>
      <w:r>
        <w:rPr>
          <w:color w:val="1A1A1A"/>
        </w:rPr>
        <w:t>وعندما يطبّق هان هذا المفهوم على العصر الرقمي، فإنه يصل إلى تشخيص «أمزجة وجودية» جديدة: «الإرهاق المزمن»، و«الاكتئاب»، و«التشتت»، و«الاستثارة السطحية المستمرة»، التي تمثل تحولاً في «البنية الوجدانية» للإنسان المعاصر. والأهم من ذلك أن هان يرى أن هذه الأمزجة الجديدة ليست أعراضاً نفسية فردية عابرة، بل هي «مناخ وجودي» (</w:t>
      </w:r>
      <w:proofErr w:type="spellStart"/>
      <w:r>
        <w:rPr>
          <w:color w:val="1A1A1A"/>
        </w:rPr>
        <w:t>existentielles</w:t>
      </w:r>
      <w:proofErr w:type="spellEnd"/>
      <w:r>
        <w:rPr>
          <w:color w:val="1A1A1A"/>
        </w:rPr>
        <w:t xml:space="preserve"> </w:t>
      </w:r>
      <w:proofErr w:type="spellStart"/>
      <w:r>
        <w:rPr>
          <w:color w:val="1A1A1A"/>
        </w:rPr>
        <w:t>Klima</w:t>
      </w:r>
      <w:proofErr w:type="spellEnd"/>
      <w:r>
        <w:rPr>
          <w:color w:val="1A1A1A"/>
        </w:rPr>
        <w:t>) يخترق المجتمع بأسره، وينتج «ذاتاً» جديدة هي «الذات المُنجِزة» (</w:t>
      </w:r>
      <w:proofErr w:type="spellStart"/>
      <w:r>
        <w:rPr>
          <w:color w:val="1A1A1A"/>
        </w:rPr>
        <w:t>Leistungssubjekt</w:t>
      </w:r>
      <w:proofErr w:type="spellEnd"/>
      <w:r>
        <w:rPr>
          <w:color w:val="1A1A1A"/>
        </w:rPr>
        <w:t>) التي تحوّلت من «كائن الطاعة» إلى «كائن الأداء».</w:t>
      </w:r>
    </w:p>
    <w:p w14:paraId="1011D5FA" w14:textId="77777777" w:rsidR="006E6A4B" w:rsidRDefault="009568D6" w:rsidP="00463DCD">
      <w:pPr>
        <w:pStyle w:val="2"/>
        <w:pBdr>
          <w:bottom w:val="single" w:sz="8" w:space="4" w:color="B8860B"/>
        </w:pBdr>
        <w:bidi/>
        <w:spacing w:before="320" w:after="140"/>
        <w:rPr>
          <w:rFonts w:cs="Arial"/>
        </w:rPr>
      </w:pPr>
      <w:r>
        <w:rPr>
          <w:b/>
          <w:bCs/>
          <w:color w:val="0F6B72"/>
        </w:rPr>
        <w:t>2.2 مقامات النفس الثلاث في علم النفس الاستخلافي: الأمارة، اللوّامة، المطمئنة</w:t>
      </w:r>
    </w:p>
    <w:p w14:paraId="174A914B" w14:textId="77777777" w:rsidR="006E6A4B" w:rsidRDefault="009568D6" w:rsidP="00463DCD">
      <w:pPr>
        <w:spacing w:after="160" w:line="336" w:lineRule="auto"/>
        <w:ind w:firstLine="340"/>
        <w:rPr>
          <w:rFonts w:cs="Arial"/>
        </w:rPr>
      </w:pPr>
      <w:r>
        <w:rPr>
          <w:color w:val="1A1A1A"/>
        </w:rPr>
        <w:t xml:space="preserve">في علم النفس الاستخلافي، يقابل مفهوم «المزاج» – إلى حد كبير – مفهوم «مقامات النفس» الثلاثة، المستمدة من الآيات القرآنية المؤسِّسة لعلم النفس القرآني: «النفس الأمارة بالسوء» (مقام الاندفاع والشهوة والإشباع الفوري)، و«النفس اللوّامة» (مقام الوعي الذاتي والمحاسبة والتوتر الأخلاقي)، و«النفس المطمئنة» (مقام السكينة والرضا والتكامل). وخلافاً للمزاج </w:t>
      </w:r>
      <w:proofErr w:type="spellStart"/>
      <w:r>
        <w:rPr>
          <w:color w:val="1A1A1A"/>
        </w:rPr>
        <w:t>الهيدغري</w:t>
      </w:r>
      <w:proofErr w:type="spellEnd"/>
      <w:r>
        <w:rPr>
          <w:color w:val="1A1A1A"/>
        </w:rPr>
        <w:t xml:space="preserve"> الذي يظل – في بنيته الفلسفية – وصفاً «سكونياً» لكيفية انكشاف الوجود في لحظة بعينها، فإن المقامات الثلاثة في علم النفس الاستخلافي تُصاغ بوصفها بنية «حركية-تراتبية»: أي مساراً ممكن الصعود والهبوط بين درجات، تحكمه ديناميكية أخلاقية-إيمانية لا مجرد انكشاف وجودي محايد.</w:t>
      </w:r>
    </w:p>
    <w:p w14:paraId="22B4A9F0" w14:textId="77777777" w:rsidR="006E6A4B" w:rsidRDefault="009568D6" w:rsidP="00463DCD">
      <w:pPr>
        <w:spacing w:after="160" w:line="336" w:lineRule="auto"/>
        <w:ind w:firstLine="340"/>
        <w:rPr>
          <w:rFonts w:cs="Arial"/>
        </w:rPr>
      </w:pPr>
      <w:r>
        <w:rPr>
          <w:color w:val="1A1A1A"/>
        </w:rPr>
        <w:t>وهذه المقامات ليست مجرد حالات نفسية، بل هي – كما يؤسّس علم النفس الاستخلافي – «مستويات وجودية» تُحدد «طريقة الإنسان في أن يكون في العالم»، وتُدار عبر «الأضلاع الثمانية» التي تصف مسارات الصعود والهبوط. فإذا كان هان يتحدث عن «مزاجية الوجود»، فإن علم النفس الاستخلافي يتحدث عن «مقامية الوجود»، وكلاهما يقرّ بأن «الوجدان» ليس مجرد انفعال، بل هو «بنية أنطولوجية» تحدد «معنى الحياة» و«جودة العلاقات».</w:t>
      </w:r>
    </w:p>
    <w:p w14:paraId="07E81ECD" w14:textId="77777777" w:rsidR="006E6A4B" w:rsidRDefault="009568D6" w:rsidP="00463DCD">
      <w:pPr>
        <w:pStyle w:val="2"/>
        <w:pBdr>
          <w:bottom w:val="single" w:sz="8" w:space="4" w:color="B8860B"/>
        </w:pBdr>
        <w:bidi/>
        <w:spacing w:before="320" w:after="140"/>
        <w:rPr>
          <w:rFonts w:cs="Arial"/>
        </w:rPr>
      </w:pPr>
      <w:r>
        <w:rPr>
          <w:b/>
          <w:bCs/>
          <w:color w:val="0F6B72"/>
        </w:rPr>
        <w:t>2.3 الأضلاع الثمانية كخريطة حركية للمقامات</w:t>
      </w:r>
    </w:p>
    <w:p w14:paraId="6EF2644E" w14:textId="77777777" w:rsidR="006E6A4B" w:rsidRDefault="009568D6" w:rsidP="00463DCD">
      <w:pPr>
        <w:spacing w:after="160" w:line="336" w:lineRule="auto"/>
        <w:ind w:firstLine="340"/>
        <w:rPr>
          <w:rFonts w:cs="Arial"/>
        </w:rPr>
      </w:pPr>
      <w:r>
        <w:rPr>
          <w:color w:val="1A1A1A"/>
        </w:rPr>
        <w:t xml:space="preserve">يقدّم علم النفس الاستخلافي، عبر نموذج «الأضلاع الثمانية»، ما يمكن اعتباره إضافة نوعية تتجاوز ثنائية «مزاج ثابت / مزاج متحوّل» عند هان، إذ يوفّر هذا النموذج «خريطة تشخيصية-علاجية» تحدّد بدقة العوامل الثمانية (المعرفية، الوجدانية، الجسدية، الاجتماعية، الروحية، الأخلاقية، البيئية-الرمزية، والإرادية) التي تتفاعل لإنتاج مقام بعينه. وهذا التفصيل الإجرائي غائب عن مفهوم </w:t>
      </w:r>
      <w:proofErr w:type="spellStart"/>
      <w:r>
        <w:rPr>
          <w:color w:val="1A1A1A"/>
        </w:rPr>
        <w:t>Stimmung</w:t>
      </w:r>
      <w:proofErr w:type="spellEnd"/>
      <w:r>
        <w:rPr>
          <w:color w:val="1A1A1A"/>
        </w:rPr>
        <w:t xml:space="preserve"> عند هيدغر وهان، الذي يبقى – رغم عمقه </w:t>
      </w:r>
      <w:proofErr w:type="spellStart"/>
      <w:r>
        <w:rPr>
          <w:color w:val="1A1A1A"/>
        </w:rPr>
        <w:t>التوصيفي</w:t>
      </w:r>
      <w:proofErr w:type="spellEnd"/>
      <w:r>
        <w:rPr>
          <w:color w:val="1A1A1A"/>
        </w:rPr>
        <w:t xml:space="preserve"> – مفهوماً فلسفياً مجرداً لا يقترح آلية تدخّل محددة لتحويل مزاج إلى آخر، بل يكتفي بدعوة عامة إلى «استعادة» بعض الأمزجة التأملية المفقودة.</w:t>
      </w:r>
    </w:p>
    <w:p w14:paraId="63FEE943" w14:textId="77777777" w:rsidR="006E6A4B" w:rsidRDefault="009568D6" w:rsidP="00463DCD">
      <w:pPr>
        <w:spacing w:after="160" w:line="336" w:lineRule="auto"/>
        <w:ind w:firstLine="340"/>
        <w:rPr>
          <w:rFonts w:cs="Arial"/>
        </w:rPr>
      </w:pPr>
      <w:r>
        <w:rPr>
          <w:color w:val="1A1A1A"/>
        </w:rPr>
        <w:t>بعبارة أخرى: إذا كان هان يجيب عن سؤال «ماذا حدث لمزاجنا الوجودي؟»، فإن علم النفس الاستخلافي يجيب عن سؤال «ماذا حدث لمزاجنا الوجودي، وكيف يمكن الانتقال العملي من مقام إلى آخر؟». وهذا الفارق بين «التشخيص الوصفي» و«الهندسة الإجرائية» سيتكرر ظهوره في مختلف فصول هذه الدراسة، بوصفه أحد أهم محاور الافتراق البنيوي بين المشروعين.</w:t>
      </w:r>
    </w:p>
    <w:p w14:paraId="4547A2F4" w14:textId="77777777" w:rsidR="006E6A4B" w:rsidRDefault="009568D6" w:rsidP="00463DCD">
      <w:pPr>
        <w:pStyle w:val="2"/>
        <w:pBdr>
          <w:bottom w:val="single" w:sz="8" w:space="4" w:color="B8860B"/>
        </w:pBdr>
        <w:bidi/>
        <w:spacing w:before="320" w:after="140"/>
        <w:rPr>
          <w:rFonts w:cs="Arial"/>
        </w:rPr>
      </w:pPr>
      <w:r>
        <w:rPr>
          <w:b/>
          <w:bCs/>
          <w:color w:val="0F6B72"/>
        </w:rPr>
        <w:t>2.4 التقاطع: التشخيص الوجداني المشترك للحداثة الرقمية</w:t>
      </w:r>
    </w:p>
    <w:p w14:paraId="68434EE4" w14:textId="77777777" w:rsidR="006E6A4B" w:rsidRDefault="009568D6" w:rsidP="00463DCD">
      <w:pPr>
        <w:spacing w:after="160" w:line="336" w:lineRule="auto"/>
        <w:ind w:firstLine="340"/>
        <w:rPr>
          <w:rFonts w:cs="Arial"/>
        </w:rPr>
      </w:pPr>
      <w:r>
        <w:rPr>
          <w:color w:val="1A1A1A"/>
        </w:rPr>
        <w:t xml:space="preserve">يُجمع المشروعان على أن «الحداثة المتأخرة» و«الرأسمالية الرقمية» قد «أفرغتا التجربة الحياتية من معناها»، </w:t>
      </w:r>
      <w:proofErr w:type="spellStart"/>
      <w:r>
        <w:rPr>
          <w:color w:val="1A1A1A"/>
        </w:rPr>
        <w:t>و«غيّرتا</w:t>
      </w:r>
      <w:proofErr w:type="spellEnd"/>
      <w:r>
        <w:rPr>
          <w:color w:val="1A1A1A"/>
        </w:rPr>
        <w:t xml:space="preserve"> المزاج الأساسي للإنسان». هان يصف «مجتمع الإرهاق» حيث «يستنزف الإنسان ذاته» في «ضغوط الأداء المستمر». وعلم النفس الاستخلافي يصف «إنسان الخوارزمية» حيث «تستهدف الخوارزمياتُ 'النفسَ الأمارة' عبر </w:t>
      </w:r>
      <w:proofErr w:type="spellStart"/>
      <w:r>
        <w:rPr>
          <w:color w:val="1A1A1A"/>
        </w:rPr>
        <w:t>الدوبامين</w:t>
      </w:r>
      <w:proofErr w:type="spellEnd"/>
      <w:r>
        <w:rPr>
          <w:color w:val="1A1A1A"/>
        </w:rPr>
        <w:t xml:space="preserve">» </w:t>
      </w:r>
      <w:proofErr w:type="spellStart"/>
      <w:r>
        <w:rPr>
          <w:color w:val="1A1A1A"/>
        </w:rPr>
        <w:t>و«تُعطّل</w:t>
      </w:r>
      <w:proofErr w:type="spellEnd"/>
      <w:r>
        <w:rPr>
          <w:color w:val="1A1A1A"/>
        </w:rPr>
        <w:t xml:space="preserve"> 'النفس اللوّامة'». فكلاهما يرى أن «الاستهلاك الرقمي» لا يكتفي باستغلال «العمل»، بل يستهدف «الوجدان» و«الانتباه» و«الزمن» نفسه، منتجاً «أمزجة مرضية» و«مقامات منحطة».</w:t>
      </w:r>
    </w:p>
    <w:tbl>
      <w:tblPr>
        <w:tblW w:w="8000" w:type="dxa"/>
        <w:jc w:val="center"/>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000"/>
      </w:tblGrid>
      <w:tr w:rsidR="006E6A4B" w14:paraId="6CCE362F" w14:textId="77777777">
        <w:trPr>
          <w:jc w:val="center"/>
        </w:trPr>
        <w:tc>
          <w:tcPr>
            <w:tcW w:w="8000" w:type="dxa"/>
            <w:shd w:val="clear" w:color="auto" w:fill="FBF3DD"/>
            <w:tcMar>
              <w:top w:w="200" w:type="dxa"/>
              <w:left w:w="300" w:type="dxa"/>
              <w:bottom w:w="200" w:type="dxa"/>
              <w:right w:w="300" w:type="dxa"/>
            </w:tcMar>
          </w:tcPr>
          <w:p w14:paraId="79368260" w14:textId="77777777" w:rsidR="006E6A4B" w:rsidRDefault="009568D6" w:rsidP="00463DCD">
            <w:pPr>
              <w:spacing w:after="80"/>
              <w:rPr>
                <w:rFonts w:cs="Arial"/>
              </w:rPr>
            </w:pPr>
            <w:r>
              <w:rPr>
                <w:b/>
                <w:bCs/>
                <w:color w:val="1F3864"/>
                <w:sz w:val="28"/>
                <w:szCs w:val="28"/>
              </w:rPr>
              <w:t>﴿وَنَفْسٍ وَمَا سَوَّاهَا (7) فَأَلْهَمَهَا فُجُورَهَا وَتَقْوَاهَا (8) قَدْ أَفْلَحَ مَن زَكَّاهَا (9) وَقَدْ خَابَ مَن دَسَّاهَا﴾</w:t>
            </w:r>
          </w:p>
          <w:p w14:paraId="3B349F40" w14:textId="77777777" w:rsidR="006E6A4B" w:rsidRDefault="009568D6" w:rsidP="00463DCD">
            <w:pPr>
              <w:rPr>
                <w:rFonts w:cs="Arial"/>
              </w:rPr>
            </w:pPr>
            <w:r>
              <w:rPr>
                <w:b/>
                <w:bCs/>
                <w:color w:val="B8860B"/>
                <w:sz w:val="22"/>
                <w:szCs w:val="22"/>
              </w:rPr>
              <w:t>[الشمس: 7-10]</w:t>
            </w:r>
          </w:p>
        </w:tc>
      </w:tr>
    </w:tbl>
    <w:p w14:paraId="3E01A468" w14:textId="77777777" w:rsidR="006E6A4B" w:rsidRDefault="009568D6" w:rsidP="00463DCD">
      <w:pPr>
        <w:spacing w:after="160" w:line="336" w:lineRule="auto"/>
        <w:ind w:firstLine="340"/>
        <w:rPr>
          <w:rFonts w:cs="Arial"/>
        </w:rPr>
      </w:pPr>
      <w:r>
        <w:rPr>
          <w:color w:val="1A1A1A"/>
        </w:rPr>
        <w:t xml:space="preserve">ويكتسب هذا التقاطع دلالة خاصة حين نلاحظ أن كليهما يرفض تفسير «سوء المزاج المعاصر» تفسيراً بيولوجياً-كيميائياً بحتاً (كما تميل إليه بعض تيارات الطب النفسي السائد)، ويصرّان على أن الأزمة أزمة «بنية وجود» قبل أن تكون أزمة «كيمياء دماغية»، وإن كان علم النفس الاستخلافي – بخلاف هان – لا يستبعد توظيف معطيات علم الأعصاب (كالنظام العصبي </w:t>
      </w:r>
      <w:proofErr w:type="spellStart"/>
      <w:r>
        <w:rPr>
          <w:color w:val="1A1A1A"/>
        </w:rPr>
        <w:t>المُبهَمي</w:t>
      </w:r>
      <w:proofErr w:type="spellEnd"/>
      <w:r>
        <w:rPr>
          <w:color w:val="1A1A1A"/>
        </w:rPr>
        <w:t xml:space="preserve"> </w:t>
      </w:r>
      <w:proofErr w:type="spellStart"/>
      <w:r>
        <w:rPr>
          <w:color w:val="1A1A1A"/>
        </w:rPr>
        <w:t>Polyvagal</w:t>
      </w:r>
      <w:proofErr w:type="spellEnd"/>
      <w:r>
        <w:rPr>
          <w:color w:val="1A1A1A"/>
        </w:rPr>
        <w:t xml:space="preserve"> </w:t>
      </w:r>
      <w:proofErr w:type="spellStart"/>
      <w:r>
        <w:rPr>
          <w:color w:val="1A1A1A"/>
        </w:rPr>
        <w:t>Theory</w:t>
      </w:r>
      <w:proofErr w:type="spellEnd"/>
      <w:r>
        <w:rPr>
          <w:color w:val="1A1A1A"/>
        </w:rPr>
        <w:t>) توظيفاً تكاملياً مع التصور الإيماني، لا بديلاً عنه.</w:t>
      </w:r>
    </w:p>
    <w:p w14:paraId="600D02DF" w14:textId="77777777" w:rsidR="006E6A4B" w:rsidRDefault="009568D6" w:rsidP="00463DCD">
      <w:pPr>
        <w:rPr>
          <w:rFonts w:cs="Arial"/>
        </w:rPr>
      </w:pPr>
      <w:r>
        <w:br w:type="page"/>
      </w:r>
    </w:p>
    <w:p w14:paraId="6E33FDB9" w14:textId="77777777" w:rsidR="006E6A4B" w:rsidRDefault="009568D6" w:rsidP="00463DCD">
      <w:pPr>
        <w:pStyle w:val="1"/>
        <w:shd w:val="clear" w:color="auto" w:fill="1F3864"/>
        <w:bidi/>
        <w:spacing w:before="480" w:after="200"/>
        <w:rPr>
          <w:rFonts w:cs="Arial"/>
        </w:rPr>
      </w:pPr>
      <w:r>
        <w:rPr>
          <w:b/>
          <w:bCs/>
          <w:color w:val="FFFFFF"/>
        </w:rPr>
        <w:t>الفصل الثالث: نقد الرأسمالية الرقمية – «مجتمع الشفافية» و«الاستعمار الخوارزمي»</w:t>
      </w:r>
    </w:p>
    <w:p w14:paraId="5B99A4CE" w14:textId="77777777" w:rsidR="006E6A4B" w:rsidRDefault="009568D6" w:rsidP="00463DCD">
      <w:pPr>
        <w:pStyle w:val="2"/>
        <w:pBdr>
          <w:bottom w:val="single" w:sz="8" w:space="4" w:color="B8860B"/>
        </w:pBdr>
        <w:bidi/>
        <w:spacing w:before="320" w:after="140"/>
        <w:rPr>
          <w:rFonts w:cs="Arial"/>
        </w:rPr>
      </w:pPr>
      <w:r>
        <w:rPr>
          <w:b/>
          <w:bCs/>
          <w:color w:val="0F6B72"/>
        </w:rPr>
        <w:t>3.1 من مجتمع الانضباط إلى مجتمع الإنجاز</w:t>
      </w:r>
    </w:p>
    <w:p w14:paraId="305463C1" w14:textId="77777777" w:rsidR="006E6A4B" w:rsidRDefault="009568D6" w:rsidP="00463DCD">
      <w:pPr>
        <w:spacing w:after="160" w:line="336" w:lineRule="auto"/>
        <w:ind w:firstLine="340"/>
        <w:rPr>
          <w:rFonts w:cs="Arial"/>
        </w:rPr>
      </w:pPr>
      <w:r>
        <w:rPr>
          <w:color w:val="1A1A1A"/>
        </w:rPr>
        <w:t>يرى هان أننا انتقلنا من «مجتمع الانضباط» (الذي وصفه فوكو، والذي كان يقوم على المنع والقمع والطاعة عبر مؤسسات كالسجن والمدرسة والمصنع) إلى «مجتمع الإنجاز» (</w:t>
      </w:r>
      <w:proofErr w:type="spellStart"/>
      <w:r>
        <w:rPr>
          <w:color w:val="1A1A1A"/>
        </w:rPr>
        <w:t>Leistungsgesellschaft</w:t>
      </w:r>
      <w:proofErr w:type="spellEnd"/>
      <w:r>
        <w:rPr>
          <w:color w:val="1A1A1A"/>
        </w:rPr>
        <w:t>) الذي يقوم على التحفيز الذاتي والحرية الوهمية والأداء المتواصل. في هذا المجتمع، لا يحتاج الإنسان إلى «سيد خارجي» يقمعه، لأنه أصبح «سيداً» على نفسه، لكنه «سيد مستبد» في الوقت نفسه، يمارس على ذاته «عنفاً مفرطاً» باسم «النجاح» و«الإنتاجية». وينتج عن ذلك «الإرهاق» و«الاكتئاب» و«الاحتراق النفسي» (</w:t>
      </w:r>
      <w:proofErr w:type="spellStart"/>
      <w:r>
        <w:rPr>
          <w:color w:val="1A1A1A"/>
        </w:rPr>
        <w:t>Burnout</w:t>
      </w:r>
      <w:proofErr w:type="spellEnd"/>
      <w:r>
        <w:rPr>
          <w:color w:val="1A1A1A"/>
        </w:rPr>
        <w:t>)، وهي أمراض هان يصفها بأنها «أمراض عصبية» (</w:t>
      </w:r>
      <w:proofErr w:type="spellStart"/>
      <w:r>
        <w:rPr>
          <w:color w:val="1A1A1A"/>
        </w:rPr>
        <w:t>neuronale</w:t>
      </w:r>
      <w:proofErr w:type="spellEnd"/>
      <w:r>
        <w:rPr>
          <w:color w:val="1A1A1A"/>
        </w:rPr>
        <w:t xml:space="preserve"> </w:t>
      </w:r>
      <w:proofErr w:type="spellStart"/>
      <w:r>
        <w:rPr>
          <w:color w:val="1A1A1A"/>
        </w:rPr>
        <w:t>Krankheiten</w:t>
      </w:r>
      <w:proofErr w:type="spellEnd"/>
      <w:r>
        <w:rPr>
          <w:color w:val="1A1A1A"/>
        </w:rPr>
        <w:t>) لا «أمراض عدوى»، بمعنى أنها تنشأ من «فرط الإيجابية» (</w:t>
      </w:r>
      <w:proofErr w:type="spellStart"/>
      <w:r>
        <w:rPr>
          <w:color w:val="1A1A1A"/>
        </w:rPr>
        <w:t>Positivität</w:t>
      </w:r>
      <w:proofErr w:type="spellEnd"/>
      <w:r>
        <w:rPr>
          <w:color w:val="1A1A1A"/>
        </w:rPr>
        <w:t>) لا من صراع بين الأنا والغريب.</w:t>
      </w:r>
    </w:p>
    <w:p w14:paraId="3083B2B0" w14:textId="77777777" w:rsidR="006E6A4B" w:rsidRDefault="009568D6" w:rsidP="00463DCD">
      <w:pPr>
        <w:spacing w:after="160" w:line="336" w:lineRule="auto"/>
        <w:ind w:firstLine="340"/>
        <w:rPr>
          <w:rFonts w:cs="Arial"/>
        </w:rPr>
      </w:pPr>
      <w:r>
        <w:rPr>
          <w:color w:val="1A1A1A"/>
        </w:rPr>
        <w:t xml:space="preserve">وفي «مجتمع الشفافية»، يصبح كل شيء «معروضاً» </w:t>
      </w:r>
      <w:proofErr w:type="spellStart"/>
      <w:r>
        <w:rPr>
          <w:color w:val="1A1A1A"/>
        </w:rPr>
        <w:t>و«مكشوفاً</w:t>
      </w:r>
      <w:proofErr w:type="spellEnd"/>
      <w:r>
        <w:rPr>
          <w:color w:val="1A1A1A"/>
        </w:rPr>
        <w:t>»، وتختفي «المسافة» و«الغموض» الضروريان للتأمل والاحترام والرغبة. «الشفافية» – عند هان – ليست «تحرراً»، بل هي «نظام رقابة طوعي» يحوّل الإنسان إلى «موضوع للمراقبة» و«سلعة للعرض». ويربط هان هذا التحليل بمفهوم «</w:t>
      </w:r>
      <w:proofErr w:type="spellStart"/>
      <w:r>
        <w:rPr>
          <w:color w:val="1A1A1A"/>
        </w:rPr>
        <w:t>البانوبتيكون</w:t>
      </w:r>
      <w:proofErr w:type="spellEnd"/>
      <w:r>
        <w:rPr>
          <w:color w:val="1A1A1A"/>
        </w:rPr>
        <w:t xml:space="preserve"> الرقمي» الذي لا يحتاج – خلافاً </w:t>
      </w:r>
      <w:proofErr w:type="spellStart"/>
      <w:r>
        <w:rPr>
          <w:color w:val="1A1A1A"/>
        </w:rPr>
        <w:t>لبانوبتيكون</w:t>
      </w:r>
      <w:proofErr w:type="spellEnd"/>
      <w:r>
        <w:rPr>
          <w:color w:val="1A1A1A"/>
        </w:rPr>
        <w:t xml:space="preserve"> فوكو </w:t>
      </w:r>
      <w:proofErr w:type="spellStart"/>
      <w:r>
        <w:rPr>
          <w:color w:val="1A1A1A"/>
        </w:rPr>
        <w:t>السجني</w:t>
      </w:r>
      <w:proofErr w:type="spellEnd"/>
      <w:r>
        <w:rPr>
          <w:color w:val="1A1A1A"/>
        </w:rPr>
        <w:t xml:space="preserve"> – إلى سجّان مركزي، لأن كل مستخدم أصبح سجّان نفسه، يعرض ذاته طوعاً على منصات التواصل بحثاً عن «</w:t>
      </w:r>
      <w:proofErr w:type="spellStart"/>
      <w:r>
        <w:rPr>
          <w:color w:val="1A1A1A"/>
        </w:rPr>
        <w:t>اللايك</w:t>
      </w:r>
      <w:proofErr w:type="spellEnd"/>
      <w:r>
        <w:rPr>
          <w:color w:val="1A1A1A"/>
        </w:rPr>
        <w:t>» بوصفه الشكل الرقمي لـ«الاعتراف» (</w:t>
      </w:r>
      <w:proofErr w:type="spellStart"/>
      <w:r>
        <w:rPr>
          <w:color w:val="1A1A1A"/>
        </w:rPr>
        <w:t>Anerkennung</w:t>
      </w:r>
      <w:proofErr w:type="spellEnd"/>
      <w:r>
        <w:rPr>
          <w:color w:val="1A1A1A"/>
        </w:rPr>
        <w:t>).</w:t>
      </w:r>
    </w:p>
    <w:p w14:paraId="476AE008" w14:textId="77777777" w:rsidR="006E6A4B" w:rsidRDefault="009568D6" w:rsidP="00463DCD">
      <w:pPr>
        <w:pStyle w:val="2"/>
        <w:pBdr>
          <w:bottom w:val="single" w:sz="8" w:space="4" w:color="B8860B"/>
        </w:pBdr>
        <w:bidi/>
        <w:spacing w:before="320" w:after="140"/>
        <w:rPr>
          <w:rFonts w:cs="Arial"/>
        </w:rPr>
      </w:pPr>
      <w:r>
        <w:rPr>
          <w:b/>
          <w:bCs/>
          <w:color w:val="0F6B72"/>
        </w:rPr>
        <w:t>3.2 مجتمع الشفافية وموت الغموض</w:t>
      </w:r>
    </w:p>
    <w:p w14:paraId="6A21616E" w14:textId="77777777" w:rsidR="006E6A4B" w:rsidRDefault="009568D6" w:rsidP="00463DCD">
      <w:pPr>
        <w:spacing w:after="160" w:line="336" w:lineRule="auto"/>
        <w:ind w:firstLine="340"/>
        <w:rPr>
          <w:rFonts w:cs="Arial"/>
        </w:rPr>
      </w:pPr>
      <w:r>
        <w:rPr>
          <w:color w:val="1A1A1A"/>
        </w:rPr>
        <w:t>يشدّد هان في كتابه «مجتمع الشفافية» على أن اختفاء «السلبية» (</w:t>
      </w:r>
      <w:proofErr w:type="spellStart"/>
      <w:r>
        <w:rPr>
          <w:color w:val="1A1A1A"/>
        </w:rPr>
        <w:t>Negativität</w:t>
      </w:r>
      <w:proofErr w:type="spellEnd"/>
      <w:r>
        <w:rPr>
          <w:color w:val="1A1A1A"/>
        </w:rPr>
        <w:t xml:space="preserve">) – أي كل ما يقاوم، يمانع، يبقى غامضاً أو مسافةً – هو جوهر أزمة العصر. فحين يصبح كل شيء «إيجابياً» </w:t>
      </w:r>
      <w:proofErr w:type="spellStart"/>
      <w:r>
        <w:rPr>
          <w:color w:val="1A1A1A"/>
        </w:rPr>
        <w:t>و«شفافاً</w:t>
      </w:r>
      <w:proofErr w:type="spellEnd"/>
      <w:r>
        <w:rPr>
          <w:color w:val="1A1A1A"/>
        </w:rPr>
        <w:t xml:space="preserve">» </w:t>
      </w:r>
      <w:proofErr w:type="spellStart"/>
      <w:r>
        <w:rPr>
          <w:color w:val="1A1A1A"/>
        </w:rPr>
        <w:t>و«قابلاً</w:t>
      </w:r>
      <w:proofErr w:type="spellEnd"/>
      <w:r>
        <w:rPr>
          <w:color w:val="1A1A1A"/>
        </w:rPr>
        <w:t xml:space="preserve"> للاستهلاك الفوري»، تختفي إمكانية «التجربة» بمعناها العميق (</w:t>
      </w:r>
      <w:proofErr w:type="spellStart"/>
      <w:r>
        <w:rPr>
          <w:color w:val="1A1A1A"/>
        </w:rPr>
        <w:t>Erfahrung</w:t>
      </w:r>
      <w:proofErr w:type="spellEnd"/>
      <w:r>
        <w:rPr>
          <w:color w:val="1A1A1A"/>
        </w:rPr>
        <w:t>)، أي التجربة التي تُحدث تحوّلاً في الذات لأنها تتضمن مقاومة ومفاجأة وغرابة. ويستبدل هذا بـ«المعلومة» (</w:t>
      </w:r>
      <w:proofErr w:type="spellStart"/>
      <w:r>
        <w:rPr>
          <w:color w:val="1A1A1A"/>
        </w:rPr>
        <w:t>Information</w:t>
      </w:r>
      <w:proofErr w:type="spellEnd"/>
      <w:r>
        <w:rPr>
          <w:color w:val="1A1A1A"/>
        </w:rPr>
        <w:t>) التي تُستهلك وتُنسى فوراً دون أن تترك أثراً في بنية الذات.</w:t>
      </w:r>
    </w:p>
    <w:p w14:paraId="1DA3A097" w14:textId="77777777" w:rsidR="006E6A4B" w:rsidRDefault="009568D6" w:rsidP="00463DCD">
      <w:pPr>
        <w:pStyle w:val="2"/>
        <w:pBdr>
          <w:bottom w:val="single" w:sz="8" w:space="4" w:color="B8860B"/>
        </w:pBdr>
        <w:bidi/>
        <w:spacing w:before="320" w:after="140"/>
        <w:rPr>
          <w:rFonts w:cs="Arial"/>
        </w:rPr>
      </w:pPr>
      <w:r>
        <w:rPr>
          <w:b/>
          <w:bCs/>
          <w:color w:val="0F6B72"/>
        </w:rPr>
        <w:t>3.3 الاستعمار الخوارزمي وثغرة الفجور عند علم النفس الاستخلافي</w:t>
      </w:r>
    </w:p>
    <w:p w14:paraId="29547C5A" w14:textId="77777777" w:rsidR="006E6A4B" w:rsidRDefault="009568D6" w:rsidP="00463DCD">
      <w:pPr>
        <w:spacing w:after="160" w:line="336" w:lineRule="auto"/>
        <w:ind w:firstLine="340"/>
        <w:rPr>
          <w:rFonts w:cs="Arial"/>
        </w:rPr>
      </w:pPr>
      <w:r>
        <w:rPr>
          <w:color w:val="1A1A1A"/>
        </w:rPr>
        <w:t>علم النفس الاستخلافي – من جهته – يستخدم مفهوماً قريباً، هو «رأسمالية المراقبة» (</w:t>
      </w:r>
      <w:proofErr w:type="spellStart"/>
      <w:r>
        <w:rPr>
          <w:color w:val="1A1A1A"/>
        </w:rPr>
        <w:t>Surveillance</w:t>
      </w:r>
      <w:proofErr w:type="spellEnd"/>
      <w:r>
        <w:rPr>
          <w:color w:val="1A1A1A"/>
        </w:rPr>
        <w:t xml:space="preserve"> </w:t>
      </w:r>
      <w:proofErr w:type="spellStart"/>
      <w:r>
        <w:rPr>
          <w:color w:val="1A1A1A"/>
        </w:rPr>
        <w:t>Capitalism</w:t>
      </w:r>
      <w:proofErr w:type="spellEnd"/>
      <w:r>
        <w:rPr>
          <w:color w:val="1A1A1A"/>
        </w:rPr>
        <w:t xml:space="preserve">) – المستقى من شوشانا </w:t>
      </w:r>
      <w:proofErr w:type="spellStart"/>
      <w:r>
        <w:rPr>
          <w:color w:val="1A1A1A"/>
        </w:rPr>
        <w:t>زوبوف</w:t>
      </w:r>
      <w:proofErr w:type="spellEnd"/>
      <w:r>
        <w:rPr>
          <w:color w:val="1A1A1A"/>
        </w:rPr>
        <w:t xml:space="preserve"> – ليصف «الاستعمار الخوارزمي» للوعي. ويرى أن «الخوارزميات» لا تكتفي بمراقبة السلوك، بل «تصمّم» التجربة الإنسانية لتخدم مصالح المعلنين، مستهدفة «النفس الأمارة» و«ثغرة الفجور» المشار إليها في الآية الكريمة {فَأَلْهَمَهَا فُجُورَهَا وَتَقْوَاهَا}. والنتيجة هي «تزييف الاطمئنان»: إشباع سطحي فوري يخفي «فراغاً وجودياً» عميقاً، </w:t>
      </w:r>
      <w:proofErr w:type="spellStart"/>
      <w:r>
        <w:rPr>
          <w:color w:val="1A1A1A"/>
        </w:rPr>
        <w:t>و«تعطيلاً</w:t>
      </w:r>
      <w:proofErr w:type="spellEnd"/>
      <w:r>
        <w:rPr>
          <w:color w:val="1A1A1A"/>
        </w:rPr>
        <w:t>» لـ«النفس اللوّامة» التي تحتاج إلى «الصمت» و«التأمل» لتعمل.</w:t>
      </w:r>
    </w:p>
    <w:p w14:paraId="293344B7" w14:textId="77777777" w:rsidR="006E6A4B" w:rsidRDefault="009568D6" w:rsidP="00463DCD">
      <w:pPr>
        <w:spacing w:after="160" w:line="336" w:lineRule="auto"/>
        <w:ind w:firstLine="340"/>
        <w:rPr>
          <w:rFonts w:cs="Arial"/>
        </w:rPr>
      </w:pPr>
      <w:r>
        <w:rPr>
          <w:color w:val="1A1A1A"/>
        </w:rPr>
        <w:t xml:space="preserve">ويضيف علم النفس الاستخلافي – في هذا السياق – بعداً غير موجود صراحة عند هان، وهو البعد «الأخلاقي-التعبّدي» للاستهداف الخوارزمي: فحين تُصمَّم الخوارزمية لاستغلال «ثغرة الفجور»، فإنها لا تنتهك فقط «حرية الاختيار» (كما قد يصفها خطاب ليبرالي)، بل تنتهك «الأمانة الاستخلافية» التي أُودعت في النفس، أي مسؤولية الإنسان عن حراسة قلبه وانتباهه بوصفهما أمانة يُسأل عنها يوم القيامة. وهذا البعد </w:t>
      </w:r>
      <w:proofErr w:type="spellStart"/>
      <w:r>
        <w:rPr>
          <w:color w:val="1A1A1A"/>
        </w:rPr>
        <w:t>الأخروي</w:t>
      </w:r>
      <w:proofErr w:type="spellEnd"/>
      <w:r>
        <w:rPr>
          <w:color w:val="1A1A1A"/>
        </w:rPr>
        <w:t xml:space="preserve"> للمسؤولية غائب بالضرورة عن تحليل هان، المحصور في أفق زمني دنيوي.</w:t>
      </w:r>
    </w:p>
    <w:p w14:paraId="2EDFE6EA" w14:textId="77777777" w:rsidR="006E6A4B" w:rsidRDefault="009568D6" w:rsidP="00463DCD">
      <w:pPr>
        <w:pStyle w:val="2"/>
        <w:pBdr>
          <w:bottom w:val="single" w:sz="8" w:space="4" w:color="B8860B"/>
        </w:pBdr>
        <w:bidi/>
        <w:spacing w:before="320" w:after="140"/>
        <w:rPr>
          <w:rFonts w:cs="Arial"/>
        </w:rPr>
      </w:pPr>
      <w:r>
        <w:rPr>
          <w:b/>
          <w:bCs/>
          <w:color w:val="0F6B72"/>
        </w:rPr>
        <w:t>3.4 مقارنة تركيبية: الاستغلال الوجداني كقاسم مشترك، والاختلاف في التشخيص الغائي</w:t>
      </w:r>
    </w:p>
    <w:p w14:paraId="5EAA6EF4" w14:textId="77777777" w:rsidR="006E6A4B" w:rsidRDefault="009568D6" w:rsidP="00463DCD">
      <w:pPr>
        <w:spacing w:after="160" w:line="336" w:lineRule="auto"/>
        <w:ind w:firstLine="340"/>
        <w:rPr>
          <w:rFonts w:cs="Arial"/>
        </w:rPr>
      </w:pPr>
      <w:r>
        <w:rPr>
          <w:color w:val="1A1A1A"/>
        </w:rPr>
        <w:t xml:space="preserve">وهكذا، يتفق المشروعان على أن «الرأسمالية الرقمية» ليست مجرد نظام اقتصادي، بل هي «نظام نفسي-وجودي» يعيد تشكيل «الذات» و«الوجدان» و«المعنى». غير أن الاختلاف الجوهري يكمن في تحديد «ما الذي يُنتهَك بالضبط»: عند هان، ما يُنتهَك هو «القدرة على التجربة الأصيلة» و«الحرية السلبية» (أي حرية عدم الانخراط)؛ بينما عند علم النفس الاستخلافي، ما يُنتهَك هو «الأمانة» بمعناها القرآني، أي العلاقة التعاقدية بين الإنسان وخالقه التي تجعل من الانتباه والقلب موضع مساءلة </w:t>
      </w:r>
      <w:proofErr w:type="spellStart"/>
      <w:r>
        <w:rPr>
          <w:color w:val="1A1A1A"/>
        </w:rPr>
        <w:t>أخروية</w:t>
      </w:r>
      <w:proofErr w:type="spellEnd"/>
      <w:r>
        <w:rPr>
          <w:color w:val="1A1A1A"/>
        </w:rPr>
        <w:t xml:space="preserve">. هذا الفارق – وإن بدا دقيقاً – يترتب عليه اختلاف جذري في تصور «الحل»: فحل هان يظل في أفق «إعادة اكتشاف السلبية الفلسفية»، بينما حل علم النفس الاستخلافي يتجاوز ذلك إلى «إحياء الشعور بالمسؤولية </w:t>
      </w:r>
      <w:proofErr w:type="spellStart"/>
      <w:r>
        <w:rPr>
          <w:color w:val="1A1A1A"/>
        </w:rPr>
        <w:t>الأخروية</w:t>
      </w:r>
      <w:proofErr w:type="spellEnd"/>
      <w:r>
        <w:rPr>
          <w:color w:val="1A1A1A"/>
        </w:rPr>
        <w:t>» كمحرّك للمقاومة.</w:t>
      </w:r>
    </w:p>
    <w:p w14:paraId="4B6F7F93" w14:textId="77777777" w:rsidR="006E6A4B" w:rsidRDefault="009568D6" w:rsidP="00463DCD">
      <w:pPr>
        <w:rPr>
          <w:rFonts w:cs="Arial"/>
        </w:rPr>
      </w:pPr>
      <w:r>
        <w:br w:type="page"/>
      </w:r>
    </w:p>
    <w:p w14:paraId="0F7E0AB0" w14:textId="77777777" w:rsidR="006E6A4B" w:rsidRDefault="009568D6" w:rsidP="00463DCD">
      <w:pPr>
        <w:pStyle w:val="1"/>
        <w:shd w:val="clear" w:color="auto" w:fill="1F3864"/>
        <w:bidi/>
        <w:spacing w:before="480" w:after="200"/>
        <w:rPr>
          <w:rFonts w:cs="Arial"/>
        </w:rPr>
      </w:pPr>
      <w:r>
        <w:rPr>
          <w:b/>
          <w:bCs/>
          <w:color w:val="FFFFFF"/>
        </w:rPr>
        <w:t>الفصل الرابع: الزمن والتشتت – من «الدوار الزمني» إلى «سيادة الانتباه»</w:t>
      </w:r>
    </w:p>
    <w:p w14:paraId="716CC512" w14:textId="77777777" w:rsidR="006E6A4B" w:rsidRDefault="009568D6" w:rsidP="00463DCD">
      <w:pPr>
        <w:pStyle w:val="2"/>
        <w:pBdr>
          <w:bottom w:val="single" w:sz="8" w:space="4" w:color="B8860B"/>
        </w:pBdr>
        <w:bidi/>
        <w:spacing w:before="320" w:after="140"/>
        <w:rPr>
          <w:rFonts w:cs="Arial"/>
        </w:rPr>
      </w:pPr>
      <w:r>
        <w:rPr>
          <w:b/>
          <w:bCs/>
          <w:color w:val="0F6B72"/>
        </w:rPr>
        <w:t>4.1 عطر الزمن: الدوار الزمني وتفكك السرد</w:t>
      </w:r>
    </w:p>
    <w:p w14:paraId="74D13A26" w14:textId="77777777" w:rsidR="006E6A4B" w:rsidRDefault="009568D6" w:rsidP="00463DCD">
      <w:pPr>
        <w:spacing w:after="160" w:line="336" w:lineRule="auto"/>
        <w:ind w:firstLine="340"/>
        <w:rPr>
          <w:rFonts w:cs="Arial"/>
        </w:rPr>
      </w:pPr>
      <w:r>
        <w:rPr>
          <w:color w:val="1A1A1A"/>
        </w:rPr>
        <w:t>يرى هان – كما في كتابه «عطر الزمن» (</w:t>
      </w:r>
      <w:proofErr w:type="spellStart"/>
      <w:r>
        <w:rPr>
          <w:color w:val="1A1A1A"/>
        </w:rPr>
        <w:t>Duft</w:t>
      </w:r>
      <w:proofErr w:type="spellEnd"/>
      <w:r>
        <w:rPr>
          <w:color w:val="1A1A1A"/>
        </w:rPr>
        <w:t xml:space="preserve"> </w:t>
      </w:r>
      <w:proofErr w:type="spellStart"/>
      <w:r>
        <w:rPr>
          <w:color w:val="1A1A1A"/>
        </w:rPr>
        <w:t>der</w:t>
      </w:r>
      <w:proofErr w:type="spellEnd"/>
      <w:r>
        <w:rPr>
          <w:color w:val="1A1A1A"/>
        </w:rPr>
        <w:t xml:space="preserve"> </w:t>
      </w:r>
      <w:proofErr w:type="spellStart"/>
      <w:r>
        <w:rPr>
          <w:color w:val="1A1A1A"/>
        </w:rPr>
        <w:t>Zeit</w:t>
      </w:r>
      <w:proofErr w:type="spellEnd"/>
      <w:r>
        <w:rPr>
          <w:color w:val="1A1A1A"/>
        </w:rPr>
        <w:t>) – أن «الزمن» في العصر الرقمي قد فقد «امتداده» و«سرديته»، وأصبح «سلسلة من النقاط الحاضرة المتسارعة» لا تسمح بتكوين «خبرة متراكمة». هذا «الدوار الزمني» (</w:t>
      </w:r>
      <w:proofErr w:type="spellStart"/>
      <w:r>
        <w:rPr>
          <w:color w:val="1A1A1A"/>
        </w:rPr>
        <w:t>Zeitschwindel</w:t>
      </w:r>
      <w:proofErr w:type="spellEnd"/>
      <w:r>
        <w:rPr>
          <w:color w:val="1A1A1A"/>
        </w:rPr>
        <w:t>) يمنع «التأمل العميق» و«الانتظار» و«الملل الخصب»، ويحوّل الانتباه إلى «سلعة نادرة». والنتيجة هي «تآكل» القدرة على «السرد» و«المعنى»، وفقدان «العلاقات الإنسانية» لعمقها. ويربط هان هذا التفكك الزمني بغياب «الروائح» و«الفواصل» و«الاحتفالات» التي كانت – في الأزمنة السابقة للتسارع الرقمي – تمنح الزمن «عطراً» وبنية قابلة للتذكّر.</w:t>
      </w:r>
    </w:p>
    <w:p w14:paraId="19B0B254" w14:textId="77777777" w:rsidR="006E6A4B" w:rsidRDefault="009568D6" w:rsidP="00463DCD">
      <w:pPr>
        <w:pStyle w:val="2"/>
        <w:pBdr>
          <w:bottom w:val="single" w:sz="8" w:space="4" w:color="B8860B"/>
        </w:pBdr>
        <w:bidi/>
        <w:spacing w:before="320" w:after="140"/>
        <w:rPr>
          <w:rFonts w:cs="Arial"/>
        </w:rPr>
      </w:pPr>
      <w:r>
        <w:rPr>
          <w:b/>
          <w:bCs/>
          <w:color w:val="0F6B72"/>
        </w:rPr>
        <w:t xml:space="preserve">4.2 </w:t>
      </w:r>
      <w:proofErr w:type="spellStart"/>
      <w:r>
        <w:rPr>
          <w:b/>
          <w:bCs/>
          <w:color w:val="0F6B72"/>
        </w:rPr>
        <w:t>اللاأشياء</w:t>
      </w:r>
      <w:proofErr w:type="spellEnd"/>
      <w:r>
        <w:rPr>
          <w:b/>
          <w:bCs/>
          <w:color w:val="0F6B72"/>
        </w:rPr>
        <w:t xml:space="preserve"> (</w:t>
      </w:r>
      <w:proofErr w:type="spellStart"/>
      <w:r>
        <w:rPr>
          <w:b/>
          <w:bCs/>
          <w:color w:val="0F6B72"/>
        </w:rPr>
        <w:t>Undinge</w:t>
      </w:r>
      <w:proofErr w:type="spellEnd"/>
      <w:r>
        <w:rPr>
          <w:b/>
          <w:bCs/>
          <w:color w:val="0F6B72"/>
        </w:rPr>
        <w:t>) والانزلاق نحو عالم بلا ثبات</w:t>
      </w:r>
    </w:p>
    <w:p w14:paraId="2AB5F0FF" w14:textId="77777777" w:rsidR="006E6A4B" w:rsidRDefault="009568D6" w:rsidP="00463DCD">
      <w:pPr>
        <w:spacing w:after="160" w:line="336" w:lineRule="auto"/>
        <w:ind w:firstLine="340"/>
        <w:rPr>
          <w:rFonts w:cs="Arial"/>
        </w:rPr>
      </w:pPr>
      <w:r>
        <w:rPr>
          <w:color w:val="1A1A1A"/>
        </w:rPr>
        <w:t>في مؤلَّفه اللاحق «</w:t>
      </w:r>
      <w:proofErr w:type="spellStart"/>
      <w:r>
        <w:rPr>
          <w:color w:val="1A1A1A"/>
        </w:rPr>
        <w:t>اللاأشياء</w:t>
      </w:r>
      <w:proofErr w:type="spellEnd"/>
      <w:r>
        <w:rPr>
          <w:color w:val="1A1A1A"/>
        </w:rPr>
        <w:t>» (</w:t>
      </w:r>
      <w:proofErr w:type="spellStart"/>
      <w:r>
        <w:rPr>
          <w:color w:val="1A1A1A"/>
        </w:rPr>
        <w:t>Undinge</w:t>
      </w:r>
      <w:proofErr w:type="spellEnd"/>
      <w:r>
        <w:rPr>
          <w:color w:val="1A1A1A"/>
        </w:rPr>
        <w:t>, 2021)، يوسّع هان تشخيصه ليشمل تحوّل «الأشياء» (</w:t>
      </w:r>
      <w:proofErr w:type="spellStart"/>
      <w:r>
        <w:rPr>
          <w:color w:val="1A1A1A"/>
        </w:rPr>
        <w:t>Dinge</w:t>
      </w:r>
      <w:proofErr w:type="spellEnd"/>
      <w:r>
        <w:rPr>
          <w:color w:val="1A1A1A"/>
        </w:rPr>
        <w:t xml:space="preserve">) ذاتها – التي كانت تمنح الوجود ثباتاً ومرجعية حسية – إلى «معلومات» و«تطبيقات» و«خدمات» عابرة لا تُقيم في المكان ولا تدوم في الزمان. فالهاتف الذكي، مثلاً، ليس «شيئاً» بالمعنى </w:t>
      </w:r>
      <w:proofErr w:type="spellStart"/>
      <w:r>
        <w:rPr>
          <w:color w:val="1A1A1A"/>
        </w:rPr>
        <w:t>الهيدغري</w:t>
      </w:r>
      <w:proofErr w:type="spellEnd"/>
      <w:r>
        <w:rPr>
          <w:color w:val="1A1A1A"/>
        </w:rPr>
        <w:t xml:space="preserve"> (الذي «يجمع» العالم حوله كما يجمع الجرّةُ الماء والسماءَ والأرض)، بل هو «بوابة» عابرة تُذيب كل شيء في تدفق لا متناهٍ من المعلومات. وهذا التحوّل من «عالم الأشياء» إلى «عالم المعلومات» يفاقم – عند هان – أزمة «انعدام الثبات» (</w:t>
      </w:r>
      <w:proofErr w:type="spellStart"/>
      <w:r>
        <w:rPr>
          <w:color w:val="1A1A1A"/>
        </w:rPr>
        <w:t>Unbeständigkeit</w:t>
      </w:r>
      <w:proofErr w:type="spellEnd"/>
      <w:r>
        <w:rPr>
          <w:color w:val="1A1A1A"/>
        </w:rPr>
        <w:t>) التي تجعل الذات نفسها تفقد قدرتها على «الاستقرار» في تجربة ممتدة.</w:t>
      </w:r>
    </w:p>
    <w:p w14:paraId="20EB2E1F" w14:textId="77777777" w:rsidR="006E6A4B" w:rsidRDefault="009568D6" w:rsidP="00463DCD">
      <w:pPr>
        <w:pStyle w:val="2"/>
        <w:pBdr>
          <w:bottom w:val="single" w:sz="8" w:space="4" w:color="B8860B"/>
        </w:pBdr>
        <w:bidi/>
        <w:spacing w:before="320" w:after="140"/>
        <w:rPr>
          <w:rFonts w:cs="Arial"/>
        </w:rPr>
      </w:pPr>
      <w:r>
        <w:rPr>
          <w:b/>
          <w:bCs/>
          <w:color w:val="0F6B72"/>
        </w:rPr>
        <w:t>4.3 سيادة الانتباه واستعمار الانتباه في علم النفس الاستخلافي</w:t>
      </w:r>
    </w:p>
    <w:p w14:paraId="795519AC" w14:textId="77777777" w:rsidR="006E6A4B" w:rsidRDefault="009568D6" w:rsidP="00463DCD">
      <w:pPr>
        <w:spacing w:after="160" w:line="336" w:lineRule="auto"/>
        <w:ind w:firstLine="340"/>
        <w:rPr>
          <w:rFonts w:cs="Arial"/>
        </w:rPr>
      </w:pPr>
      <w:r>
        <w:rPr>
          <w:color w:val="1A1A1A"/>
        </w:rPr>
        <w:t xml:space="preserve">علم النفس الاستخلافي – بشكل موازٍ – يجعل من «سيادة الانتباه» قضية مركزية في مشروعه. ويرى أن «الخوارزميات» مصممة لـ«قتل الصمت» و«تفتيت الانتباه»، ومنع «النفس اللوّامة» من العمل، وبالتالي إبقاء الإنسان في «النفس الأمارة». والعلاج – عنده – يبدأ بـ«استرداد الانتباه» عبر «الصوم الرقمي» و«الذكر» و«الصلاة» و«التدبر»، التي تعمل كـ«إعادة ضبط للمصنع الأخلاقي». وتلتقي هذه الرؤية مع مفهوم «سيادة الانتباه» في أدبيات علم النفس المعرفي الغربي المعاصر (خصوصاً في نقد اقتصاد الانتباه </w:t>
      </w:r>
      <w:proofErr w:type="spellStart"/>
      <w:r>
        <w:rPr>
          <w:color w:val="1A1A1A"/>
        </w:rPr>
        <w:t>Attention</w:t>
      </w:r>
      <w:proofErr w:type="spellEnd"/>
      <w:r>
        <w:rPr>
          <w:color w:val="1A1A1A"/>
        </w:rPr>
        <w:t xml:space="preserve"> </w:t>
      </w:r>
      <w:proofErr w:type="spellStart"/>
      <w:r>
        <w:rPr>
          <w:color w:val="1A1A1A"/>
        </w:rPr>
        <w:t>Economy</w:t>
      </w:r>
      <w:proofErr w:type="spellEnd"/>
      <w:r>
        <w:rPr>
          <w:color w:val="1A1A1A"/>
        </w:rPr>
        <w:t>)، لكنها تضيف إليه بُعداً تعبّدياً يجعل من استرداد الانتباه عبادةً لا مجرد «صحة نفسية» أو «إنتاجية» محسّنة.</w:t>
      </w:r>
    </w:p>
    <w:p w14:paraId="50C6E773" w14:textId="77777777" w:rsidR="006E6A4B" w:rsidRDefault="009568D6" w:rsidP="00463DCD">
      <w:pPr>
        <w:pStyle w:val="2"/>
        <w:pBdr>
          <w:bottom w:val="single" w:sz="8" w:space="4" w:color="B8860B"/>
        </w:pBdr>
        <w:bidi/>
        <w:spacing w:before="320" w:after="140"/>
        <w:rPr>
          <w:rFonts w:cs="Arial"/>
        </w:rPr>
      </w:pPr>
      <w:r>
        <w:rPr>
          <w:b/>
          <w:bCs/>
          <w:color w:val="0F6B72"/>
        </w:rPr>
        <w:t>4.4 الصوم الرقمي كبروتوكول علاجي: من التشخيص الفلسفي إلى الممارسة التعبدية</w:t>
      </w:r>
    </w:p>
    <w:p w14:paraId="79AA0C4D" w14:textId="77777777" w:rsidR="006E6A4B" w:rsidRDefault="009568D6" w:rsidP="00463DCD">
      <w:pPr>
        <w:spacing w:after="160" w:line="336" w:lineRule="auto"/>
        <w:ind w:firstLine="340"/>
        <w:rPr>
          <w:rFonts w:cs="Arial"/>
        </w:rPr>
      </w:pPr>
      <w:r>
        <w:rPr>
          <w:color w:val="1A1A1A"/>
        </w:rPr>
        <w:t xml:space="preserve">وهكذا، فبينما يكتفي هان بتشخيص «الدوار الزمني» والدعوة – في مستوى عام – إلى «استعادة التأمل» و«إبطاء الزمن»، يقدّم علم النفس الاستخلافي «بروتوكولاً علاجياً» محدداً يستند إلى العبادات الإسلامية (الصوم، الذكر، الصلاة بأوقاتها الخمسة الموزَّعة على اليوم) كآليات لاستعادة «سيادة الوعي» </w:t>
      </w:r>
      <w:proofErr w:type="spellStart"/>
      <w:r>
        <w:rPr>
          <w:color w:val="1A1A1A"/>
        </w:rPr>
        <w:t>و«بنينة</w:t>
      </w:r>
      <w:proofErr w:type="spellEnd"/>
      <w:r>
        <w:rPr>
          <w:color w:val="1A1A1A"/>
        </w:rPr>
        <w:t xml:space="preserve"> الزمن» ذاتها. فالصلوات الخمس، من هذا المنظور، ليست مجرد شعيرة تعبدية معزولة، بل هي – وظيفياً – أداة «إعادة تشكيل زمني» (</w:t>
      </w:r>
      <w:proofErr w:type="spellStart"/>
      <w:r>
        <w:rPr>
          <w:color w:val="1A1A1A"/>
        </w:rPr>
        <w:t>temporal</w:t>
      </w:r>
      <w:proofErr w:type="spellEnd"/>
      <w:r>
        <w:rPr>
          <w:color w:val="1A1A1A"/>
        </w:rPr>
        <w:t xml:space="preserve"> </w:t>
      </w:r>
      <w:proofErr w:type="spellStart"/>
      <w:r>
        <w:rPr>
          <w:color w:val="1A1A1A"/>
        </w:rPr>
        <w:t>restructuring</w:t>
      </w:r>
      <w:proofErr w:type="spellEnd"/>
      <w:r>
        <w:rPr>
          <w:color w:val="1A1A1A"/>
        </w:rPr>
        <w:t>) تكسر تدفّق الزمن الرقمي المتصل، وتُدخل فيه «فواصل» تذكيرية تُحاكي – من حيث الوظيفة – ما يدعو إليه هان تحت مسمى «إيقاعات الاحتفال» (</w:t>
      </w:r>
      <w:proofErr w:type="spellStart"/>
      <w:r>
        <w:rPr>
          <w:color w:val="1A1A1A"/>
        </w:rPr>
        <w:t>Feiern</w:t>
      </w:r>
      <w:proofErr w:type="spellEnd"/>
      <w:r>
        <w:rPr>
          <w:color w:val="1A1A1A"/>
        </w:rPr>
        <w:t>) دون أن تبلغ عمقها الإجرائي أو انتظامها اليومي.</w:t>
      </w:r>
    </w:p>
    <w:p w14:paraId="0BA6EAE6" w14:textId="77777777" w:rsidR="006E6A4B" w:rsidRDefault="009568D6" w:rsidP="00463DCD">
      <w:pPr>
        <w:rPr>
          <w:rFonts w:cs="Arial"/>
        </w:rPr>
      </w:pPr>
      <w:r>
        <w:br w:type="page"/>
      </w:r>
    </w:p>
    <w:p w14:paraId="1D8E35E0" w14:textId="77777777" w:rsidR="006E6A4B" w:rsidRDefault="009568D6" w:rsidP="00463DCD">
      <w:pPr>
        <w:pStyle w:val="1"/>
        <w:shd w:val="clear" w:color="auto" w:fill="1F3864"/>
        <w:bidi/>
        <w:spacing w:before="480" w:after="200"/>
        <w:rPr>
          <w:rFonts w:cs="Arial"/>
        </w:rPr>
      </w:pPr>
      <w:r>
        <w:rPr>
          <w:b/>
          <w:bCs/>
          <w:color w:val="FFFFFF"/>
        </w:rPr>
        <w:t>الفصل الخامس: الشفاء والتأمل – من «الملل العميق» إلى «الكينتسوغي النفسي»</w:t>
      </w:r>
    </w:p>
    <w:p w14:paraId="73B58E51" w14:textId="77777777" w:rsidR="006E6A4B" w:rsidRDefault="009568D6" w:rsidP="00463DCD">
      <w:pPr>
        <w:pStyle w:val="2"/>
        <w:pBdr>
          <w:bottom w:val="single" w:sz="8" w:space="4" w:color="B8860B"/>
        </w:pBdr>
        <w:bidi/>
        <w:spacing w:before="320" w:after="140"/>
        <w:rPr>
          <w:rFonts w:cs="Arial"/>
        </w:rPr>
      </w:pPr>
      <w:r>
        <w:rPr>
          <w:b/>
          <w:bCs/>
          <w:color w:val="0F6B72"/>
        </w:rPr>
        <w:t>5.1 الملل العميق والحياة التأملية عند هان</w:t>
      </w:r>
    </w:p>
    <w:p w14:paraId="17219F42" w14:textId="77777777" w:rsidR="006E6A4B" w:rsidRDefault="009568D6" w:rsidP="00463DCD">
      <w:pPr>
        <w:spacing w:after="160" w:line="336" w:lineRule="auto"/>
        <w:ind w:firstLine="340"/>
        <w:rPr>
          <w:rFonts w:cs="Arial"/>
        </w:rPr>
      </w:pPr>
      <w:r>
        <w:rPr>
          <w:color w:val="1A1A1A"/>
        </w:rPr>
        <w:t>يرى هان أن «الملل العميق» (</w:t>
      </w:r>
      <w:proofErr w:type="spellStart"/>
      <w:r>
        <w:rPr>
          <w:color w:val="1A1A1A"/>
        </w:rPr>
        <w:t>tiefe</w:t>
      </w:r>
      <w:proofErr w:type="spellEnd"/>
      <w:r>
        <w:rPr>
          <w:color w:val="1A1A1A"/>
        </w:rPr>
        <w:t xml:space="preserve"> </w:t>
      </w:r>
      <w:proofErr w:type="spellStart"/>
      <w:r>
        <w:rPr>
          <w:color w:val="1A1A1A"/>
        </w:rPr>
        <w:t>Langeweile</w:t>
      </w:r>
      <w:proofErr w:type="spellEnd"/>
      <w:r>
        <w:rPr>
          <w:color w:val="1A1A1A"/>
        </w:rPr>
        <w:t xml:space="preserve">) ليس حالة سلبية، بل هو «فضيلة» و«شرط» للإبداع والتفكير العميق، مستعيراً هذا المفهوم من محاضرات هيدغر عن «المفاهيم الأساسية للميتافيزيقا». وفي «مجتمع الإرهاق»، تم «اختفاء الملل» لصالح «الاستثارة السطحية المستمرة»، مما أدى إلى «فقر التجربة» و«فقدان القدرة على التأمل». وفي مؤلَّفه المتأخر «الحياة التأملية: مديح </w:t>
      </w:r>
      <w:proofErr w:type="spellStart"/>
      <w:r>
        <w:rPr>
          <w:color w:val="1A1A1A"/>
        </w:rPr>
        <w:t>اللافعل</w:t>
      </w:r>
      <w:proofErr w:type="spellEnd"/>
      <w:r>
        <w:rPr>
          <w:color w:val="1A1A1A"/>
        </w:rPr>
        <w:t>» (</w:t>
      </w:r>
      <w:proofErr w:type="spellStart"/>
      <w:r>
        <w:rPr>
          <w:color w:val="1A1A1A"/>
        </w:rPr>
        <w:t>Vita</w:t>
      </w:r>
      <w:proofErr w:type="spellEnd"/>
      <w:r>
        <w:rPr>
          <w:color w:val="1A1A1A"/>
        </w:rPr>
        <w:t xml:space="preserve"> </w:t>
      </w:r>
      <w:proofErr w:type="spellStart"/>
      <w:r>
        <w:rPr>
          <w:color w:val="1A1A1A"/>
        </w:rPr>
        <w:t>contemplativa</w:t>
      </w:r>
      <w:proofErr w:type="spellEnd"/>
      <w:r>
        <w:rPr>
          <w:color w:val="1A1A1A"/>
        </w:rPr>
        <w:t>, 2023)، يذهب هان إلى حدّ الدعوة لاستعادة توازن كلاسيكي بين «الحياة الفعّالة» (</w:t>
      </w:r>
      <w:proofErr w:type="spellStart"/>
      <w:r>
        <w:rPr>
          <w:color w:val="1A1A1A"/>
        </w:rPr>
        <w:t>vita</w:t>
      </w:r>
      <w:proofErr w:type="spellEnd"/>
      <w:r>
        <w:rPr>
          <w:color w:val="1A1A1A"/>
        </w:rPr>
        <w:t xml:space="preserve"> </w:t>
      </w:r>
      <w:proofErr w:type="spellStart"/>
      <w:r>
        <w:rPr>
          <w:color w:val="1A1A1A"/>
        </w:rPr>
        <w:t>activa</w:t>
      </w:r>
      <w:proofErr w:type="spellEnd"/>
      <w:r>
        <w:rPr>
          <w:color w:val="1A1A1A"/>
        </w:rPr>
        <w:t>) و«الحياة التأملية» (</w:t>
      </w:r>
      <w:proofErr w:type="spellStart"/>
      <w:r>
        <w:rPr>
          <w:color w:val="1A1A1A"/>
        </w:rPr>
        <w:t>vita</w:t>
      </w:r>
      <w:proofErr w:type="spellEnd"/>
      <w:r>
        <w:rPr>
          <w:color w:val="1A1A1A"/>
        </w:rPr>
        <w:t xml:space="preserve"> </w:t>
      </w:r>
      <w:proofErr w:type="spellStart"/>
      <w:r>
        <w:rPr>
          <w:color w:val="1A1A1A"/>
        </w:rPr>
        <w:t>contemplativa</w:t>
      </w:r>
      <w:proofErr w:type="spellEnd"/>
      <w:r>
        <w:rPr>
          <w:color w:val="1A1A1A"/>
        </w:rPr>
        <w:t>)، معتبراً أن الحضارة المعاصرة اختزلت الوجود بأسره في «الفعل» و«الإنتاج»، ونسيت أن «القدرة على عدم الفعل» (</w:t>
      </w:r>
      <w:proofErr w:type="spellStart"/>
      <w:r>
        <w:rPr>
          <w:color w:val="1A1A1A"/>
        </w:rPr>
        <w:t>Nicht-Tun</w:t>
      </w:r>
      <w:proofErr w:type="spellEnd"/>
      <w:r>
        <w:rPr>
          <w:color w:val="1A1A1A"/>
        </w:rPr>
        <w:t>) هي شرط أساسي لأي إبداع أو حرية حقيقية.</w:t>
      </w:r>
    </w:p>
    <w:p w14:paraId="7FE754C1" w14:textId="77777777" w:rsidR="006E6A4B" w:rsidRDefault="009568D6" w:rsidP="00463DCD">
      <w:pPr>
        <w:pStyle w:val="2"/>
        <w:pBdr>
          <w:bottom w:val="single" w:sz="8" w:space="4" w:color="B8860B"/>
        </w:pBdr>
        <w:bidi/>
        <w:spacing w:before="320" w:after="140"/>
        <w:rPr>
          <w:rFonts w:cs="Arial"/>
        </w:rPr>
      </w:pPr>
      <w:r>
        <w:rPr>
          <w:b/>
          <w:bCs/>
          <w:color w:val="0F6B72"/>
        </w:rPr>
        <w:t>5.2 المجتمع التلطيفي ونقد ثقافة الإيجابية القسرية</w:t>
      </w:r>
    </w:p>
    <w:p w14:paraId="68AB6FA4" w14:textId="77777777" w:rsidR="006E6A4B" w:rsidRDefault="009568D6" w:rsidP="00463DCD">
      <w:pPr>
        <w:spacing w:after="160" w:line="336" w:lineRule="auto"/>
        <w:ind w:firstLine="340"/>
        <w:rPr>
          <w:rFonts w:cs="Arial"/>
        </w:rPr>
      </w:pPr>
      <w:r>
        <w:rPr>
          <w:color w:val="1A1A1A"/>
        </w:rPr>
        <w:t>في كتاب «المجتمع التلطيفي» (</w:t>
      </w:r>
      <w:proofErr w:type="spellStart"/>
      <w:r>
        <w:rPr>
          <w:color w:val="1A1A1A"/>
        </w:rPr>
        <w:t>Palliativgesellschaft</w:t>
      </w:r>
      <w:proofErr w:type="spellEnd"/>
      <w:r>
        <w:rPr>
          <w:color w:val="1A1A1A"/>
        </w:rPr>
        <w:t xml:space="preserve">, 2021)، يقدّم هان نقداً لاذعاً لثقافة تجنّب الألم بأي ثمن، معتبراً أن المجتمع المعاصر يسعى لتخدير كل شكل من أشكال «الألم البنّاء» (الذي يحمل معنى ويؤسس لتحوّل في الذات)، مستبدلاً إياه </w:t>
      </w:r>
      <w:proofErr w:type="spellStart"/>
      <w:r>
        <w:rPr>
          <w:color w:val="1A1A1A"/>
        </w:rPr>
        <w:t>بـ«مسكّنات</w:t>
      </w:r>
      <w:proofErr w:type="spellEnd"/>
      <w:r>
        <w:rPr>
          <w:color w:val="1A1A1A"/>
        </w:rPr>
        <w:t>» رمزية ورقمية تُبقي الذات في حالة من «التخدير المستمر». وهذا النقد يلتقي بشكل لافت مع نقد علم النفس الاستخلافي لثقافة «الإشباع الفوري» التي تحول دون مرور النفس بـ«مقام اللوم» الضروري لأي نضج أخلاقي حقيقي؛ فكلاهما يرى في تجنّب الألم آلية أساسية لإدامة الاغتراب لا لتجاوزه.</w:t>
      </w:r>
    </w:p>
    <w:p w14:paraId="13E6C644" w14:textId="77777777" w:rsidR="006E6A4B" w:rsidRDefault="009568D6" w:rsidP="00463DCD">
      <w:pPr>
        <w:pStyle w:val="2"/>
        <w:pBdr>
          <w:bottom w:val="single" w:sz="8" w:space="4" w:color="B8860B"/>
        </w:pBdr>
        <w:bidi/>
        <w:spacing w:before="320" w:after="140"/>
        <w:rPr>
          <w:rFonts w:cs="Arial"/>
        </w:rPr>
      </w:pPr>
      <w:r>
        <w:rPr>
          <w:b/>
          <w:bCs/>
          <w:color w:val="0F6B72"/>
        </w:rPr>
        <w:t>5.3 الكينتسوغي النفسي والخبير الحي في علم النفس الاستخلافي</w:t>
      </w:r>
    </w:p>
    <w:p w14:paraId="1750D075" w14:textId="77777777" w:rsidR="006E6A4B" w:rsidRDefault="009568D6" w:rsidP="00463DCD">
      <w:pPr>
        <w:spacing w:after="160" w:line="336" w:lineRule="auto"/>
        <w:ind w:firstLine="340"/>
        <w:rPr>
          <w:rFonts w:cs="Arial"/>
        </w:rPr>
      </w:pPr>
      <w:r>
        <w:rPr>
          <w:color w:val="1A1A1A"/>
        </w:rPr>
        <w:t>علم النفس الاستخلافي – بدوره – يقدّم مفهوم «الكينتسوغي النفسي» المستعار من الفن الياباني، والذي يعني «ترميم الجرح بالذهب». فبدلاً من إنكار «الألم» أو «الخطأ» أو «التشتت»، يدعو علم النفس الاستخلافي إلى «تحويله» إلى «مصدر قوة» و«حكمة»، مستنداً في ذلك إلى أدبيات «النمو ما بعد الصدمة» (</w:t>
      </w:r>
      <w:proofErr w:type="spellStart"/>
      <w:r>
        <w:rPr>
          <w:color w:val="1A1A1A"/>
        </w:rPr>
        <w:t>Post-Traumatic</w:t>
      </w:r>
      <w:proofErr w:type="spellEnd"/>
      <w:r>
        <w:rPr>
          <w:color w:val="1A1A1A"/>
        </w:rPr>
        <w:t xml:space="preserve"> </w:t>
      </w:r>
      <w:proofErr w:type="spellStart"/>
      <w:r>
        <w:rPr>
          <w:color w:val="1A1A1A"/>
        </w:rPr>
        <w:t>Growth</w:t>
      </w:r>
      <w:proofErr w:type="spellEnd"/>
      <w:r>
        <w:rPr>
          <w:color w:val="1A1A1A"/>
        </w:rPr>
        <w:t xml:space="preserve"> عند </w:t>
      </w:r>
      <w:proofErr w:type="spellStart"/>
      <w:r>
        <w:rPr>
          <w:color w:val="1A1A1A"/>
        </w:rPr>
        <w:t>تيديشي</w:t>
      </w:r>
      <w:proofErr w:type="spellEnd"/>
      <w:r>
        <w:rPr>
          <w:color w:val="1A1A1A"/>
        </w:rPr>
        <w:t xml:space="preserve"> وكالهون) مُطعَّمة برؤية إيمانية للابتلاء. والمريض، بعد العلاج، لا يعود إلى «ما كان» قبل الصدمة، بل يصبح «خبيراً حياً» – شاهداً على «قدرة الإحسان» على شفاء الجروح.</w:t>
      </w:r>
    </w:p>
    <w:tbl>
      <w:tblPr>
        <w:tblW w:w="8000" w:type="dxa"/>
        <w:jc w:val="center"/>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000"/>
      </w:tblGrid>
      <w:tr w:rsidR="006E6A4B" w14:paraId="070411D7" w14:textId="77777777">
        <w:trPr>
          <w:jc w:val="center"/>
        </w:trPr>
        <w:tc>
          <w:tcPr>
            <w:tcW w:w="8000" w:type="dxa"/>
            <w:shd w:val="clear" w:color="auto" w:fill="FBF3DD"/>
            <w:tcMar>
              <w:top w:w="200" w:type="dxa"/>
              <w:left w:w="300" w:type="dxa"/>
              <w:bottom w:w="200" w:type="dxa"/>
              <w:right w:w="300" w:type="dxa"/>
            </w:tcMar>
          </w:tcPr>
          <w:p w14:paraId="1259E35C" w14:textId="77777777" w:rsidR="006E6A4B" w:rsidRDefault="009568D6" w:rsidP="00463DCD">
            <w:pPr>
              <w:spacing w:after="80"/>
              <w:rPr>
                <w:rFonts w:cs="Arial"/>
              </w:rPr>
            </w:pPr>
            <w:r>
              <w:rPr>
                <w:b/>
                <w:bCs/>
                <w:color w:val="1F3864"/>
                <w:sz w:val="28"/>
                <w:szCs w:val="28"/>
              </w:rPr>
              <w:t>﴿وَبَشِّرِ الصَّابِرِينَ (155) الَّذِينَ إِذَا أَصَابَتْهُم مُّصِيبَةٌ قَالُوا إِنَّا لِلَّهِ وَإِنَّا إِلَيْهِ رَاجِعُونَ﴾</w:t>
            </w:r>
          </w:p>
          <w:p w14:paraId="1D740582" w14:textId="77777777" w:rsidR="006E6A4B" w:rsidRDefault="009568D6" w:rsidP="00463DCD">
            <w:pPr>
              <w:rPr>
                <w:rFonts w:cs="Arial"/>
              </w:rPr>
            </w:pPr>
            <w:r>
              <w:rPr>
                <w:b/>
                <w:bCs/>
                <w:color w:val="B8860B"/>
                <w:sz w:val="22"/>
                <w:szCs w:val="22"/>
              </w:rPr>
              <w:t>[البقرة: 155-156]</w:t>
            </w:r>
          </w:p>
        </w:tc>
      </w:tr>
    </w:tbl>
    <w:p w14:paraId="422D0EC4" w14:textId="77777777" w:rsidR="006E6A4B" w:rsidRDefault="009568D6" w:rsidP="00463DCD">
      <w:pPr>
        <w:pStyle w:val="2"/>
        <w:pBdr>
          <w:bottom w:val="single" w:sz="8" w:space="4" w:color="B8860B"/>
        </w:pBdr>
        <w:bidi/>
        <w:spacing w:before="320" w:after="140"/>
        <w:rPr>
          <w:rFonts w:cs="Arial"/>
        </w:rPr>
      </w:pPr>
      <w:r>
        <w:rPr>
          <w:b/>
          <w:bCs/>
          <w:color w:val="0F6B72"/>
        </w:rPr>
        <w:t>5.4 من الوصف إلى الإجراء: مقارنة بين الفلسفة العلاجية والبروتوكول الإكلينيكي</w:t>
      </w:r>
    </w:p>
    <w:p w14:paraId="559C4EBE" w14:textId="77777777" w:rsidR="006E6A4B" w:rsidRDefault="009568D6" w:rsidP="00463DCD">
      <w:pPr>
        <w:spacing w:after="160" w:line="336" w:lineRule="auto"/>
        <w:ind w:firstLine="340"/>
        <w:rPr>
          <w:rFonts w:cs="Arial"/>
        </w:rPr>
      </w:pPr>
      <w:r>
        <w:rPr>
          <w:color w:val="1A1A1A"/>
        </w:rPr>
        <w:t xml:space="preserve">وهكذا، فبينما يرى هان «الشفاء» في «الاستعادة الوجدانية» (الملل، الانتظار، التأمل </w:t>
      </w:r>
      <w:proofErr w:type="spellStart"/>
      <w:r>
        <w:rPr>
          <w:color w:val="1A1A1A"/>
        </w:rPr>
        <w:t>اللافعلي</w:t>
      </w:r>
      <w:proofErr w:type="spellEnd"/>
      <w:r>
        <w:rPr>
          <w:color w:val="1A1A1A"/>
        </w:rPr>
        <w:t>)، يرى علم النفس الاستخلافي «الشفاء» في «التحويل الوجداني» (تحويل الطاقة من الألم إلى الإحسان عبر مسار إكلينيكي محدد المراحل). والفرق بينهما هو أن هان يظل في «المستوى الوصفي» و«المعياري» الفلسفي، مقدّماً أفقاً قيمياً عاماً دون أدوات تنفيذية، بينما ينزل علم النفس الاستخلافي إلى «المستوى الإجرائي» و«العلاجي»، عبر بروتوكول TLRT الذي يحدّد مراحل ملموسة (التشخيص، الحرث، المصالحة، التحويل) قابلة للتطبيق العيادي المباشر مع المسترشدين.</w:t>
      </w:r>
    </w:p>
    <w:p w14:paraId="6885AB2F" w14:textId="77777777" w:rsidR="006E6A4B" w:rsidRDefault="009568D6" w:rsidP="00463DCD">
      <w:pPr>
        <w:rPr>
          <w:rFonts w:cs="Arial"/>
        </w:rPr>
      </w:pPr>
      <w:r>
        <w:br w:type="page"/>
      </w:r>
    </w:p>
    <w:p w14:paraId="6B0513F2" w14:textId="77777777" w:rsidR="006E6A4B" w:rsidRDefault="009568D6" w:rsidP="00463DCD">
      <w:pPr>
        <w:pStyle w:val="1"/>
        <w:shd w:val="clear" w:color="auto" w:fill="1F3864"/>
        <w:bidi/>
        <w:spacing w:before="480" w:after="200"/>
        <w:rPr>
          <w:rFonts w:cs="Arial"/>
        </w:rPr>
      </w:pPr>
      <w:r>
        <w:rPr>
          <w:b/>
          <w:bCs/>
          <w:color w:val="FFFFFF"/>
        </w:rPr>
        <w:t>الفصل السادس: المرجعية والغاية – «هايدغر المؤلَّم» و«القرآن المستأنس»</w:t>
      </w:r>
    </w:p>
    <w:p w14:paraId="3CDB1E01" w14:textId="77777777" w:rsidR="006E6A4B" w:rsidRDefault="009568D6" w:rsidP="00463DCD">
      <w:pPr>
        <w:pStyle w:val="2"/>
        <w:pBdr>
          <w:bottom w:val="single" w:sz="8" w:space="4" w:color="B8860B"/>
        </w:pBdr>
        <w:bidi/>
        <w:spacing w:before="320" w:after="140"/>
        <w:rPr>
          <w:rFonts w:cs="Arial"/>
        </w:rPr>
      </w:pPr>
      <w:r>
        <w:rPr>
          <w:b/>
          <w:bCs/>
          <w:color w:val="0F6B72"/>
        </w:rPr>
        <w:t>6.1 هايدغر المؤلَّم: فلسفة بلا إله وأنطولوجيا الفناء</w:t>
      </w:r>
    </w:p>
    <w:p w14:paraId="3D1AE634" w14:textId="77777777" w:rsidR="006E6A4B" w:rsidRDefault="009568D6" w:rsidP="00463DCD">
      <w:pPr>
        <w:spacing w:after="160" w:line="336" w:lineRule="auto"/>
        <w:ind w:firstLine="340"/>
        <w:rPr>
          <w:rFonts w:cs="Arial"/>
        </w:rPr>
      </w:pPr>
      <w:r>
        <w:rPr>
          <w:color w:val="1A1A1A"/>
        </w:rPr>
        <w:t xml:space="preserve">يظل هان – رغم عمقه – داخل «الأفق الفلسفي الغربي» و«الإرث </w:t>
      </w:r>
      <w:proofErr w:type="spellStart"/>
      <w:r>
        <w:rPr>
          <w:color w:val="1A1A1A"/>
        </w:rPr>
        <w:t>الهيدغري</w:t>
      </w:r>
      <w:proofErr w:type="spellEnd"/>
      <w:r>
        <w:rPr>
          <w:color w:val="1A1A1A"/>
        </w:rPr>
        <w:t xml:space="preserve">» الذي هو «فلسفة بلا إله» و«أنطولوجيا للفناء». «المزاج» عنده لا يرتبط </w:t>
      </w:r>
      <w:proofErr w:type="spellStart"/>
      <w:r>
        <w:rPr>
          <w:color w:val="1A1A1A"/>
        </w:rPr>
        <w:t>بـ«متعالٍ</w:t>
      </w:r>
      <w:proofErr w:type="spellEnd"/>
      <w:r>
        <w:rPr>
          <w:color w:val="1A1A1A"/>
        </w:rPr>
        <w:t xml:space="preserve">» أو «وحي»، بل هو «انكشاف» لـ«الكينونة» في «الزمان». والغاية – عنده – هي «تحقيق حياة ذات معنى» في «إطار المحدودية البشرية» و«الموت»، الذي يبقى – كما عند هيدغر – «إمكانية الاستحالة الخاصة </w:t>
      </w:r>
      <w:proofErr w:type="spellStart"/>
      <w:r>
        <w:rPr>
          <w:color w:val="1A1A1A"/>
        </w:rPr>
        <w:t>بالدازاين</w:t>
      </w:r>
      <w:proofErr w:type="spellEnd"/>
      <w:r>
        <w:rPr>
          <w:color w:val="1A1A1A"/>
        </w:rPr>
        <w:t>» (</w:t>
      </w:r>
      <w:proofErr w:type="spellStart"/>
      <w:r>
        <w:rPr>
          <w:color w:val="1A1A1A"/>
        </w:rPr>
        <w:t>die</w:t>
      </w:r>
      <w:proofErr w:type="spellEnd"/>
      <w:r>
        <w:rPr>
          <w:color w:val="1A1A1A"/>
        </w:rPr>
        <w:t xml:space="preserve"> </w:t>
      </w:r>
      <w:proofErr w:type="spellStart"/>
      <w:r>
        <w:rPr>
          <w:color w:val="1A1A1A"/>
        </w:rPr>
        <w:t>Möglichkeit</w:t>
      </w:r>
      <w:proofErr w:type="spellEnd"/>
      <w:r>
        <w:rPr>
          <w:color w:val="1A1A1A"/>
        </w:rPr>
        <w:t xml:space="preserve"> </w:t>
      </w:r>
      <w:proofErr w:type="spellStart"/>
      <w:r>
        <w:rPr>
          <w:color w:val="1A1A1A"/>
        </w:rPr>
        <w:t>der</w:t>
      </w:r>
      <w:proofErr w:type="spellEnd"/>
      <w:r>
        <w:rPr>
          <w:color w:val="1A1A1A"/>
        </w:rPr>
        <w:t xml:space="preserve"> </w:t>
      </w:r>
      <w:proofErr w:type="spellStart"/>
      <w:r>
        <w:rPr>
          <w:color w:val="1A1A1A"/>
        </w:rPr>
        <w:t>Unmöglichkeit</w:t>
      </w:r>
      <w:proofErr w:type="spellEnd"/>
      <w:r>
        <w:rPr>
          <w:color w:val="1A1A1A"/>
        </w:rPr>
        <w:t xml:space="preserve">)، أي أفقاً يمنح الوجود جديّته دون أن يعده بأي تجاوز له. وهذا – كما يرى علم النفس الاستخلافي – يترك «الفراغ الوجودي» مفتوحاً، ولا </w:t>
      </w:r>
      <w:proofErr w:type="spellStart"/>
      <w:r>
        <w:rPr>
          <w:color w:val="1A1A1A"/>
        </w:rPr>
        <w:t>يملؤه</w:t>
      </w:r>
      <w:proofErr w:type="spellEnd"/>
      <w:r>
        <w:rPr>
          <w:color w:val="1A1A1A"/>
        </w:rPr>
        <w:t xml:space="preserve"> سوى «القلق» و«الشجاعة» دون «يقين».</w:t>
      </w:r>
    </w:p>
    <w:p w14:paraId="4BFE2A90" w14:textId="77777777" w:rsidR="006E6A4B" w:rsidRDefault="009568D6" w:rsidP="00463DCD">
      <w:pPr>
        <w:pStyle w:val="2"/>
        <w:pBdr>
          <w:bottom w:val="single" w:sz="8" w:space="4" w:color="B8860B"/>
        </w:pBdr>
        <w:bidi/>
        <w:spacing w:before="320" w:after="140"/>
        <w:rPr>
          <w:rFonts w:cs="Arial"/>
        </w:rPr>
      </w:pPr>
      <w:r>
        <w:rPr>
          <w:b/>
          <w:bCs/>
          <w:color w:val="0F6B72"/>
        </w:rPr>
        <w:t>6.2 المرجعية المتعالية: الوحي والفطرة كأفق للمعنى</w:t>
      </w:r>
    </w:p>
    <w:p w14:paraId="70B3AFB3" w14:textId="77777777" w:rsidR="006E6A4B" w:rsidRDefault="009568D6" w:rsidP="00463DCD">
      <w:pPr>
        <w:spacing w:after="160" w:line="336" w:lineRule="auto"/>
        <w:ind w:firstLine="340"/>
        <w:rPr>
          <w:rFonts w:cs="Arial"/>
        </w:rPr>
      </w:pPr>
      <w:r>
        <w:rPr>
          <w:color w:val="1A1A1A"/>
        </w:rPr>
        <w:t>علم النفس الاستخلافي – في المقابل – يستند إلى «مرجعية متعالية» هي «الوحي» و«الفطرة». «المزاج» – أو «المقام» – عنده لا يُفهم إلا في ضوء «العلاقة بالله». «النفس المطمئنة» ليست مجرد «حالة وجدانية»، بل هي «ثمرة» للارتباط بـ«الخالق» و«التصالح معه». والغاية – عنده – ليست «الحياة ذات المعنى» فقط، بل «الفلاح» و«الرضوان» و«الحياة الأبدية». وهذا «اليقين» – كما يجادل علم النفس الاستخلافي – هو ما يملأ «الفراغ» ويزيح «القلق» نهائياً، ويحوّل «الموت» من «نهاية عبثية» إلى «أفق لانهائي».</w:t>
      </w:r>
    </w:p>
    <w:p w14:paraId="38685A9E" w14:textId="77777777" w:rsidR="006E6A4B" w:rsidRDefault="009568D6" w:rsidP="00463DCD">
      <w:pPr>
        <w:pStyle w:val="2"/>
        <w:pBdr>
          <w:bottom w:val="single" w:sz="8" w:space="4" w:color="B8860B"/>
        </w:pBdr>
        <w:bidi/>
        <w:spacing w:before="320" w:after="140"/>
        <w:rPr>
          <w:rFonts w:cs="Arial"/>
        </w:rPr>
      </w:pPr>
      <w:r>
        <w:rPr>
          <w:b/>
          <w:bCs/>
          <w:color w:val="0F6B72"/>
        </w:rPr>
        <w:t xml:space="preserve">6.3 سؤال الموت: من القلق الوجودي إلى اليقين </w:t>
      </w:r>
      <w:proofErr w:type="spellStart"/>
      <w:r>
        <w:rPr>
          <w:b/>
          <w:bCs/>
          <w:color w:val="0F6B72"/>
        </w:rPr>
        <w:t>الأخروي</w:t>
      </w:r>
      <w:proofErr w:type="spellEnd"/>
    </w:p>
    <w:p w14:paraId="16692B27" w14:textId="77777777" w:rsidR="006E6A4B" w:rsidRDefault="009568D6" w:rsidP="00463DCD">
      <w:pPr>
        <w:spacing w:after="160" w:line="336" w:lineRule="auto"/>
        <w:ind w:firstLine="340"/>
        <w:rPr>
          <w:rFonts w:cs="Arial"/>
        </w:rPr>
      </w:pPr>
      <w:r>
        <w:rPr>
          <w:color w:val="1A1A1A"/>
        </w:rPr>
        <w:t>يمثّل سؤال الموت نقطة الافتراق الأعمق بين المشروعين. فبينما يظل الموت عند هان – تبعاً لهيدغر – أفقاً يمنح الوجود «أصالته» دون أن يعده بشيء بعده (</w:t>
      </w:r>
      <w:proofErr w:type="spellStart"/>
      <w:r>
        <w:rPr>
          <w:color w:val="1A1A1A"/>
        </w:rPr>
        <w:t>فالدازاين</w:t>
      </w:r>
      <w:proofErr w:type="spellEnd"/>
      <w:r>
        <w:rPr>
          <w:color w:val="1A1A1A"/>
        </w:rPr>
        <w:t xml:space="preserve"> «كائن-نحو-الموت» </w:t>
      </w:r>
      <w:proofErr w:type="spellStart"/>
      <w:r>
        <w:rPr>
          <w:color w:val="1A1A1A"/>
        </w:rPr>
        <w:t>Sein-zum-Tode</w:t>
      </w:r>
      <w:proofErr w:type="spellEnd"/>
      <w:r>
        <w:rPr>
          <w:color w:val="1A1A1A"/>
        </w:rPr>
        <w:t xml:space="preserve"> لا يتجاوز الموت بل يستوعبه كإمكانية دائمة الحضور)، فإن الموت عند علم النفس الاستخلافي محطة عبور ضمن مسار </w:t>
      </w:r>
      <w:proofErr w:type="spellStart"/>
      <w:r>
        <w:rPr>
          <w:color w:val="1A1A1A"/>
        </w:rPr>
        <w:t>أخروي</w:t>
      </w:r>
      <w:proofErr w:type="spellEnd"/>
      <w:r>
        <w:rPr>
          <w:color w:val="1A1A1A"/>
        </w:rPr>
        <w:t xml:space="preserve"> طويل، تُستحضَر باستمرار كمحفّز على «الاستقامة» لا كمصدر للقلق الوجودي الخالص. وهذا يجعل «العلاقة بالفناء» عند الطرفين مختلفة جوهرياً: الأولى علاقة «شجاعة رواقية» في مواجهة عدم، والثانية علاقة «رجاء وخشية» في مواجهة لقاء.</w:t>
      </w:r>
    </w:p>
    <w:p w14:paraId="5BA94325" w14:textId="77777777" w:rsidR="006E6A4B" w:rsidRDefault="009568D6" w:rsidP="00463DCD">
      <w:pPr>
        <w:pStyle w:val="2"/>
        <w:pBdr>
          <w:bottom w:val="single" w:sz="8" w:space="4" w:color="B8860B"/>
        </w:pBdr>
        <w:bidi/>
        <w:spacing w:before="320" w:after="140"/>
        <w:rPr>
          <w:rFonts w:cs="Arial"/>
        </w:rPr>
      </w:pPr>
      <w:r>
        <w:rPr>
          <w:b/>
          <w:bCs/>
          <w:color w:val="0F6B72"/>
        </w:rPr>
        <w:t>6.4 تبعات المرجعية على مفهوم «الشفاء» ذاته</w:t>
      </w:r>
    </w:p>
    <w:p w14:paraId="0781C354" w14:textId="77777777" w:rsidR="006E6A4B" w:rsidRDefault="009568D6" w:rsidP="00463DCD">
      <w:pPr>
        <w:spacing w:after="160" w:line="336" w:lineRule="auto"/>
        <w:ind w:firstLine="340"/>
        <w:rPr>
          <w:rFonts w:cs="Arial"/>
        </w:rPr>
      </w:pPr>
      <w:r>
        <w:rPr>
          <w:color w:val="1A1A1A"/>
        </w:rPr>
        <w:t>هذا الاختلاف في المرجعية والغاية ليس تفصيلاً هامشياً، بل هو الذي يحدّد – في النهاية – معنى «الشفاء» نفسه عند كل مشروع. فـ«الشفاء» عند هان هو استعادة القدرة على «التجربة الأصيلة» ضمن أفق متناهٍ، وهو بذلك شفاء «هذا-عالمي» (</w:t>
      </w:r>
      <w:proofErr w:type="spellStart"/>
      <w:r>
        <w:rPr>
          <w:color w:val="1A1A1A"/>
        </w:rPr>
        <w:t>immanent</w:t>
      </w:r>
      <w:proofErr w:type="spellEnd"/>
      <w:r>
        <w:rPr>
          <w:color w:val="1A1A1A"/>
        </w:rPr>
        <w:t>) بامتياز. أما «الشفاء» عند علم النفس الاستخلافي فهو استعادة «التوازن الاستخلافي» بين مطالب الدنيا وأفق الآخرة، وهو بذلك شفاء «تجاوزي» (</w:t>
      </w:r>
      <w:proofErr w:type="spellStart"/>
      <w:r>
        <w:rPr>
          <w:color w:val="1A1A1A"/>
        </w:rPr>
        <w:t>transcendent</w:t>
      </w:r>
      <w:proofErr w:type="spellEnd"/>
      <w:r>
        <w:rPr>
          <w:color w:val="1A1A1A"/>
        </w:rPr>
        <w:t>) يستمد معياريته من غاية تسبق الوجود الدنيوي وتتجاوزه. ومن هنا فإن أي محاولة لقراءة أحد المشروعين بمعايير الآخر – دون استحضار هذا الفارق التأسيسي – ستقود حتماً إلى تسطيح أحدهما أو كليهما.</w:t>
      </w:r>
    </w:p>
    <w:p w14:paraId="182F1BAD" w14:textId="77777777" w:rsidR="006E6A4B" w:rsidRDefault="009568D6" w:rsidP="00463DCD">
      <w:pPr>
        <w:rPr>
          <w:rFonts w:cs="Arial"/>
        </w:rPr>
      </w:pPr>
      <w:r>
        <w:br w:type="page"/>
      </w:r>
    </w:p>
    <w:p w14:paraId="62456B20" w14:textId="77777777" w:rsidR="006E6A4B" w:rsidRDefault="009568D6" w:rsidP="00463DCD">
      <w:pPr>
        <w:pStyle w:val="1"/>
        <w:shd w:val="clear" w:color="auto" w:fill="1F3864"/>
        <w:bidi/>
        <w:spacing w:before="480" w:after="200"/>
        <w:rPr>
          <w:rFonts w:cs="Arial"/>
        </w:rPr>
      </w:pPr>
      <w:r>
        <w:rPr>
          <w:b/>
          <w:bCs/>
          <w:color w:val="FFFFFF"/>
        </w:rPr>
        <w:t>الفصل السابع: التطبيقات المقارنة – السياسة والعلاج والمجتمع</w:t>
      </w:r>
    </w:p>
    <w:p w14:paraId="1C2B9C12" w14:textId="77777777" w:rsidR="006E6A4B" w:rsidRDefault="009568D6" w:rsidP="00463DCD">
      <w:pPr>
        <w:pStyle w:val="2"/>
        <w:pBdr>
          <w:bottom w:val="single" w:sz="8" w:space="4" w:color="B8860B"/>
        </w:pBdr>
        <w:bidi/>
        <w:spacing w:before="320" w:after="140"/>
        <w:rPr>
          <w:rFonts w:cs="Arial"/>
        </w:rPr>
      </w:pPr>
      <w:r>
        <w:rPr>
          <w:b/>
          <w:bCs/>
          <w:color w:val="0F6B72"/>
        </w:rPr>
        <w:t>7.1 هل يمكن لنقد هان أن يُفعَّل سياسياً؟ سؤال البديل</w:t>
      </w:r>
    </w:p>
    <w:p w14:paraId="500F122A" w14:textId="77777777" w:rsidR="006E6A4B" w:rsidRDefault="009568D6" w:rsidP="00463DCD">
      <w:pPr>
        <w:spacing w:after="160" w:line="336" w:lineRule="auto"/>
        <w:ind w:firstLine="340"/>
        <w:rPr>
          <w:rFonts w:cs="Arial"/>
        </w:rPr>
      </w:pPr>
      <w:r>
        <w:rPr>
          <w:color w:val="1A1A1A"/>
        </w:rPr>
        <w:t xml:space="preserve">يُلاحَظ في مشروع هان – رغم حدّة نقده لمجتمع الأداء والشفافية – غيابٌ لافت لأي تصوّر بديل مؤسسي أو سياسي واضح المعالم. فهان فيلسوف نقدي بامتياز، لكنه </w:t>
      </w:r>
      <w:proofErr w:type="spellStart"/>
      <w:r>
        <w:rPr>
          <w:color w:val="1A1A1A"/>
        </w:rPr>
        <w:t>ينأى</w:t>
      </w:r>
      <w:proofErr w:type="spellEnd"/>
      <w:r>
        <w:rPr>
          <w:color w:val="1A1A1A"/>
        </w:rPr>
        <w:t xml:space="preserve"> عن تقديم «برنامج» بديل، مكتفياً بدعوات فلسفية عامة إلى «استعادة السلبية» و«التأمل» </w:t>
      </w:r>
      <w:proofErr w:type="spellStart"/>
      <w:r>
        <w:rPr>
          <w:color w:val="1A1A1A"/>
        </w:rPr>
        <w:t>و«اللافعل</w:t>
      </w:r>
      <w:proofErr w:type="spellEnd"/>
      <w:r>
        <w:rPr>
          <w:color w:val="1A1A1A"/>
        </w:rPr>
        <w:t>»، وهو ما وُجِّه إليه نقد من عدد من الباحثين بوصفه «نقداً بلا أفق تحرري ملموس»، أو ما يمكن تسميته بـ«العدمية التأملية» التي تكتفي بالتشخيص الأنيق دون التزام سياسي فعّال.</w:t>
      </w:r>
    </w:p>
    <w:p w14:paraId="6D38B4DD" w14:textId="77777777" w:rsidR="006E6A4B" w:rsidRDefault="009568D6" w:rsidP="00463DCD">
      <w:pPr>
        <w:pStyle w:val="2"/>
        <w:pBdr>
          <w:bottom w:val="single" w:sz="8" w:space="4" w:color="B8860B"/>
        </w:pBdr>
        <w:bidi/>
        <w:spacing w:before="320" w:after="140"/>
        <w:rPr>
          <w:rFonts w:cs="Arial"/>
        </w:rPr>
      </w:pPr>
      <w:r>
        <w:rPr>
          <w:b/>
          <w:bCs/>
          <w:color w:val="0F6B72"/>
        </w:rPr>
        <w:t>7.2 الدولة الاستخلافية كمشروع سياسي مقابل غياب البديل المؤسسي عند هان</w:t>
      </w:r>
    </w:p>
    <w:p w14:paraId="337F79CC" w14:textId="77777777" w:rsidR="006E6A4B" w:rsidRDefault="009568D6" w:rsidP="00463DCD">
      <w:pPr>
        <w:spacing w:after="160" w:line="336" w:lineRule="auto"/>
        <w:ind w:firstLine="340"/>
        <w:rPr>
          <w:rFonts w:cs="Arial"/>
        </w:rPr>
      </w:pPr>
      <w:r>
        <w:rPr>
          <w:color w:val="1A1A1A"/>
        </w:rPr>
        <w:t>في المقابل، يطرح علم النفس الاستخلافي – ضمن امتداداته النظرية – تصوّراً لما يسمّيه «الدولة الاستخلافية» بوصفها إطاراً سياسياً-مؤسسياً يترجم مبادئ التزكية الفردية إلى بنى اجتماعية وتشريعية، بما يجعل المشروع يتجاوز حدود «العلاج الفردي» إلى «الإصلاح البنيوي» للمجتمع والدولة معاً. وهذا الطموح، وإن كان لا يزال في طور التنظير الأولي (بحسب طبيعة المشروع «التجريبية» المعلنة)، يمثّل إضافة نوعية بالمقارنة مع اكتفاء هان بالنقد الفلسفي دون اقتراح صيغة مؤسسية بديلة.</w:t>
      </w:r>
    </w:p>
    <w:p w14:paraId="3C705629" w14:textId="77777777" w:rsidR="006E6A4B" w:rsidRDefault="009568D6" w:rsidP="00463DCD">
      <w:pPr>
        <w:pStyle w:val="2"/>
        <w:pBdr>
          <w:bottom w:val="single" w:sz="8" w:space="4" w:color="B8860B"/>
        </w:pBdr>
        <w:bidi/>
        <w:spacing w:before="320" w:after="140"/>
        <w:rPr>
          <w:rFonts w:cs="Arial"/>
        </w:rPr>
      </w:pPr>
      <w:r>
        <w:rPr>
          <w:b/>
          <w:bCs/>
          <w:color w:val="0F6B72"/>
        </w:rPr>
        <w:t>7.3 إمكانات الحوار البيني: نحو «علم نفس نقدي» متعدد المرجعيات</w:t>
      </w:r>
    </w:p>
    <w:p w14:paraId="3CA62E93" w14:textId="77777777" w:rsidR="006E6A4B" w:rsidRDefault="009568D6" w:rsidP="00463DCD">
      <w:pPr>
        <w:spacing w:after="160" w:line="336" w:lineRule="auto"/>
        <w:ind w:firstLine="340"/>
        <w:rPr>
          <w:rFonts w:cs="Arial"/>
        </w:rPr>
      </w:pPr>
      <w:r>
        <w:rPr>
          <w:color w:val="1A1A1A"/>
        </w:rPr>
        <w:t xml:space="preserve">رغم الاختلاف الجوهري في المرجعية، تفتح هذه المقارنة أفقاً لما يمكن تسميته «علم نفس نقدي متعدد المرجعيات»، يستثمر دقّة التحليل الفلسفي الغربي لأمراض العصر الرقمي (كما عند هان) في خدمة مشروع علاجي ذي غاية إيمانية متكاملة (كما عند علم النفس الاستخلافي). فأدوات هان التشخيصية – مجتمع الإرهاق، مجتمع الشفافية، </w:t>
      </w:r>
      <w:proofErr w:type="spellStart"/>
      <w:r>
        <w:rPr>
          <w:color w:val="1A1A1A"/>
        </w:rPr>
        <w:t>اللاأشياء</w:t>
      </w:r>
      <w:proofErr w:type="spellEnd"/>
      <w:r>
        <w:rPr>
          <w:color w:val="1A1A1A"/>
        </w:rPr>
        <w:t>، الدوار الزمني – يمكن أن تُقرأ بوصفها «تشريحاً دقيقاً للمرض»، بينما يقدّم علم النفس الاستخلافي «وصفة العلاج» المستندة إلى مرجعية متعالية. وهذا لا يعني إلغاء الفوارق، بل توظيفها في حوار خصب يُغني كلا التقليدين، ويؤسس لقراءة نقدية إسلامية معاصرة قادرة على مخاطبة الفلسفة الغربية بلغتها الدقيقة دون التفريط في خصوصيتها المرجعية.</w:t>
      </w:r>
    </w:p>
    <w:p w14:paraId="4E558269" w14:textId="77777777" w:rsidR="006E6A4B" w:rsidRDefault="009568D6" w:rsidP="00463DCD">
      <w:pPr>
        <w:rPr>
          <w:rFonts w:cs="Arial"/>
        </w:rPr>
      </w:pPr>
      <w:r>
        <w:br w:type="page"/>
      </w:r>
    </w:p>
    <w:p w14:paraId="4178DB26" w14:textId="77777777" w:rsidR="006E6A4B" w:rsidRDefault="009568D6" w:rsidP="00463DCD">
      <w:pPr>
        <w:pStyle w:val="1"/>
        <w:shd w:val="clear" w:color="auto" w:fill="1F3864"/>
        <w:bidi/>
        <w:spacing w:before="480" w:after="200"/>
        <w:rPr>
          <w:rFonts w:cs="Arial"/>
        </w:rPr>
      </w:pPr>
      <w:r>
        <w:rPr>
          <w:b/>
          <w:bCs/>
          <w:color w:val="FFFFFF"/>
        </w:rPr>
        <w:t xml:space="preserve">خاتمة: «المزاج» </w:t>
      </w:r>
      <w:proofErr w:type="spellStart"/>
      <w:r>
        <w:rPr>
          <w:b/>
          <w:bCs/>
          <w:color w:val="FFFFFF"/>
        </w:rPr>
        <w:t>و«الاستخلاف</w:t>
      </w:r>
      <w:proofErr w:type="spellEnd"/>
      <w:r>
        <w:rPr>
          <w:b/>
          <w:bCs/>
          <w:color w:val="FFFFFF"/>
        </w:rPr>
        <w:t>» – حوار بين الرؤيتين</w:t>
      </w:r>
    </w:p>
    <w:p w14:paraId="547C14F3" w14:textId="77777777" w:rsidR="006E6A4B" w:rsidRDefault="009568D6" w:rsidP="00463DCD">
      <w:pPr>
        <w:spacing w:after="160" w:line="336" w:lineRule="auto"/>
        <w:ind w:firstLine="340"/>
        <w:rPr>
          <w:rFonts w:cs="Arial"/>
        </w:rPr>
      </w:pPr>
      <w:r>
        <w:rPr>
          <w:color w:val="1A1A1A"/>
        </w:rPr>
        <w:t>في نهاية هذه الدراسة المقارنة الموسعة، يمكن القول إن بيونغ شول هان وعلم النفس الاستخلافي يمثلان «جبهتين متكاملتين» في «نقد الحداثة الرقمية» و«استعادة المعنى». هان يقدّم لنا «تشخيصاً فلسفياً دقيقاً» لأمراض العصر، ويكشف عن «المزاجية» الخفية التي تحكم «الوجود الرقمي»، مستنداً إلى جهاز مفاهيمي متجدد يمتد من «مجتمع الإرهاق» إلى «</w:t>
      </w:r>
      <w:proofErr w:type="spellStart"/>
      <w:r>
        <w:rPr>
          <w:color w:val="1A1A1A"/>
        </w:rPr>
        <w:t>اللاأشياء</w:t>
      </w:r>
      <w:proofErr w:type="spellEnd"/>
      <w:r>
        <w:rPr>
          <w:color w:val="1A1A1A"/>
        </w:rPr>
        <w:t xml:space="preserve">» و«الحياة التأملية». وعلم النفس الاستخلافي يقدّم لنا «رؤية إيمانية» </w:t>
      </w:r>
      <w:proofErr w:type="spellStart"/>
      <w:r>
        <w:rPr>
          <w:color w:val="1A1A1A"/>
        </w:rPr>
        <w:t>و«بروتوكولاً</w:t>
      </w:r>
      <w:proofErr w:type="spellEnd"/>
      <w:r>
        <w:rPr>
          <w:color w:val="1A1A1A"/>
        </w:rPr>
        <w:t xml:space="preserve"> علاجياً» يتجاوز «التشخيص» إلى «التحويل»، مستنداً إلى مقامات النفس الثلاثة والأضلاع الثمانية ومنهج TLRT الإكلينيكي.</w:t>
      </w:r>
    </w:p>
    <w:p w14:paraId="373C8771" w14:textId="77777777" w:rsidR="006E6A4B" w:rsidRDefault="009568D6" w:rsidP="00463DCD">
      <w:pPr>
        <w:spacing w:after="160" w:line="336" w:lineRule="auto"/>
        <w:ind w:firstLine="340"/>
        <w:rPr>
          <w:rFonts w:cs="Arial"/>
        </w:rPr>
      </w:pPr>
      <w:r>
        <w:rPr>
          <w:color w:val="1A1A1A"/>
        </w:rPr>
        <w:t xml:space="preserve">وبينما يظل هان – بحكم </w:t>
      </w:r>
      <w:proofErr w:type="spellStart"/>
      <w:r>
        <w:rPr>
          <w:color w:val="1A1A1A"/>
        </w:rPr>
        <w:t>مرجعيته</w:t>
      </w:r>
      <w:proofErr w:type="spellEnd"/>
      <w:r>
        <w:rPr>
          <w:color w:val="1A1A1A"/>
        </w:rPr>
        <w:t xml:space="preserve"> </w:t>
      </w:r>
      <w:proofErr w:type="spellStart"/>
      <w:r>
        <w:rPr>
          <w:color w:val="1A1A1A"/>
        </w:rPr>
        <w:t>الهيدغرية</w:t>
      </w:r>
      <w:proofErr w:type="spellEnd"/>
      <w:r>
        <w:rPr>
          <w:color w:val="1A1A1A"/>
        </w:rPr>
        <w:t xml:space="preserve"> – «سجين» «الأفق الفلسفي» و«القلق الوجودي» بلا وعدٍ يتجاوز الفناء، يفتح علم النفس الاستخلافي «أفق السماء» و«اليقين الروحي» الذي يحوّل الألم إلى معنى والفناء إلى معبر. والحوار بينهما – كما رأينا عبر فصول هذه الدراسة السبعة – خصب ومثمر، لأنه يجمع بين «دقة التحليل الغربي» في تشريح أمراض الحداثة الرقمية، و«عمق الإيمان الإسلامي» في تقديم أفق علاجي متكامل يعيد للإنسان مكانته «خليفةً» مؤتمناً على قلبه وانتباهه ووقته، لا مجرد «ذات منجِزة» تستهلكها آلة الأداء والشفافية إلى ما لا نهاية.</w:t>
      </w:r>
    </w:p>
    <w:tbl>
      <w:tblPr>
        <w:tblW w:w="8000" w:type="dxa"/>
        <w:jc w:val="center"/>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000"/>
      </w:tblGrid>
      <w:tr w:rsidR="006E6A4B" w14:paraId="2FBE825D" w14:textId="77777777">
        <w:trPr>
          <w:jc w:val="center"/>
        </w:trPr>
        <w:tc>
          <w:tcPr>
            <w:tcW w:w="8000" w:type="dxa"/>
            <w:shd w:val="clear" w:color="auto" w:fill="FBF3DD"/>
            <w:tcMar>
              <w:top w:w="200" w:type="dxa"/>
              <w:left w:w="300" w:type="dxa"/>
              <w:bottom w:w="200" w:type="dxa"/>
              <w:right w:w="300" w:type="dxa"/>
            </w:tcMar>
          </w:tcPr>
          <w:p w14:paraId="2824D9BC" w14:textId="77777777" w:rsidR="006E6A4B" w:rsidRDefault="009568D6" w:rsidP="00463DCD">
            <w:pPr>
              <w:spacing w:after="80"/>
              <w:rPr>
                <w:rFonts w:cs="Arial"/>
              </w:rPr>
            </w:pPr>
            <w:r>
              <w:rPr>
                <w:b/>
                <w:bCs/>
                <w:color w:val="1F3864"/>
                <w:sz w:val="28"/>
                <w:szCs w:val="28"/>
              </w:rPr>
              <w:t>﴿وَمَنْ أَعْرَضَ عَن ذِكْرِي فَإِنَّ لَهُ مَعِيشَةً ضَنكًا﴾</w:t>
            </w:r>
          </w:p>
          <w:p w14:paraId="28C1D96A" w14:textId="77777777" w:rsidR="006E6A4B" w:rsidRDefault="009568D6" w:rsidP="00463DCD">
            <w:pPr>
              <w:rPr>
                <w:rFonts w:cs="Arial"/>
              </w:rPr>
            </w:pPr>
            <w:r>
              <w:rPr>
                <w:b/>
                <w:bCs/>
                <w:color w:val="B8860B"/>
                <w:sz w:val="22"/>
                <w:szCs w:val="22"/>
              </w:rPr>
              <w:t>[طه: 124]</w:t>
            </w:r>
          </w:p>
        </w:tc>
      </w:tr>
    </w:tbl>
    <w:p w14:paraId="3A9BEEDF" w14:textId="77777777" w:rsidR="006E6A4B" w:rsidRDefault="009568D6" w:rsidP="00463DCD">
      <w:pPr>
        <w:rPr>
          <w:rFonts w:cs="Arial"/>
        </w:rPr>
      </w:pPr>
      <w:r>
        <w:br w:type="page"/>
      </w:r>
    </w:p>
    <w:p w14:paraId="0B27A6A0" w14:textId="77777777" w:rsidR="006E6A4B" w:rsidRDefault="009568D6" w:rsidP="00463DCD">
      <w:pPr>
        <w:pStyle w:val="1"/>
        <w:shd w:val="clear" w:color="auto" w:fill="1F3864"/>
        <w:bidi/>
        <w:spacing w:before="480" w:after="200"/>
        <w:rPr>
          <w:rFonts w:cs="Arial"/>
        </w:rPr>
      </w:pPr>
      <w:r>
        <w:rPr>
          <w:b/>
          <w:bCs/>
          <w:color w:val="FFFFFF"/>
        </w:rPr>
        <w:t>المراجع</w:t>
      </w:r>
    </w:p>
    <w:p w14:paraId="0B2FF1CA" w14:textId="77777777" w:rsidR="006E6A4B" w:rsidRDefault="009568D6" w:rsidP="00463DCD">
      <w:pPr>
        <w:pStyle w:val="2"/>
        <w:pBdr>
          <w:bottom w:val="single" w:sz="8" w:space="4" w:color="B8860B"/>
        </w:pBdr>
        <w:bidi/>
        <w:spacing w:before="320" w:after="140"/>
        <w:rPr>
          <w:rFonts w:cs="Arial"/>
        </w:rPr>
      </w:pPr>
      <w:r>
        <w:rPr>
          <w:b/>
          <w:bCs/>
          <w:color w:val="0F6B72"/>
        </w:rPr>
        <w:t>أولاً: مراجع باللغة الفرنسية لأعمال بيونغ شول هان</w:t>
      </w:r>
    </w:p>
    <w:p w14:paraId="495B858F" w14:textId="77777777" w:rsidR="006E6A4B" w:rsidRDefault="009568D6">
      <w:pPr>
        <w:spacing w:after="120"/>
        <w:ind w:left="340" w:hanging="340"/>
        <w:jc w:val="both"/>
        <w:rPr>
          <w:rFonts w:cs="Arial"/>
        </w:rPr>
      </w:pPr>
      <w:r>
        <w:rPr>
          <w:color w:val="1A1A1A"/>
          <w:sz w:val="22"/>
          <w:szCs w:val="22"/>
        </w:rPr>
        <w:t xml:space="preserve">1.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La</w:t>
      </w:r>
      <w:proofErr w:type="spellEnd"/>
      <w:r>
        <w:rPr>
          <w:color w:val="1A1A1A"/>
          <w:sz w:val="22"/>
          <w:szCs w:val="22"/>
        </w:rPr>
        <w:t xml:space="preserve"> </w:t>
      </w:r>
      <w:proofErr w:type="spellStart"/>
      <w:r>
        <w:rPr>
          <w:color w:val="1A1A1A"/>
          <w:sz w:val="22"/>
          <w:szCs w:val="22"/>
        </w:rPr>
        <w:t>Société</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fatigue</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2014.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Müdigkeitsgesellschaft</w:t>
      </w:r>
      <w:proofErr w:type="spellEnd"/>
      <w:r>
        <w:rPr>
          <w:color w:val="1A1A1A"/>
          <w:sz w:val="22"/>
          <w:szCs w:val="22"/>
        </w:rPr>
        <w:t>, 2010).</w:t>
      </w:r>
    </w:p>
    <w:p w14:paraId="571F9B1C" w14:textId="77777777" w:rsidR="006E6A4B" w:rsidRDefault="009568D6">
      <w:pPr>
        <w:spacing w:after="120"/>
        <w:ind w:left="340" w:hanging="340"/>
        <w:jc w:val="both"/>
        <w:rPr>
          <w:rFonts w:cs="Arial"/>
        </w:rPr>
      </w:pPr>
      <w:r>
        <w:rPr>
          <w:color w:val="1A1A1A"/>
          <w:sz w:val="22"/>
          <w:szCs w:val="22"/>
        </w:rPr>
        <w:t xml:space="preserve">2.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La</w:t>
      </w:r>
      <w:proofErr w:type="spellEnd"/>
      <w:r>
        <w:rPr>
          <w:color w:val="1A1A1A"/>
          <w:sz w:val="22"/>
          <w:szCs w:val="22"/>
        </w:rPr>
        <w:t xml:space="preserve"> </w:t>
      </w:r>
      <w:proofErr w:type="spellStart"/>
      <w:r>
        <w:rPr>
          <w:color w:val="1A1A1A"/>
          <w:sz w:val="22"/>
          <w:szCs w:val="22"/>
        </w:rPr>
        <w:t>Société</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transparence</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2014.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Transparenzgesellschaft</w:t>
      </w:r>
      <w:proofErr w:type="spellEnd"/>
      <w:r>
        <w:rPr>
          <w:color w:val="1A1A1A"/>
          <w:sz w:val="22"/>
          <w:szCs w:val="22"/>
        </w:rPr>
        <w:t>, 2012).</w:t>
      </w:r>
    </w:p>
    <w:p w14:paraId="728E6B0B" w14:textId="77777777" w:rsidR="006E6A4B" w:rsidRDefault="009568D6">
      <w:pPr>
        <w:spacing w:after="120"/>
        <w:ind w:left="340" w:hanging="340"/>
        <w:jc w:val="both"/>
        <w:rPr>
          <w:rFonts w:cs="Arial"/>
        </w:rPr>
      </w:pPr>
      <w:r>
        <w:rPr>
          <w:color w:val="1A1A1A"/>
          <w:sz w:val="22"/>
          <w:szCs w:val="22"/>
        </w:rPr>
        <w:t xml:space="preserve">3.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Le</w:t>
      </w:r>
      <w:proofErr w:type="spellEnd"/>
      <w:r>
        <w:rPr>
          <w:color w:val="1A1A1A"/>
          <w:sz w:val="22"/>
          <w:szCs w:val="22"/>
        </w:rPr>
        <w:t xml:space="preserve"> </w:t>
      </w:r>
      <w:proofErr w:type="spellStart"/>
      <w:r>
        <w:rPr>
          <w:color w:val="1A1A1A"/>
          <w:sz w:val="22"/>
          <w:szCs w:val="22"/>
        </w:rPr>
        <w:t>Parfum</w:t>
      </w:r>
      <w:proofErr w:type="spellEnd"/>
      <w:r>
        <w:rPr>
          <w:color w:val="1A1A1A"/>
          <w:sz w:val="22"/>
          <w:szCs w:val="22"/>
        </w:rPr>
        <w:t xml:space="preserve"> </w:t>
      </w:r>
      <w:proofErr w:type="spellStart"/>
      <w:r>
        <w:rPr>
          <w:color w:val="1A1A1A"/>
          <w:sz w:val="22"/>
          <w:szCs w:val="22"/>
        </w:rPr>
        <w:t>du</w:t>
      </w:r>
      <w:proofErr w:type="spellEnd"/>
      <w:r>
        <w:rPr>
          <w:color w:val="1A1A1A"/>
          <w:sz w:val="22"/>
          <w:szCs w:val="22"/>
        </w:rPr>
        <w:t xml:space="preserve"> </w:t>
      </w:r>
      <w:proofErr w:type="spellStart"/>
      <w:r>
        <w:rPr>
          <w:color w:val="1A1A1A"/>
          <w:sz w:val="22"/>
          <w:szCs w:val="22"/>
        </w:rPr>
        <w:t>temps</w:t>
      </w:r>
      <w:proofErr w:type="spellEnd"/>
      <w:r>
        <w:rPr>
          <w:color w:val="1A1A1A"/>
          <w:sz w:val="22"/>
          <w:szCs w:val="22"/>
        </w:rPr>
        <w:t xml:space="preserve"> : </w:t>
      </w:r>
      <w:proofErr w:type="spellStart"/>
      <w:r>
        <w:rPr>
          <w:color w:val="1A1A1A"/>
          <w:sz w:val="22"/>
          <w:szCs w:val="22"/>
        </w:rPr>
        <w:t>essai</w:t>
      </w:r>
      <w:proofErr w:type="spellEnd"/>
      <w:r>
        <w:rPr>
          <w:color w:val="1A1A1A"/>
          <w:sz w:val="22"/>
          <w:szCs w:val="22"/>
        </w:rPr>
        <w:t xml:space="preserve"> </w:t>
      </w:r>
      <w:proofErr w:type="spellStart"/>
      <w:r>
        <w:rPr>
          <w:color w:val="1A1A1A"/>
          <w:sz w:val="22"/>
          <w:szCs w:val="22"/>
        </w:rPr>
        <w:t>philosophique</w:t>
      </w:r>
      <w:proofErr w:type="spellEnd"/>
      <w:r>
        <w:rPr>
          <w:color w:val="1A1A1A"/>
          <w:sz w:val="22"/>
          <w:szCs w:val="22"/>
        </w:rPr>
        <w:t xml:space="preserve"> </w:t>
      </w:r>
      <w:proofErr w:type="spellStart"/>
      <w:r>
        <w:rPr>
          <w:color w:val="1A1A1A"/>
          <w:sz w:val="22"/>
          <w:szCs w:val="22"/>
        </w:rPr>
        <w:t>sur</w:t>
      </w:r>
      <w:proofErr w:type="spellEnd"/>
      <w:r>
        <w:rPr>
          <w:color w:val="1A1A1A"/>
          <w:sz w:val="22"/>
          <w:szCs w:val="22"/>
        </w:rPr>
        <w:t xml:space="preserve"> </w:t>
      </w:r>
      <w:proofErr w:type="spellStart"/>
      <w:r>
        <w:rPr>
          <w:color w:val="1A1A1A"/>
          <w:sz w:val="22"/>
          <w:szCs w:val="22"/>
        </w:rPr>
        <w:t>l'art</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s'attarder</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2016.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Duft</w:t>
      </w:r>
      <w:proofErr w:type="spellEnd"/>
      <w:r>
        <w:rPr>
          <w:color w:val="1A1A1A"/>
          <w:sz w:val="22"/>
          <w:szCs w:val="22"/>
        </w:rPr>
        <w:t xml:space="preserve"> </w:t>
      </w:r>
      <w:proofErr w:type="spellStart"/>
      <w:r>
        <w:rPr>
          <w:color w:val="1A1A1A"/>
          <w:sz w:val="22"/>
          <w:szCs w:val="22"/>
        </w:rPr>
        <w:t>der</w:t>
      </w:r>
      <w:proofErr w:type="spellEnd"/>
      <w:r>
        <w:rPr>
          <w:color w:val="1A1A1A"/>
          <w:sz w:val="22"/>
          <w:szCs w:val="22"/>
        </w:rPr>
        <w:t xml:space="preserve"> </w:t>
      </w:r>
      <w:proofErr w:type="spellStart"/>
      <w:r>
        <w:rPr>
          <w:color w:val="1A1A1A"/>
          <w:sz w:val="22"/>
          <w:szCs w:val="22"/>
        </w:rPr>
        <w:t>Zeit</w:t>
      </w:r>
      <w:proofErr w:type="spellEnd"/>
      <w:r>
        <w:rPr>
          <w:color w:val="1A1A1A"/>
          <w:sz w:val="22"/>
          <w:szCs w:val="22"/>
        </w:rPr>
        <w:t>, 2009).</w:t>
      </w:r>
    </w:p>
    <w:p w14:paraId="5CAD7816" w14:textId="77777777" w:rsidR="006E6A4B" w:rsidRDefault="009568D6">
      <w:pPr>
        <w:spacing w:after="120"/>
        <w:ind w:left="340" w:hanging="340"/>
        <w:jc w:val="both"/>
        <w:rPr>
          <w:rFonts w:cs="Arial"/>
        </w:rPr>
      </w:pPr>
      <w:r>
        <w:rPr>
          <w:color w:val="1A1A1A"/>
          <w:sz w:val="22"/>
          <w:szCs w:val="22"/>
        </w:rPr>
        <w:t xml:space="preserve">4.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Le</w:t>
      </w:r>
      <w:proofErr w:type="spellEnd"/>
      <w:r>
        <w:rPr>
          <w:color w:val="1A1A1A"/>
          <w:sz w:val="22"/>
          <w:szCs w:val="22"/>
        </w:rPr>
        <w:t xml:space="preserve"> </w:t>
      </w:r>
      <w:proofErr w:type="spellStart"/>
      <w:r>
        <w:rPr>
          <w:color w:val="1A1A1A"/>
          <w:sz w:val="22"/>
          <w:szCs w:val="22"/>
        </w:rPr>
        <w:t>Cœur</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Heidegger</w:t>
      </w:r>
      <w:proofErr w:type="spellEnd"/>
      <w:r>
        <w:rPr>
          <w:color w:val="1A1A1A"/>
          <w:sz w:val="22"/>
          <w:szCs w:val="22"/>
        </w:rPr>
        <w:t xml:space="preserve"> : </w:t>
      </w:r>
      <w:proofErr w:type="spellStart"/>
      <w:r>
        <w:rPr>
          <w:color w:val="1A1A1A"/>
          <w:sz w:val="22"/>
          <w:szCs w:val="22"/>
        </w:rPr>
        <w:t>le</w:t>
      </w:r>
      <w:proofErr w:type="spellEnd"/>
      <w:r>
        <w:rPr>
          <w:color w:val="1A1A1A"/>
          <w:sz w:val="22"/>
          <w:szCs w:val="22"/>
        </w:rPr>
        <w:t xml:space="preserve"> </w:t>
      </w:r>
      <w:proofErr w:type="spellStart"/>
      <w:r>
        <w:rPr>
          <w:color w:val="1A1A1A"/>
          <w:sz w:val="22"/>
          <w:szCs w:val="22"/>
        </w:rPr>
        <w:t>concept</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Stimmung</w:t>
      </w:r>
      <w:proofErr w:type="spellEnd"/>
      <w:r>
        <w:rPr>
          <w:color w:val="1A1A1A"/>
          <w:sz w:val="22"/>
          <w:szCs w:val="22"/>
        </w:rPr>
        <w:t xml:space="preserve"> </w:t>
      </w:r>
      <w:proofErr w:type="spellStart"/>
      <w:r>
        <w:rPr>
          <w:color w:val="1A1A1A"/>
          <w:sz w:val="22"/>
          <w:szCs w:val="22"/>
        </w:rPr>
        <w:t>chez</w:t>
      </w:r>
      <w:proofErr w:type="spellEnd"/>
      <w:r>
        <w:rPr>
          <w:color w:val="1A1A1A"/>
          <w:sz w:val="22"/>
          <w:szCs w:val="22"/>
        </w:rPr>
        <w:t xml:space="preserve"> </w:t>
      </w:r>
      <w:proofErr w:type="spellStart"/>
      <w:r>
        <w:rPr>
          <w:color w:val="1A1A1A"/>
          <w:sz w:val="22"/>
          <w:szCs w:val="22"/>
        </w:rPr>
        <w:t>Martin</w:t>
      </w:r>
      <w:proofErr w:type="spellEnd"/>
      <w:r>
        <w:rPr>
          <w:color w:val="1A1A1A"/>
          <w:sz w:val="22"/>
          <w:szCs w:val="22"/>
        </w:rPr>
        <w:t xml:space="preserve"> </w:t>
      </w:r>
      <w:proofErr w:type="spellStart"/>
      <w:r>
        <w:rPr>
          <w:color w:val="1A1A1A"/>
          <w:sz w:val="22"/>
          <w:szCs w:val="22"/>
        </w:rPr>
        <w:t>Heidegger</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du</w:t>
      </w:r>
      <w:proofErr w:type="spellEnd"/>
      <w:r>
        <w:rPr>
          <w:color w:val="1A1A1A"/>
          <w:sz w:val="22"/>
          <w:szCs w:val="22"/>
        </w:rPr>
        <w:t xml:space="preserve"> </w:t>
      </w:r>
      <w:proofErr w:type="spellStart"/>
      <w:r>
        <w:rPr>
          <w:color w:val="1A1A1A"/>
          <w:sz w:val="22"/>
          <w:szCs w:val="22"/>
        </w:rPr>
        <w:t>Cerf</w:t>
      </w:r>
      <w:proofErr w:type="spellEnd"/>
      <w:r>
        <w:rPr>
          <w:color w:val="1A1A1A"/>
          <w:sz w:val="22"/>
          <w:szCs w:val="22"/>
        </w:rPr>
        <w:t>, 2018.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Heideggers</w:t>
      </w:r>
      <w:proofErr w:type="spellEnd"/>
      <w:r>
        <w:rPr>
          <w:color w:val="1A1A1A"/>
          <w:sz w:val="22"/>
          <w:szCs w:val="22"/>
        </w:rPr>
        <w:t xml:space="preserve"> </w:t>
      </w:r>
      <w:proofErr w:type="spellStart"/>
      <w:r>
        <w:rPr>
          <w:color w:val="1A1A1A"/>
          <w:sz w:val="22"/>
          <w:szCs w:val="22"/>
        </w:rPr>
        <w:t>Herz</w:t>
      </w:r>
      <w:proofErr w:type="spellEnd"/>
      <w:r>
        <w:rPr>
          <w:color w:val="1A1A1A"/>
          <w:sz w:val="22"/>
          <w:szCs w:val="22"/>
        </w:rPr>
        <w:t xml:space="preserve"> : </w:t>
      </w:r>
      <w:proofErr w:type="spellStart"/>
      <w:r>
        <w:rPr>
          <w:color w:val="1A1A1A"/>
          <w:sz w:val="22"/>
          <w:szCs w:val="22"/>
        </w:rPr>
        <w:t>Zum</w:t>
      </w:r>
      <w:proofErr w:type="spellEnd"/>
      <w:r>
        <w:rPr>
          <w:color w:val="1A1A1A"/>
          <w:sz w:val="22"/>
          <w:szCs w:val="22"/>
        </w:rPr>
        <w:t xml:space="preserve"> </w:t>
      </w:r>
      <w:proofErr w:type="spellStart"/>
      <w:r>
        <w:rPr>
          <w:color w:val="1A1A1A"/>
          <w:sz w:val="22"/>
          <w:szCs w:val="22"/>
        </w:rPr>
        <w:t>Begriff</w:t>
      </w:r>
      <w:proofErr w:type="spellEnd"/>
      <w:r>
        <w:rPr>
          <w:color w:val="1A1A1A"/>
          <w:sz w:val="22"/>
          <w:szCs w:val="22"/>
        </w:rPr>
        <w:t xml:space="preserve"> </w:t>
      </w:r>
      <w:proofErr w:type="spellStart"/>
      <w:r>
        <w:rPr>
          <w:color w:val="1A1A1A"/>
          <w:sz w:val="22"/>
          <w:szCs w:val="22"/>
        </w:rPr>
        <w:t>der</w:t>
      </w:r>
      <w:proofErr w:type="spellEnd"/>
      <w:r>
        <w:rPr>
          <w:color w:val="1A1A1A"/>
          <w:sz w:val="22"/>
          <w:szCs w:val="22"/>
        </w:rPr>
        <w:t xml:space="preserve"> </w:t>
      </w:r>
      <w:proofErr w:type="spellStart"/>
      <w:r>
        <w:rPr>
          <w:color w:val="1A1A1A"/>
          <w:sz w:val="22"/>
          <w:szCs w:val="22"/>
        </w:rPr>
        <w:t>Stimmung</w:t>
      </w:r>
      <w:proofErr w:type="spellEnd"/>
      <w:r>
        <w:rPr>
          <w:color w:val="1A1A1A"/>
          <w:sz w:val="22"/>
          <w:szCs w:val="22"/>
        </w:rPr>
        <w:t xml:space="preserve"> </w:t>
      </w:r>
      <w:proofErr w:type="spellStart"/>
      <w:r>
        <w:rPr>
          <w:color w:val="1A1A1A"/>
          <w:sz w:val="22"/>
          <w:szCs w:val="22"/>
        </w:rPr>
        <w:t>bei</w:t>
      </w:r>
      <w:proofErr w:type="spellEnd"/>
      <w:r>
        <w:rPr>
          <w:color w:val="1A1A1A"/>
          <w:sz w:val="22"/>
          <w:szCs w:val="22"/>
        </w:rPr>
        <w:t xml:space="preserve"> </w:t>
      </w:r>
      <w:proofErr w:type="spellStart"/>
      <w:r>
        <w:rPr>
          <w:color w:val="1A1A1A"/>
          <w:sz w:val="22"/>
          <w:szCs w:val="22"/>
        </w:rPr>
        <w:t>Martin</w:t>
      </w:r>
      <w:proofErr w:type="spellEnd"/>
      <w:r>
        <w:rPr>
          <w:color w:val="1A1A1A"/>
          <w:sz w:val="22"/>
          <w:szCs w:val="22"/>
        </w:rPr>
        <w:t xml:space="preserve"> </w:t>
      </w:r>
      <w:proofErr w:type="spellStart"/>
      <w:r>
        <w:rPr>
          <w:color w:val="1A1A1A"/>
          <w:sz w:val="22"/>
          <w:szCs w:val="22"/>
        </w:rPr>
        <w:t>Heidegger</w:t>
      </w:r>
      <w:proofErr w:type="spellEnd"/>
      <w:r>
        <w:rPr>
          <w:color w:val="1A1A1A"/>
          <w:sz w:val="22"/>
          <w:szCs w:val="22"/>
        </w:rPr>
        <w:t>, 1996).</w:t>
      </w:r>
    </w:p>
    <w:p w14:paraId="05E4BDD6" w14:textId="77777777" w:rsidR="006E6A4B" w:rsidRDefault="009568D6">
      <w:pPr>
        <w:spacing w:after="120"/>
        <w:ind w:left="340" w:hanging="340"/>
        <w:jc w:val="both"/>
        <w:rPr>
          <w:rFonts w:cs="Arial"/>
        </w:rPr>
      </w:pPr>
      <w:r>
        <w:rPr>
          <w:color w:val="1A1A1A"/>
          <w:sz w:val="22"/>
          <w:szCs w:val="22"/>
        </w:rPr>
        <w:t xml:space="preserve">5.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L'Expulsion</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l'Autre</w:t>
      </w:r>
      <w:proofErr w:type="spellEnd"/>
      <w:r>
        <w:rPr>
          <w:color w:val="1A1A1A"/>
          <w:sz w:val="22"/>
          <w:szCs w:val="22"/>
        </w:rPr>
        <w:t xml:space="preserve"> : </w:t>
      </w:r>
      <w:proofErr w:type="spellStart"/>
      <w:r>
        <w:rPr>
          <w:color w:val="1A1A1A"/>
          <w:sz w:val="22"/>
          <w:szCs w:val="22"/>
        </w:rPr>
        <w:t>Société</w:t>
      </w:r>
      <w:proofErr w:type="spellEnd"/>
      <w:r>
        <w:rPr>
          <w:color w:val="1A1A1A"/>
          <w:sz w:val="22"/>
          <w:szCs w:val="22"/>
        </w:rPr>
        <w:t xml:space="preserve">, </w:t>
      </w:r>
      <w:proofErr w:type="spellStart"/>
      <w:r>
        <w:rPr>
          <w:color w:val="1A1A1A"/>
          <w:sz w:val="22"/>
          <w:szCs w:val="22"/>
        </w:rPr>
        <w:t>perception</w:t>
      </w:r>
      <w:proofErr w:type="spellEnd"/>
      <w:r>
        <w:rPr>
          <w:color w:val="1A1A1A"/>
          <w:sz w:val="22"/>
          <w:szCs w:val="22"/>
        </w:rPr>
        <w:t xml:space="preserve"> </w:t>
      </w:r>
      <w:proofErr w:type="spellStart"/>
      <w:r>
        <w:rPr>
          <w:color w:val="1A1A1A"/>
          <w:sz w:val="22"/>
          <w:szCs w:val="22"/>
        </w:rPr>
        <w:t>et</w:t>
      </w:r>
      <w:proofErr w:type="spellEnd"/>
      <w:r>
        <w:rPr>
          <w:color w:val="1A1A1A"/>
          <w:sz w:val="22"/>
          <w:szCs w:val="22"/>
        </w:rPr>
        <w:t xml:space="preserve"> </w:t>
      </w:r>
      <w:proofErr w:type="spellStart"/>
      <w:r>
        <w:rPr>
          <w:color w:val="1A1A1A"/>
          <w:sz w:val="22"/>
          <w:szCs w:val="22"/>
        </w:rPr>
        <w:t>communication</w:t>
      </w:r>
      <w:proofErr w:type="spellEnd"/>
      <w:r>
        <w:rPr>
          <w:color w:val="1A1A1A"/>
          <w:sz w:val="22"/>
          <w:szCs w:val="22"/>
        </w:rPr>
        <w:t xml:space="preserve"> </w:t>
      </w:r>
      <w:proofErr w:type="spellStart"/>
      <w:r>
        <w:rPr>
          <w:color w:val="1A1A1A"/>
          <w:sz w:val="22"/>
          <w:szCs w:val="22"/>
        </w:rPr>
        <w:t>contemporaines</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2018.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Die</w:t>
      </w:r>
      <w:proofErr w:type="spellEnd"/>
      <w:r>
        <w:rPr>
          <w:color w:val="1A1A1A"/>
          <w:sz w:val="22"/>
          <w:szCs w:val="22"/>
        </w:rPr>
        <w:t xml:space="preserve"> </w:t>
      </w:r>
      <w:proofErr w:type="spellStart"/>
      <w:r>
        <w:rPr>
          <w:color w:val="1A1A1A"/>
          <w:sz w:val="22"/>
          <w:szCs w:val="22"/>
        </w:rPr>
        <w:t>Austreibung</w:t>
      </w:r>
      <w:proofErr w:type="spellEnd"/>
      <w:r>
        <w:rPr>
          <w:color w:val="1A1A1A"/>
          <w:sz w:val="22"/>
          <w:szCs w:val="22"/>
        </w:rPr>
        <w:t xml:space="preserve"> </w:t>
      </w:r>
      <w:proofErr w:type="spellStart"/>
      <w:r>
        <w:rPr>
          <w:color w:val="1A1A1A"/>
          <w:sz w:val="22"/>
          <w:szCs w:val="22"/>
        </w:rPr>
        <w:t>des</w:t>
      </w:r>
      <w:proofErr w:type="spellEnd"/>
      <w:r>
        <w:rPr>
          <w:color w:val="1A1A1A"/>
          <w:sz w:val="22"/>
          <w:szCs w:val="22"/>
        </w:rPr>
        <w:t xml:space="preserve"> </w:t>
      </w:r>
      <w:proofErr w:type="spellStart"/>
      <w:r>
        <w:rPr>
          <w:color w:val="1A1A1A"/>
          <w:sz w:val="22"/>
          <w:szCs w:val="22"/>
        </w:rPr>
        <w:t>Anderen</w:t>
      </w:r>
      <w:proofErr w:type="spellEnd"/>
      <w:r>
        <w:rPr>
          <w:color w:val="1A1A1A"/>
          <w:sz w:val="22"/>
          <w:szCs w:val="22"/>
        </w:rPr>
        <w:t>, 2016).</w:t>
      </w:r>
    </w:p>
    <w:p w14:paraId="3353660D" w14:textId="77777777" w:rsidR="006E6A4B" w:rsidRDefault="009568D6">
      <w:pPr>
        <w:spacing w:after="120"/>
        <w:ind w:left="340" w:hanging="340"/>
        <w:jc w:val="both"/>
        <w:rPr>
          <w:rFonts w:cs="Arial"/>
        </w:rPr>
      </w:pPr>
      <w:r>
        <w:rPr>
          <w:color w:val="1A1A1A"/>
          <w:sz w:val="22"/>
          <w:szCs w:val="22"/>
        </w:rPr>
        <w:t xml:space="preserve">6.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Sauver</w:t>
      </w:r>
      <w:proofErr w:type="spellEnd"/>
      <w:r>
        <w:rPr>
          <w:color w:val="1A1A1A"/>
          <w:sz w:val="22"/>
          <w:szCs w:val="22"/>
        </w:rPr>
        <w:t xml:space="preserve"> </w:t>
      </w:r>
      <w:proofErr w:type="spellStart"/>
      <w:r>
        <w:rPr>
          <w:color w:val="1A1A1A"/>
          <w:sz w:val="22"/>
          <w:szCs w:val="22"/>
        </w:rPr>
        <w:t>le</w:t>
      </w:r>
      <w:proofErr w:type="spellEnd"/>
      <w:r>
        <w:rPr>
          <w:color w:val="1A1A1A"/>
          <w:sz w:val="22"/>
          <w:szCs w:val="22"/>
        </w:rPr>
        <w:t xml:space="preserve"> </w:t>
      </w:r>
      <w:proofErr w:type="spellStart"/>
      <w:r>
        <w:rPr>
          <w:color w:val="1A1A1A"/>
          <w:sz w:val="22"/>
          <w:szCs w:val="22"/>
        </w:rPr>
        <w:t>beau</w:t>
      </w:r>
      <w:proofErr w:type="spellEnd"/>
      <w:r>
        <w:rPr>
          <w:color w:val="1A1A1A"/>
          <w:sz w:val="22"/>
          <w:szCs w:val="22"/>
        </w:rPr>
        <w:t xml:space="preserve"> : </w:t>
      </w:r>
      <w:proofErr w:type="spellStart"/>
      <w:r>
        <w:rPr>
          <w:color w:val="1A1A1A"/>
          <w:sz w:val="22"/>
          <w:szCs w:val="22"/>
        </w:rPr>
        <w:t>essai</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2016.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Die</w:t>
      </w:r>
      <w:proofErr w:type="spellEnd"/>
      <w:r>
        <w:rPr>
          <w:color w:val="1A1A1A"/>
          <w:sz w:val="22"/>
          <w:szCs w:val="22"/>
        </w:rPr>
        <w:t xml:space="preserve"> </w:t>
      </w:r>
      <w:proofErr w:type="spellStart"/>
      <w:r>
        <w:rPr>
          <w:color w:val="1A1A1A"/>
          <w:sz w:val="22"/>
          <w:szCs w:val="22"/>
        </w:rPr>
        <w:t>Errettung</w:t>
      </w:r>
      <w:proofErr w:type="spellEnd"/>
      <w:r>
        <w:rPr>
          <w:color w:val="1A1A1A"/>
          <w:sz w:val="22"/>
          <w:szCs w:val="22"/>
        </w:rPr>
        <w:t xml:space="preserve"> </w:t>
      </w:r>
      <w:proofErr w:type="spellStart"/>
      <w:r>
        <w:rPr>
          <w:color w:val="1A1A1A"/>
          <w:sz w:val="22"/>
          <w:szCs w:val="22"/>
        </w:rPr>
        <w:t>des</w:t>
      </w:r>
      <w:proofErr w:type="spellEnd"/>
      <w:r>
        <w:rPr>
          <w:color w:val="1A1A1A"/>
          <w:sz w:val="22"/>
          <w:szCs w:val="22"/>
        </w:rPr>
        <w:t xml:space="preserve"> </w:t>
      </w:r>
      <w:proofErr w:type="spellStart"/>
      <w:r>
        <w:rPr>
          <w:color w:val="1A1A1A"/>
          <w:sz w:val="22"/>
          <w:szCs w:val="22"/>
        </w:rPr>
        <w:t>Schönen</w:t>
      </w:r>
      <w:proofErr w:type="spellEnd"/>
      <w:r>
        <w:rPr>
          <w:color w:val="1A1A1A"/>
          <w:sz w:val="22"/>
          <w:szCs w:val="22"/>
        </w:rPr>
        <w:t>, 2015).</w:t>
      </w:r>
    </w:p>
    <w:p w14:paraId="217EDA1D" w14:textId="77777777" w:rsidR="006E6A4B" w:rsidRDefault="009568D6">
      <w:pPr>
        <w:spacing w:after="120"/>
        <w:ind w:left="340" w:hanging="340"/>
        <w:jc w:val="both"/>
        <w:rPr>
          <w:rFonts w:cs="Arial"/>
        </w:rPr>
      </w:pPr>
      <w:r>
        <w:rPr>
          <w:color w:val="1A1A1A"/>
          <w:sz w:val="22"/>
          <w:szCs w:val="22"/>
        </w:rPr>
        <w:t xml:space="preserve">7.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Les</w:t>
      </w:r>
      <w:proofErr w:type="spellEnd"/>
      <w:r>
        <w:rPr>
          <w:color w:val="1A1A1A"/>
          <w:sz w:val="22"/>
          <w:szCs w:val="22"/>
        </w:rPr>
        <w:t xml:space="preserve"> </w:t>
      </w:r>
      <w:proofErr w:type="spellStart"/>
      <w:r>
        <w:rPr>
          <w:color w:val="1A1A1A"/>
          <w:sz w:val="22"/>
          <w:szCs w:val="22"/>
        </w:rPr>
        <w:t>Non-choses</w:t>
      </w:r>
      <w:proofErr w:type="spellEnd"/>
      <w:r>
        <w:rPr>
          <w:color w:val="1A1A1A"/>
          <w:sz w:val="22"/>
          <w:szCs w:val="22"/>
        </w:rPr>
        <w:t xml:space="preserve"> : </w:t>
      </w:r>
      <w:proofErr w:type="spellStart"/>
      <w:r>
        <w:rPr>
          <w:color w:val="1A1A1A"/>
          <w:sz w:val="22"/>
          <w:szCs w:val="22"/>
        </w:rPr>
        <w:t>renverser</w:t>
      </w:r>
      <w:proofErr w:type="spellEnd"/>
      <w:r>
        <w:rPr>
          <w:color w:val="1A1A1A"/>
          <w:sz w:val="22"/>
          <w:szCs w:val="22"/>
        </w:rPr>
        <w:t xml:space="preserve"> </w:t>
      </w:r>
      <w:proofErr w:type="spellStart"/>
      <w:r>
        <w:rPr>
          <w:color w:val="1A1A1A"/>
          <w:sz w:val="22"/>
          <w:szCs w:val="22"/>
        </w:rPr>
        <w:t>le</w:t>
      </w:r>
      <w:proofErr w:type="spellEnd"/>
      <w:r>
        <w:rPr>
          <w:color w:val="1A1A1A"/>
          <w:sz w:val="22"/>
          <w:szCs w:val="22"/>
        </w:rPr>
        <w:t xml:space="preserve"> </w:t>
      </w:r>
      <w:proofErr w:type="spellStart"/>
      <w:r>
        <w:rPr>
          <w:color w:val="1A1A1A"/>
          <w:sz w:val="22"/>
          <w:szCs w:val="22"/>
        </w:rPr>
        <w:t>monde</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l'être</w:t>
      </w:r>
      <w:proofErr w:type="spellEnd"/>
      <w:r>
        <w:rPr>
          <w:color w:val="1A1A1A"/>
          <w:sz w:val="22"/>
          <w:szCs w:val="22"/>
        </w:rPr>
        <w:t xml:space="preserve"> </w:t>
      </w:r>
      <w:proofErr w:type="spellStart"/>
      <w:r>
        <w:rPr>
          <w:color w:val="1A1A1A"/>
          <w:sz w:val="22"/>
          <w:szCs w:val="22"/>
        </w:rPr>
        <w:t>humain</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2022.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Undinge</w:t>
      </w:r>
      <w:proofErr w:type="spellEnd"/>
      <w:r>
        <w:rPr>
          <w:color w:val="1A1A1A"/>
          <w:sz w:val="22"/>
          <w:szCs w:val="22"/>
        </w:rPr>
        <w:t>, 2021).</w:t>
      </w:r>
    </w:p>
    <w:p w14:paraId="1A8258C3" w14:textId="77777777" w:rsidR="006E6A4B" w:rsidRDefault="009568D6">
      <w:pPr>
        <w:spacing w:after="120"/>
        <w:ind w:left="340" w:hanging="340"/>
        <w:jc w:val="both"/>
        <w:rPr>
          <w:rFonts w:cs="Arial"/>
        </w:rPr>
      </w:pPr>
      <w:r>
        <w:rPr>
          <w:color w:val="1A1A1A"/>
          <w:sz w:val="22"/>
          <w:szCs w:val="22"/>
        </w:rPr>
        <w:t xml:space="preserve">8.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La</w:t>
      </w:r>
      <w:proofErr w:type="spellEnd"/>
      <w:r>
        <w:rPr>
          <w:color w:val="1A1A1A"/>
          <w:sz w:val="22"/>
          <w:szCs w:val="22"/>
        </w:rPr>
        <w:t xml:space="preserve"> </w:t>
      </w:r>
      <w:proofErr w:type="spellStart"/>
      <w:r>
        <w:rPr>
          <w:color w:val="1A1A1A"/>
          <w:sz w:val="22"/>
          <w:szCs w:val="22"/>
        </w:rPr>
        <w:t>Société</w:t>
      </w:r>
      <w:proofErr w:type="spellEnd"/>
      <w:r>
        <w:rPr>
          <w:color w:val="1A1A1A"/>
          <w:sz w:val="22"/>
          <w:szCs w:val="22"/>
        </w:rPr>
        <w:t xml:space="preserve"> </w:t>
      </w:r>
      <w:proofErr w:type="spellStart"/>
      <w:r>
        <w:rPr>
          <w:color w:val="1A1A1A"/>
          <w:sz w:val="22"/>
          <w:szCs w:val="22"/>
        </w:rPr>
        <w:t>palliative</w:t>
      </w:r>
      <w:proofErr w:type="spellEnd"/>
      <w:r>
        <w:rPr>
          <w:color w:val="1A1A1A"/>
          <w:sz w:val="22"/>
          <w:szCs w:val="22"/>
        </w:rPr>
        <w:t xml:space="preserve"> : </w:t>
      </w:r>
      <w:proofErr w:type="spellStart"/>
      <w:r>
        <w:rPr>
          <w:color w:val="1A1A1A"/>
          <w:sz w:val="22"/>
          <w:szCs w:val="22"/>
        </w:rPr>
        <w:t>la</w:t>
      </w:r>
      <w:proofErr w:type="spellEnd"/>
      <w:r>
        <w:rPr>
          <w:color w:val="1A1A1A"/>
          <w:sz w:val="22"/>
          <w:szCs w:val="22"/>
        </w:rPr>
        <w:t xml:space="preserve"> </w:t>
      </w:r>
      <w:proofErr w:type="spellStart"/>
      <w:r>
        <w:rPr>
          <w:color w:val="1A1A1A"/>
          <w:sz w:val="22"/>
          <w:szCs w:val="22"/>
        </w:rPr>
        <w:t>douleur</w:t>
      </w:r>
      <w:proofErr w:type="spellEnd"/>
      <w:r>
        <w:rPr>
          <w:color w:val="1A1A1A"/>
          <w:sz w:val="22"/>
          <w:szCs w:val="22"/>
        </w:rPr>
        <w:t xml:space="preserve"> </w:t>
      </w:r>
      <w:proofErr w:type="spellStart"/>
      <w:r>
        <w:rPr>
          <w:color w:val="1A1A1A"/>
          <w:sz w:val="22"/>
          <w:szCs w:val="22"/>
        </w:rPr>
        <w:t>aujourd'hui</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2022.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Palliativgesellschaft</w:t>
      </w:r>
      <w:proofErr w:type="spellEnd"/>
      <w:r>
        <w:rPr>
          <w:color w:val="1A1A1A"/>
          <w:sz w:val="22"/>
          <w:szCs w:val="22"/>
        </w:rPr>
        <w:t>, 2021).</w:t>
      </w:r>
    </w:p>
    <w:p w14:paraId="1593FC98" w14:textId="77777777" w:rsidR="006E6A4B" w:rsidRDefault="009568D6">
      <w:pPr>
        <w:spacing w:after="120"/>
        <w:ind w:left="340" w:hanging="340"/>
        <w:jc w:val="both"/>
        <w:rPr>
          <w:rFonts w:cs="Arial"/>
        </w:rPr>
      </w:pPr>
      <w:r>
        <w:rPr>
          <w:color w:val="1A1A1A"/>
          <w:sz w:val="22"/>
          <w:szCs w:val="22"/>
        </w:rPr>
        <w:t xml:space="preserve">9. </w:t>
      </w:r>
      <w:proofErr w:type="spellStart"/>
      <w:r>
        <w:rPr>
          <w:color w:val="1A1A1A"/>
          <w:sz w:val="22"/>
          <w:szCs w:val="22"/>
        </w:rPr>
        <w:t>Han</w:t>
      </w:r>
      <w:proofErr w:type="spellEnd"/>
      <w:r>
        <w:rPr>
          <w:color w:val="1A1A1A"/>
          <w:sz w:val="22"/>
          <w:szCs w:val="22"/>
        </w:rPr>
        <w:t xml:space="preserve">, </w:t>
      </w:r>
      <w:proofErr w:type="spellStart"/>
      <w:r>
        <w:rPr>
          <w:color w:val="1A1A1A"/>
          <w:sz w:val="22"/>
          <w:szCs w:val="22"/>
        </w:rPr>
        <w:t>Byung-Chul</w:t>
      </w:r>
      <w:proofErr w:type="spellEnd"/>
      <w:r>
        <w:rPr>
          <w:color w:val="1A1A1A"/>
          <w:sz w:val="22"/>
          <w:szCs w:val="22"/>
        </w:rPr>
        <w:t xml:space="preserve">. </w:t>
      </w:r>
      <w:proofErr w:type="spellStart"/>
      <w:r>
        <w:rPr>
          <w:color w:val="1A1A1A"/>
          <w:sz w:val="22"/>
          <w:szCs w:val="22"/>
        </w:rPr>
        <w:t>Vita</w:t>
      </w:r>
      <w:proofErr w:type="spellEnd"/>
      <w:r>
        <w:rPr>
          <w:color w:val="1A1A1A"/>
          <w:sz w:val="22"/>
          <w:szCs w:val="22"/>
        </w:rPr>
        <w:t xml:space="preserve"> </w:t>
      </w:r>
      <w:proofErr w:type="spellStart"/>
      <w:r>
        <w:rPr>
          <w:color w:val="1A1A1A"/>
          <w:sz w:val="22"/>
          <w:szCs w:val="22"/>
        </w:rPr>
        <w:t>contemplativa</w:t>
      </w:r>
      <w:proofErr w:type="spellEnd"/>
      <w:r>
        <w:rPr>
          <w:color w:val="1A1A1A"/>
          <w:sz w:val="22"/>
          <w:szCs w:val="22"/>
        </w:rPr>
        <w:t xml:space="preserve">, </w:t>
      </w:r>
      <w:proofErr w:type="spellStart"/>
      <w:r>
        <w:rPr>
          <w:color w:val="1A1A1A"/>
          <w:sz w:val="22"/>
          <w:szCs w:val="22"/>
        </w:rPr>
        <w:t>ou</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l'inactivité</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Olivier</w:t>
      </w:r>
      <w:proofErr w:type="spellEnd"/>
      <w:r>
        <w:rPr>
          <w:color w:val="1A1A1A"/>
          <w:sz w:val="22"/>
          <w:szCs w:val="22"/>
        </w:rPr>
        <w:t xml:space="preserve"> </w:t>
      </w:r>
      <w:proofErr w:type="spellStart"/>
      <w:r>
        <w:rPr>
          <w:color w:val="1A1A1A"/>
          <w:sz w:val="22"/>
          <w:szCs w:val="22"/>
        </w:rPr>
        <w:t>Mannoni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Actes</w:t>
      </w:r>
      <w:proofErr w:type="spellEnd"/>
      <w:r>
        <w:rPr>
          <w:color w:val="1A1A1A"/>
          <w:sz w:val="22"/>
          <w:szCs w:val="22"/>
        </w:rPr>
        <w:t xml:space="preserve"> </w:t>
      </w:r>
      <w:proofErr w:type="spellStart"/>
      <w:r>
        <w:rPr>
          <w:color w:val="1A1A1A"/>
          <w:sz w:val="22"/>
          <w:szCs w:val="22"/>
        </w:rPr>
        <w:t>Sud</w:t>
      </w:r>
      <w:proofErr w:type="spellEnd"/>
      <w:r>
        <w:rPr>
          <w:color w:val="1A1A1A"/>
          <w:sz w:val="22"/>
          <w:szCs w:val="22"/>
        </w:rPr>
        <w:t>, 2023.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Vita</w:t>
      </w:r>
      <w:proofErr w:type="spellEnd"/>
      <w:r>
        <w:rPr>
          <w:color w:val="1A1A1A"/>
          <w:sz w:val="22"/>
          <w:szCs w:val="22"/>
        </w:rPr>
        <w:t xml:space="preserve"> </w:t>
      </w:r>
      <w:proofErr w:type="spellStart"/>
      <w:r>
        <w:rPr>
          <w:color w:val="1A1A1A"/>
          <w:sz w:val="22"/>
          <w:szCs w:val="22"/>
        </w:rPr>
        <w:t>contemplativa</w:t>
      </w:r>
      <w:proofErr w:type="spellEnd"/>
      <w:r>
        <w:rPr>
          <w:color w:val="1A1A1A"/>
          <w:sz w:val="22"/>
          <w:szCs w:val="22"/>
        </w:rPr>
        <w:t xml:space="preserve"> </w:t>
      </w:r>
      <w:proofErr w:type="spellStart"/>
      <w:r>
        <w:rPr>
          <w:color w:val="1A1A1A"/>
          <w:sz w:val="22"/>
          <w:szCs w:val="22"/>
        </w:rPr>
        <w:t>oder</w:t>
      </w:r>
      <w:proofErr w:type="spellEnd"/>
      <w:r>
        <w:rPr>
          <w:color w:val="1A1A1A"/>
          <w:sz w:val="22"/>
          <w:szCs w:val="22"/>
        </w:rPr>
        <w:t xml:space="preserve"> </w:t>
      </w:r>
      <w:proofErr w:type="spellStart"/>
      <w:r>
        <w:rPr>
          <w:color w:val="1A1A1A"/>
          <w:sz w:val="22"/>
          <w:szCs w:val="22"/>
        </w:rPr>
        <w:t>von</w:t>
      </w:r>
      <w:proofErr w:type="spellEnd"/>
      <w:r>
        <w:rPr>
          <w:color w:val="1A1A1A"/>
          <w:sz w:val="22"/>
          <w:szCs w:val="22"/>
        </w:rPr>
        <w:t xml:space="preserve"> </w:t>
      </w:r>
      <w:proofErr w:type="spellStart"/>
      <w:r>
        <w:rPr>
          <w:color w:val="1A1A1A"/>
          <w:sz w:val="22"/>
          <w:szCs w:val="22"/>
        </w:rPr>
        <w:t>der</w:t>
      </w:r>
      <w:proofErr w:type="spellEnd"/>
      <w:r>
        <w:rPr>
          <w:color w:val="1A1A1A"/>
          <w:sz w:val="22"/>
          <w:szCs w:val="22"/>
        </w:rPr>
        <w:t xml:space="preserve"> </w:t>
      </w:r>
      <w:proofErr w:type="spellStart"/>
      <w:r>
        <w:rPr>
          <w:color w:val="1A1A1A"/>
          <w:sz w:val="22"/>
          <w:szCs w:val="22"/>
        </w:rPr>
        <w:t>Untätigkeit</w:t>
      </w:r>
      <w:proofErr w:type="spellEnd"/>
      <w:r>
        <w:rPr>
          <w:color w:val="1A1A1A"/>
          <w:sz w:val="22"/>
          <w:szCs w:val="22"/>
        </w:rPr>
        <w:t>, 2022).</w:t>
      </w:r>
    </w:p>
    <w:p w14:paraId="694E1F32" w14:textId="77777777" w:rsidR="006E6A4B" w:rsidRDefault="009568D6">
      <w:pPr>
        <w:pStyle w:val="2"/>
        <w:pBdr>
          <w:bottom w:val="single" w:sz="8" w:space="4" w:color="B8860B"/>
        </w:pBdr>
        <w:bidi/>
        <w:spacing w:before="320" w:after="140"/>
        <w:jc w:val="right"/>
        <w:rPr>
          <w:rFonts w:cs="Arial"/>
        </w:rPr>
      </w:pPr>
      <w:r>
        <w:rPr>
          <w:b/>
          <w:bCs/>
          <w:color w:val="0F6B72"/>
        </w:rPr>
        <w:t>ثانياً: مراجع بالعربية لأعمال علم النفس الاستخلافي (النموذج الاستخلافي)</w:t>
      </w:r>
    </w:p>
    <w:p w14:paraId="750FA20B" w14:textId="77777777" w:rsidR="006E6A4B" w:rsidRDefault="009568D6">
      <w:pPr>
        <w:spacing w:after="120"/>
        <w:ind w:left="340" w:hanging="340"/>
        <w:jc w:val="both"/>
        <w:rPr>
          <w:rFonts w:cs="Arial"/>
        </w:rPr>
      </w:pPr>
      <w:r>
        <w:rPr>
          <w:color w:val="1A1A1A"/>
          <w:sz w:val="22"/>
          <w:szCs w:val="22"/>
        </w:rPr>
        <w:t>10. الزراع، عبد السلام. (2026). العلاج بحرث المصالحة التحويلية (TLRT): الدليل النظري والإكلينيكي. (الطبعة التجريبية الأولى).</w:t>
      </w:r>
    </w:p>
    <w:p w14:paraId="73C87AE0" w14:textId="77777777" w:rsidR="006E6A4B" w:rsidRDefault="009568D6">
      <w:pPr>
        <w:spacing w:after="120"/>
        <w:ind w:left="340" w:hanging="340"/>
        <w:jc w:val="both"/>
        <w:rPr>
          <w:rFonts w:cs="Arial"/>
        </w:rPr>
      </w:pPr>
      <w:r>
        <w:rPr>
          <w:color w:val="1A1A1A"/>
          <w:sz w:val="22"/>
          <w:szCs w:val="22"/>
        </w:rPr>
        <w:t>11. الزراع، عبد السلام. (2026). الفصام الأخلاقي ومصدر الأزمات النفسية: قراءة في ضوء نظرية TLRT.</w:t>
      </w:r>
    </w:p>
    <w:p w14:paraId="6D1EDF61" w14:textId="77777777" w:rsidR="006E6A4B" w:rsidRDefault="009568D6">
      <w:pPr>
        <w:spacing w:after="120"/>
        <w:ind w:left="340" w:hanging="340"/>
        <w:jc w:val="both"/>
        <w:rPr>
          <w:rFonts w:cs="Arial"/>
        </w:rPr>
      </w:pPr>
      <w:r>
        <w:rPr>
          <w:color w:val="1A1A1A"/>
          <w:sz w:val="22"/>
          <w:szCs w:val="22"/>
        </w:rPr>
        <w:t>12. الزراع، عبد السلام. (2026). الإنسان المعاصر بين الخوارزمية والوحي. (أطروحة ثالثة).</w:t>
      </w:r>
    </w:p>
    <w:p w14:paraId="546C7DC1" w14:textId="77777777" w:rsidR="006E6A4B" w:rsidRDefault="009568D6">
      <w:pPr>
        <w:spacing w:after="120"/>
        <w:ind w:left="340" w:hanging="340"/>
        <w:jc w:val="both"/>
        <w:rPr>
          <w:rFonts w:cs="Arial"/>
        </w:rPr>
      </w:pPr>
      <w:r>
        <w:rPr>
          <w:color w:val="1A1A1A"/>
          <w:sz w:val="22"/>
          <w:szCs w:val="22"/>
        </w:rPr>
        <w:t>13. الزراع، عبد السلام. (2026). خريطة الأضلاع الثمانية في النموذج الاستخلافي: نحو نظرية موحّدة للنفس.</w:t>
      </w:r>
    </w:p>
    <w:p w14:paraId="61213625" w14:textId="77777777" w:rsidR="006E6A4B" w:rsidRDefault="009568D6">
      <w:pPr>
        <w:pStyle w:val="2"/>
        <w:pBdr>
          <w:bottom w:val="single" w:sz="8" w:space="4" w:color="B8860B"/>
        </w:pBdr>
        <w:bidi/>
        <w:spacing w:before="320" w:after="140"/>
        <w:jc w:val="right"/>
        <w:rPr>
          <w:rFonts w:cs="Arial"/>
        </w:rPr>
      </w:pPr>
      <w:r>
        <w:rPr>
          <w:b/>
          <w:bCs/>
          <w:color w:val="0F6B72"/>
        </w:rPr>
        <w:t>ثالثاً: مراجع عامة</w:t>
      </w:r>
    </w:p>
    <w:p w14:paraId="52270BE5" w14:textId="77777777" w:rsidR="006E6A4B" w:rsidRDefault="009568D6">
      <w:pPr>
        <w:spacing w:after="120"/>
        <w:ind w:left="340" w:hanging="340"/>
        <w:jc w:val="both"/>
        <w:rPr>
          <w:rFonts w:cs="Arial"/>
        </w:rPr>
      </w:pPr>
      <w:r>
        <w:rPr>
          <w:color w:val="1A1A1A"/>
          <w:sz w:val="22"/>
          <w:szCs w:val="22"/>
        </w:rPr>
        <w:t xml:space="preserve">14. </w:t>
      </w:r>
      <w:proofErr w:type="spellStart"/>
      <w:r>
        <w:rPr>
          <w:color w:val="1A1A1A"/>
          <w:sz w:val="22"/>
          <w:szCs w:val="22"/>
        </w:rPr>
        <w:t>Heidegger</w:t>
      </w:r>
      <w:proofErr w:type="spellEnd"/>
      <w:r>
        <w:rPr>
          <w:color w:val="1A1A1A"/>
          <w:sz w:val="22"/>
          <w:szCs w:val="22"/>
        </w:rPr>
        <w:t xml:space="preserve">, </w:t>
      </w:r>
      <w:proofErr w:type="spellStart"/>
      <w:r>
        <w:rPr>
          <w:color w:val="1A1A1A"/>
          <w:sz w:val="22"/>
          <w:szCs w:val="22"/>
        </w:rPr>
        <w:t>Martin</w:t>
      </w:r>
      <w:proofErr w:type="spellEnd"/>
      <w:r>
        <w:rPr>
          <w:color w:val="1A1A1A"/>
          <w:sz w:val="22"/>
          <w:szCs w:val="22"/>
        </w:rPr>
        <w:t xml:space="preserve">. </w:t>
      </w:r>
      <w:proofErr w:type="spellStart"/>
      <w:r>
        <w:rPr>
          <w:color w:val="1A1A1A"/>
          <w:sz w:val="22"/>
          <w:szCs w:val="22"/>
        </w:rPr>
        <w:t>Être</w:t>
      </w:r>
      <w:proofErr w:type="spellEnd"/>
      <w:r>
        <w:rPr>
          <w:color w:val="1A1A1A"/>
          <w:sz w:val="22"/>
          <w:szCs w:val="22"/>
        </w:rPr>
        <w:t xml:space="preserve"> </w:t>
      </w:r>
      <w:proofErr w:type="spellStart"/>
      <w:r>
        <w:rPr>
          <w:color w:val="1A1A1A"/>
          <w:sz w:val="22"/>
          <w:szCs w:val="22"/>
        </w:rPr>
        <w:t>et</w:t>
      </w:r>
      <w:proofErr w:type="spellEnd"/>
      <w:r>
        <w:rPr>
          <w:color w:val="1A1A1A"/>
          <w:sz w:val="22"/>
          <w:szCs w:val="22"/>
        </w:rPr>
        <w:t xml:space="preserve"> </w:t>
      </w:r>
      <w:proofErr w:type="spellStart"/>
      <w:r>
        <w:rPr>
          <w:color w:val="1A1A1A"/>
          <w:sz w:val="22"/>
          <w:szCs w:val="22"/>
        </w:rPr>
        <w:t>Temps</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l'allemand</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Emmanuel</w:t>
      </w:r>
      <w:proofErr w:type="spellEnd"/>
      <w:r>
        <w:rPr>
          <w:color w:val="1A1A1A"/>
          <w:sz w:val="22"/>
          <w:szCs w:val="22"/>
        </w:rPr>
        <w:t xml:space="preserve"> </w:t>
      </w:r>
      <w:proofErr w:type="spellStart"/>
      <w:r>
        <w:rPr>
          <w:color w:val="1A1A1A"/>
          <w:sz w:val="22"/>
          <w:szCs w:val="22"/>
        </w:rPr>
        <w:t>Martineau</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Authentica</w:t>
      </w:r>
      <w:proofErr w:type="spellEnd"/>
      <w:r>
        <w:rPr>
          <w:color w:val="1A1A1A"/>
          <w:sz w:val="22"/>
          <w:szCs w:val="22"/>
        </w:rPr>
        <w:t>, 1985.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Sein</w:t>
      </w:r>
      <w:proofErr w:type="spellEnd"/>
      <w:r>
        <w:rPr>
          <w:color w:val="1A1A1A"/>
          <w:sz w:val="22"/>
          <w:szCs w:val="22"/>
        </w:rPr>
        <w:t xml:space="preserve"> </w:t>
      </w:r>
      <w:proofErr w:type="spellStart"/>
      <w:r>
        <w:rPr>
          <w:color w:val="1A1A1A"/>
          <w:sz w:val="22"/>
          <w:szCs w:val="22"/>
        </w:rPr>
        <w:t>und</w:t>
      </w:r>
      <w:proofErr w:type="spellEnd"/>
      <w:r>
        <w:rPr>
          <w:color w:val="1A1A1A"/>
          <w:sz w:val="22"/>
          <w:szCs w:val="22"/>
        </w:rPr>
        <w:t xml:space="preserve"> </w:t>
      </w:r>
      <w:proofErr w:type="spellStart"/>
      <w:r>
        <w:rPr>
          <w:color w:val="1A1A1A"/>
          <w:sz w:val="22"/>
          <w:szCs w:val="22"/>
        </w:rPr>
        <w:t>Zeit</w:t>
      </w:r>
      <w:proofErr w:type="spellEnd"/>
      <w:r>
        <w:rPr>
          <w:color w:val="1A1A1A"/>
          <w:sz w:val="22"/>
          <w:szCs w:val="22"/>
        </w:rPr>
        <w:t>, 1927).</w:t>
      </w:r>
    </w:p>
    <w:p w14:paraId="3F0043F5" w14:textId="77777777" w:rsidR="006E6A4B" w:rsidRDefault="009568D6">
      <w:pPr>
        <w:spacing w:after="120"/>
        <w:ind w:left="340" w:hanging="340"/>
        <w:jc w:val="both"/>
        <w:rPr>
          <w:rFonts w:cs="Arial"/>
        </w:rPr>
      </w:pPr>
      <w:r>
        <w:rPr>
          <w:color w:val="1A1A1A"/>
          <w:sz w:val="22"/>
          <w:szCs w:val="22"/>
        </w:rPr>
        <w:t xml:space="preserve">15. </w:t>
      </w:r>
      <w:proofErr w:type="spellStart"/>
      <w:r>
        <w:rPr>
          <w:color w:val="1A1A1A"/>
          <w:sz w:val="22"/>
          <w:szCs w:val="22"/>
        </w:rPr>
        <w:t>Zuboff</w:t>
      </w:r>
      <w:proofErr w:type="spellEnd"/>
      <w:r>
        <w:rPr>
          <w:color w:val="1A1A1A"/>
          <w:sz w:val="22"/>
          <w:szCs w:val="22"/>
        </w:rPr>
        <w:t xml:space="preserve">, </w:t>
      </w:r>
      <w:proofErr w:type="spellStart"/>
      <w:r>
        <w:rPr>
          <w:color w:val="1A1A1A"/>
          <w:sz w:val="22"/>
          <w:szCs w:val="22"/>
        </w:rPr>
        <w:t>Shoshana</w:t>
      </w:r>
      <w:proofErr w:type="spellEnd"/>
      <w:r>
        <w:rPr>
          <w:color w:val="1A1A1A"/>
          <w:sz w:val="22"/>
          <w:szCs w:val="22"/>
        </w:rPr>
        <w:t xml:space="preserve">. </w:t>
      </w:r>
      <w:proofErr w:type="spellStart"/>
      <w:r>
        <w:rPr>
          <w:color w:val="1A1A1A"/>
          <w:sz w:val="22"/>
          <w:szCs w:val="22"/>
        </w:rPr>
        <w:t>L'Âge</w:t>
      </w:r>
      <w:proofErr w:type="spellEnd"/>
      <w:r>
        <w:rPr>
          <w:color w:val="1A1A1A"/>
          <w:sz w:val="22"/>
          <w:szCs w:val="22"/>
        </w:rPr>
        <w:t xml:space="preserve"> </w:t>
      </w:r>
      <w:proofErr w:type="spellStart"/>
      <w:r>
        <w:rPr>
          <w:color w:val="1A1A1A"/>
          <w:sz w:val="22"/>
          <w:szCs w:val="22"/>
        </w:rPr>
        <w:t>du</w:t>
      </w:r>
      <w:proofErr w:type="spellEnd"/>
      <w:r>
        <w:rPr>
          <w:color w:val="1A1A1A"/>
          <w:sz w:val="22"/>
          <w:szCs w:val="22"/>
        </w:rPr>
        <w:t xml:space="preserve"> </w:t>
      </w:r>
      <w:proofErr w:type="spellStart"/>
      <w:r>
        <w:rPr>
          <w:color w:val="1A1A1A"/>
          <w:sz w:val="22"/>
          <w:szCs w:val="22"/>
        </w:rPr>
        <w:t>capitalisme</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surveillance</w:t>
      </w:r>
      <w:proofErr w:type="spellEnd"/>
      <w:r>
        <w:rPr>
          <w:color w:val="1A1A1A"/>
          <w:sz w:val="22"/>
          <w:szCs w:val="22"/>
        </w:rPr>
        <w:t xml:space="preserve"> : </w:t>
      </w:r>
      <w:proofErr w:type="spellStart"/>
      <w:r>
        <w:rPr>
          <w:color w:val="1A1A1A"/>
          <w:sz w:val="22"/>
          <w:szCs w:val="22"/>
        </w:rPr>
        <w:t>Le</w:t>
      </w:r>
      <w:proofErr w:type="spellEnd"/>
      <w:r>
        <w:rPr>
          <w:color w:val="1A1A1A"/>
          <w:sz w:val="22"/>
          <w:szCs w:val="22"/>
        </w:rPr>
        <w:t xml:space="preserve"> </w:t>
      </w:r>
      <w:proofErr w:type="spellStart"/>
      <w:r>
        <w:rPr>
          <w:color w:val="1A1A1A"/>
          <w:sz w:val="22"/>
          <w:szCs w:val="22"/>
        </w:rPr>
        <w:t>combat</w:t>
      </w:r>
      <w:proofErr w:type="spellEnd"/>
      <w:r>
        <w:rPr>
          <w:color w:val="1A1A1A"/>
          <w:sz w:val="22"/>
          <w:szCs w:val="22"/>
        </w:rPr>
        <w:t xml:space="preserve"> </w:t>
      </w:r>
      <w:proofErr w:type="spellStart"/>
      <w:r>
        <w:rPr>
          <w:color w:val="1A1A1A"/>
          <w:sz w:val="22"/>
          <w:szCs w:val="22"/>
        </w:rPr>
        <w:t>pour</w:t>
      </w:r>
      <w:proofErr w:type="spellEnd"/>
      <w:r>
        <w:rPr>
          <w:color w:val="1A1A1A"/>
          <w:sz w:val="22"/>
          <w:szCs w:val="22"/>
        </w:rPr>
        <w:t xml:space="preserve"> </w:t>
      </w:r>
      <w:proofErr w:type="spellStart"/>
      <w:r>
        <w:rPr>
          <w:color w:val="1A1A1A"/>
          <w:sz w:val="22"/>
          <w:szCs w:val="22"/>
        </w:rPr>
        <w:t>un</w:t>
      </w:r>
      <w:proofErr w:type="spellEnd"/>
      <w:r>
        <w:rPr>
          <w:color w:val="1A1A1A"/>
          <w:sz w:val="22"/>
          <w:szCs w:val="22"/>
        </w:rPr>
        <w:t xml:space="preserve"> </w:t>
      </w:r>
      <w:proofErr w:type="spellStart"/>
      <w:r>
        <w:rPr>
          <w:color w:val="1A1A1A"/>
          <w:sz w:val="22"/>
          <w:szCs w:val="22"/>
        </w:rPr>
        <w:t>avenir</w:t>
      </w:r>
      <w:proofErr w:type="spellEnd"/>
      <w:r>
        <w:rPr>
          <w:color w:val="1A1A1A"/>
          <w:sz w:val="22"/>
          <w:szCs w:val="22"/>
        </w:rPr>
        <w:t xml:space="preserve"> </w:t>
      </w:r>
      <w:proofErr w:type="spellStart"/>
      <w:r>
        <w:rPr>
          <w:color w:val="1A1A1A"/>
          <w:sz w:val="22"/>
          <w:szCs w:val="22"/>
        </w:rPr>
        <w:t>humain</w:t>
      </w:r>
      <w:proofErr w:type="spellEnd"/>
      <w:r>
        <w:rPr>
          <w:color w:val="1A1A1A"/>
          <w:sz w:val="22"/>
          <w:szCs w:val="22"/>
        </w:rPr>
        <w:t xml:space="preserve"> </w:t>
      </w:r>
      <w:proofErr w:type="spellStart"/>
      <w:r>
        <w:rPr>
          <w:color w:val="1A1A1A"/>
          <w:sz w:val="22"/>
          <w:szCs w:val="22"/>
        </w:rPr>
        <w:t>face</w:t>
      </w:r>
      <w:proofErr w:type="spellEnd"/>
      <w:r>
        <w:rPr>
          <w:color w:val="1A1A1A"/>
          <w:sz w:val="22"/>
          <w:szCs w:val="22"/>
        </w:rPr>
        <w:t xml:space="preserve"> </w:t>
      </w:r>
      <w:proofErr w:type="spellStart"/>
      <w:r>
        <w:rPr>
          <w:color w:val="1A1A1A"/>
          <w:sz w:val="22"/>
          <w:szCs w:val="22"/>
        </w:rPr>
        <w:t>aux</w:t>
      </w:r>
      <w:proofErr w:type="spellEnd"/>
      <w:r>
        <w:rPr>
          <w:color w:val="1A1A1A"/>
          <w:sz w:val="22"/>
          <w:szCs w:val="22"/>
        </w:rPr>
        <w:t xml:space="preserve"> </w:t>
      </w:r>
      <w:proofErr w:type="spellStart"/>
      <w:r>
        <w:rPr>
          <w:color w:val="1A1A1A"/>
          <w:sz w:val="22"/>
          <w:szCs w:val="22"/>
        </w:rPr>
        <w:t>nouvelles</w:t>
      </w:r>
      <w:proofErr w:type="spellEnd"/>
      <w:r>
        <w:rPr>
          <w:color w:val="1A1A1A"/>
          <w:sz w:val="22"/>
          <w:szCs w:val="22"/>
        </w:rPr>
        <w:t xml:space="preserve"> </w:t>
      </w:r>
      <w:proofErr w:type="spellStart"/>
      <w:r>
        <w:rPr>
          <w:color w:val="1A1A1A"/>
          <w:sz w:val="22"/>
          <w:szCs w:val="22"/>
        </w:rPr>
        <w:t>frontières</w:t>
      </w:r>
      <w:proofErr w:type="spellEnd"/>
      <w:r>
        <w:rPr>
          <w:color w:val="1A1A1A"/>
          <w:sz w:val="22"/>
          <w:szCs w:val="22"/>
        </w:rPr>
        <w:t xml:space="preserve"> </w:t>
      </w:r>
      <w:proofErr w:type="spellStart"/>
      <w:r>
        <w:rPr>
          <w:color w:val="1A1A1A"/>
          <w:sz w:val="22"/>
          <w:szCs w:val="22"/>
        </w:rPr>
        <w:t>du</w:t>
      </w:r>
      <w:proofErr w:type="spellEnd"/>
      <w:r>
        <w:rPr>
          <w:color w:val="1A1A1A"/>
          <w:sz w:val="22"/>
          <w:szCs w:val="22"/>
        </w:rPr>
        <w:t xml:space="preserve"> </w:t>
      </w:r>
      <w:proofErr w:type="spellStart"/>
      <w:r>
        <w:rPr>
          <w:color w:val="1A1A1A"/>
          <w:sz w:val="22"/>
          <w:szCs w:val="22"/>
        </w:rPr>
        <w:t>pouvoir</w:t>
      </w:r>
      <w:proofErr w:type="spellEnd"/>
      <w:r>
        <w:rPr>
          <w:color w:val="1A1A1A"/>
          <w:sz w:val="22"/>
          <w:szCs w:val="22"/>
        </w:rPr>
        <w:t xml:space="preserve"> (</w:t>
      </w:r>
      <w:proofErr w:type="spellStart"/>
      <w:r>
        <w:rPr>
          <w:color w:val="1A1A1A"/>
          <w:sz w:val="22"/>
          <w:szCs w:val="22"/>
        </w:rPr>
        <w:t>trad</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l'anglais</w:t>
      </w:r>
      <w:proofErr w:type="spellEnd"/>
      <w:r>
        <w:rPr>
          <w:color w:val="1A1A1A"/>
          <w:sz w:val="22"/>
          <w:szCs w:val="22"/>
        </w:rPr>
        <w:t xml:space="preserve"> </w:t>
      </w:r>
      <w:proofErr w:type="spellStart"/>
      <w:r>
        <w:rPr>
          <w:color w:val="1A1A1A"/>
          <w:sz w:val="22"/>
          <w:szCs w:val="22"/>
        </w:rPr>
        <w:t>par</w:t>
      </w:r>
      <w:proofErr w:type="spellEnd"/>
      <w:r>
        <w:rPr>
          <w:color w:val="1A1A1A"/>
          <w:sz w:val="22"/>
          <w:szCs w:val="22"/>
        </w:rPr>
        <w:t xml:space="preserve"> </w:t>
      </w:r>
      <w:proofErr w:type="spellStart"/>
      <w:r>
        <w:rPr>
          <w:color w:val="1A1A1A"/>
          <w:sz w:val="22"/>
          <w:szCs w:val="22"/>
        </w:rPr>
        <w:t>Bee</w:t>
      </w:r>
      <w:proofErr w:type="spellEnd"/>
      <w:r>
        <w:rPr>
          <w:color w:val="1A1A1A"/>
          <w:sz w:val="22"/>
          <w:szCs w:val="22"/>
        </w:rPr>
        <w:t xml:space="preserve"> </w:t>
      </w:r>
      <w:proofErr w:type="spellStart"/>
      <w:r>
        <w:rPr>
          <w:color w:val="1A1A1A"/>
          <w:sz w:val="22"/>
          <w:szCs w:val="22"/>
        </w:rPr>
        <w:t>Formentelli</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Éditions</w:t>
      </w:r>
      <w:proofErr w:type="spellEnd"/>
      <w:r>
        <w:rPr>
          <w:color w:val="1A1A1A"/>
          <w:sz w:val="22"/>
          <w:szCs w:val="22"/>
        </w:rPr>
        <w:t xml:space="preserve"> </w:t>
      </w:r>
      <w:proofErr w:type="spellStart"/>
      <w:r>
        <w:rPr>
          <w:color w:val="1A1A1A"/>
          <w:sz w:val="22"/>
          <w:szCs w:val="22"/>
        </w:rPr>
        <w:t>Zulma</w:t>
      </w:r>
      <w:proofErr w:type="spellEnd"/>
      <w:r>
        <w:rPr>
          <w:color w:val="1A1A1A"/>
          <w:sz w:val="22"/>
          <w:szCs w:val="22"/>
        </w:rPr>
        <w:t>, 2020. (</w:t>
      </w:r>
      <w:proofErr w:type="spellStart"/>
      <w:r>
        <w:rPr>
          <w:color w:val="1A1A1A"/>
          <w:sz w:val="22"/>
          <w:szCs w:val="22"/>
        </w:rPr>
        <w:t>Original</w:t>
      </w:r>
      <w:proofErr w:type="spellEnd"/>
      <w:r>
        <w:rPr>
          <w:color w:val="1A1A1A"/>
          <w:sz w:val="22"/>
          <w:szCs w:val="22"/>
        </w:rPr>
        <w:t xml:space="preserve"> :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Age</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Surveillance</w:t>
      </w:r>
      <w:proofErr w:type="spellEnd"/>
      <w:r>
        <w:rPr>
          <w:color w:val="1A1A1A"/>
          <w:sz w:val="22"/>
          <w:szCs w:val="22"/>
        </w:rPr>
        <w:t xml:space="preserve"> </w:t>
      </w:r>
      <w:proofErr w:type="spellStart"/>
      <w:r>
        <w:rPr>
          <w:color w:val="1A1A1A"/>
          <w:sz w:val="22"/>
          <w:szCs w:val="22"/>
        </w:rPr>
        <w:t>Capitalism</w:t>
      </w:r>
      <w:proofErr w:type="spellEnd"/>
      <w:r>
        <w:rPr>
          <w:color w:val="1A1A1A"/>
          <w:sz w:val="22"/>
          <w:szCs w:val="22"/>
        </w:rPr>
        <w:t>, 2019).</w:t>
      </w:r>
    </w:p>
    <w:p w14:paraId="083BD9D6" w14:textId="77777777" w:rsidR="006E6A4B" w:rsidRDefault="009568D6">
      <w:pPr>
        <w:spacing w:after="120"/>
        <w:ind w:left="340" w:hanging="340"/>
        <w:jc w:val="both"/>
        <w:rPr>
          <w:rFonts w:cs="Arial"/>
        </w:rPr>
      </w:pPr>
      <w:r>
        <w:rPr>
          <w:color w:val="1A1A1A"/>
          <w:sz w:val="22"/>
          <w:szCs w:val="22"/>
        </w:rPr>
        <w:t xml:space="preserve">16. </w:t>
      </w:r>
      <w:proofErr w:type="spellStart"/>
      <w:r>
        <w:rPr>
          <w:color w:val="1A1A1A"/>
          <w:sz w:val="22"/>
          <w:szCs w:val="22"/>
        </w:rPr>
        <w:t>Foucault</w:t>
      </w:r>
      <w:proofErr w:type="spellEnd"/>
      <w:r>
        <w:rPr>
          <w:color w:val="1A1A1A"/>
          <w:sz w:val="22"/>
          <w:szCs w:val="22"/>
        </w:rPr>
        <w:t xml:space="preserve">, </w:t>
      </w:r>
      <w:proofErr w:type="spellStart"/>
      <w:r>
        <w:rPr>
          <w:color w:val="1A1A1A"/>
          <w:sz w:val="22"/>
          <w:szCs w:val="22"/>
        </w:rPr>
        <w:t>Michel</w:t>
      </w:r>
      <w:proofErr w:type="spellEnd"/>
      <w:r>
        <w:rPr>
          <w:color w:val="1A1A1A"/>
          <w:sz w:val="22"/>
          <w:szCs w:val="22"/>
        </w:rPr>
        <w:t xml:space="preserve">. </w:t>
      </w:r>
      <w:proofErr w:type="spellStart"/>
      <w:r>
        <w:rPr>
          <w:color w:val="1A1A1A"/>
          <w:sz w:val="22"/>
          <w:szCs w:val="22"/>
        </w:rPr>
        <w:t>Surveiller</w:t>
      </w:r>
      <w:proofErr w:type="spellEnd"/>
      <w:r>
        <w:rPr>
          <w:color w:val="1A1A1A"/>
          <w:sz w:val="22"/>
          <w:szCs w:val="22"/>
        </w:rPr>
        <w:t xml:space="preserve"> </w:t>
      </w:r>
      <w:proofErr w:type="spellStart"/>
      <w:r>
        <w:rPr>
          <w:color w:val="1A1A1A"/>
          <w:sz w:val="22"/>
          <w:szCs w:val="22"/>
        </w:rPr>
        <w:t>et</w:t>
      </w:r>
      <w:proofErr w:type="spellEnd"/>
      <w:r>
        <w:rPr>
          <w:color w:val="1A1A1A"/>
          <w:sz w:val="22"/>
          <w:szCs w:val="22"/>
        </w:rPr>
        <w:t xml:space="preserve"> </w:t>
      </w:r>
      <w:proofErr w:type="spellStart"/>
      <w:r>
        <w:rPr>
          <w:color w:val="1A1A1A"/>
          <w:sz w:val="22"/>
          <w:szCs w:val="22"/>
        </w:rPr>
        <w:t>punir</w:t>
      </w:r>
      <w:proofErr w:type="spellEnd"/>
      <w:r>
        <w:rPr>
          <w:color w:val="1A1A1A"/>
          <w:sz w:val="22"/>
          <w:szCs w:val="22"/>
        </w:rPr>
        <w:t xml:space="preserve"> : </w:t>
      </w:r>
      <w:proofErr w:type="spellStart"/>
      <w:r>
        <w:rPr>
          <w:color w:val="1A1A1A"/>
          <w:sz w:val="22"/>
          <w:szCs w:val="22"/>
        </w:rPr>
        <w:t>naissance</w:t>
      </w:r>
      <w:proofErr w:type="spellEnd"/>
      <w:r>
        <w:rPr>
          <w:color w:val="1A1A1A"/>
          <w:sz w:val="22"/>
          <w:szCs w:val="22"/>
        </w:rPr>
        <w:t xml:space="preserve"> </w:t>
      </w:r>
      <w:proofErr w:type="spellStart"/>
      <w:r>
        <w:rPr>
          <w:color w:val="1A1A1A"/>
          <w:sz w:val="22"/>
          <w:szCs w:val="22"/>
        </w:rPr>
        <w:t>de</w:t>
      </w:r>
      <w:proofErr w:type="spellEnd"/>
      <w:r>
        <w:rPr>
          <w:color w:val="1A1A1A"/>
          <w:sz w:val="22"/>
          <w:szCs w:val="22"/>
        </w:rPr>
        <w:t xml:space="preserve"> </w:t>
      </w:r>
      <w:proofErr w:type="spellStart"/>
      <w:r>
        <w:rPr>
          <w:color w:val="1A1A1A"/>
          <w:sz w:val="22"/>
          <w:szCs w:val="22"/>
        </w:rPr>
        <w:t>la</w:t>
      </w:r>
      <w:proofErr w:type="spellEnd"/>
      <w:r>
        <w:rPr>
          <w:color w:val="1A1A1A"/>
          <w:sz w:val="22"/>
          <w:szCs w:val="22"/>
        </w:rPr>
        <w:t xml:space="preserve"> </w:t>
      </w:r>
      <w:proofErr w:type="spellStart"/>
      <w:r>
        <w:rPr>
          <w:color w:val="1A1A1A"/>
          <w:sz w:val="22"/>
          <w:szCs w:val="22"/>
        </w:rPr>
        <w:t>prison</w:t>
      </w:r>
      <w:proofErr w:type="spellEnd"/>
      <w:r>
        <w:rPr>
          <w:color w:val="1A1A1A"/>
          <w:sz w:val="22"/>
          <w:szCs w:val="22"/>
        </w:rPr>
        <w:t xml:space="preserve">. </w:t>
      </w:r>
      <w:proofErr w:type="spellStart"/>
      <w:r>
        <w:rPr>
          <w:color w:val="1A1A1A"/>
          <w:sz w:val="22"/>
          <w:szCs w:val="22"/>
        </w:rPr>
        <w:t>Paris</w:t>
      </w:r>
      <w:proofErr w:type="spellEnd"/>
      <w:r>
        <w:rPr>
          <w:color w:val="1A1A1A"/>
          <w:sz w:val="22"/>
          <w:szCs w:val="22"/>
        </w:rPr>
        <w:t xml:space="preserve">: </w:t>
      </w:r>
      <w:proofErr w:type="spellStart"/>
      <w:r>
        <w:rPr>
          <w:color w:val="1A1A1A"/>
          <w:sz w:val="22"/>
          <w:szCs w:val="22"/>
        </w:rPr>
        <w:t>Gallimard</w:t>
      </w:r>
      <w:proofErr w:type="spellEnd"/>
      <w:r>
        <w:rPr>
          <w:color w:val="1A1A1A"/>
          <w:sz w:val="22"/>
          <w:szCs w:val="22"/>
        </w:rPr>
        <w:t>, 1975.</w:t>
      </w:r>
    </w:p>
    <w:p w14:paraId="7B209352" w14:textId="77777777" w:rsidR="006E6A4B" w:rsidRDefault="009568D6">
      <w:pPr>
        <w:spacing w:after="120"/>
        <w:ind w:left="340" w:hanging="340"/>
        <w:jc w:val="both"/>
        <w:rPr>
          <w:rFonts w:cs="Arial"/>
        </w:rPr>
      </w:pPr>
      <w:r>
        <w:rPr>
          <w:color w:val="1A1A1A"/>
          <w:sz w:val="22"/>
          <w:szCs w:val="22"/>
        </w:rPr>
        <w:t xml:space="preserve">17. </w:t>
      </w:r>
      <w:proofErr w:type="spellStart"/>
      <w:r>
        <w:rPr>
          <w:color w:val="1A1A1A"/>
          <w:sz w:val="22"/>
          <w:szCs w:val="22"/>
        </w:rPr>
        <w:t>Tedeschi</w:t>
      </w:r>
      <w:proofErr w:type="spellEnd"/>
      <w:r>
        <w:rPr>
          <w:color w:val="1A1A1A"/>
          <w:sz w:val="22"/>
          <w:szCs w:val="22"/>
        </w:rPr>
        <w:t xml:space="preserve">, </w:t>
      </w:r>
      <w:proofErr w:type="spellStart"/>
      <w:r>
        <w:rPr>
          <w:color w:val="1A1A1A"/>
          <w:sz w:val="22"/>
          <w:szCs w:val="22"/>
        </w:rPr>
        <w:t>Richard</w:t>
      </w:r>
      <w:proofErr w:type="spellEnd"/>
      <w:r>
        <w:rPr>
          <w:color w:val="1A1A1A"/>
          <w:sz w:val="22"/>
          <w:szCs w:val="22"/>
        </w:rPr>
        <w:t xml:space="preserve"> G. &amp; </w:t>
      </w:r>
      <w:proofErr w:type="spellStart"/>
      <w:r>
        <w:rPr>
          <w:color w:val="1A1A1A"/>
          <w:sz w:val="22"/>
          <w:szCs w:val="22"/>
        </w:rPr>
        <w:t>Calhoun</w:t>
      </w:r>
      <w:proofErr w:type="spellEnd"/>
      <w:r>
        <w:rPr>
          <w:color w:val="1A1A1A"/>
          <w:sz w:val="22"/>
          <w:szCs w:val="22"/>
        </w:rPr>
        <w:t xml:space="preserve">, </w:t>
      </w:r>
      <w:proofErr w:type="spellStart"/>
      <w:r>
        <w:rPr>
          <w:color w:val="1A1A1A"/>
          <w:sz w:val="22"/>
          <w:szCs w:val="22"/>
        </w:rPr>
        <w:t>Lawrence</w:t>
      </w:r>
      <w:proofErr w:type="spellEnd"/>
      <w:r>
        <w:rPr>
          <w:color w:val="1A1A1A"/>
          <w:sz w:val="22"/>
          <w:szCs w:val="22"/>
        </w:rPr>
        <w:t xml:space="preserve"> G. </w:t>
      </w:r>
      <w:proofErr w:type="spellStart"/>
      <w:r>
        <w:rPr>
          <w:color w:val="1A1A1A"/>
          <w:sz w:val="22"/>
          <w:szCs w:val="22"/>
        </w:rPr>
        <w:t>Posttraumatic</w:t>
      </w:r>
      <w:proofErr w:type="spellEnd"/>
      <w:r>
        <w:rPr>
          <w:color w:val="1A1A1A"/>
          <w:sz w:val="22"/>
          <w:szCs w:val="22"/>
        </w:rPr>
        <w:t xml:space="preserve"> </w:t>
      </w:r>
      <w:proofErr w:type="spellStart"/>
      <w:r>
        <w:rPr>
          <w:color w:val="1A1A1A"/>
          <w:sz w:val="22"/>
          <w:szCs w:val="22"/>
        </w:rPr>
        <w:t>Growth</w:t>
      </w:r>
      <w:proofErr w:type="spellEnd"/>
      <w:r>
        <w:rPr>
          <w:color w:val="1A1A1A"/>
          <w:sz w:val="22"/>
          <w:szCs w:val="22"/>
        </w:rPr>
        <w:t xml:space="preserve">: </w:t>
      </w:r>
      <w:proofErr w:type="spellStart"/>
      <w:r>
        <w:rPr>
          <w:color w:val="1A1A1A"/>
          <w:sz w:val="22"/>
          <w:szCs w:val="22"/>
        </w:rPr>
        <w:t>Theory</w:t>
      </w:r>
      <w:proofErr w:type="spellEnd"/>
      <w:r>
        <w:rPr>
          <w:color w:val="1A1A1A"/>
          <w:sz w:val="22"/>
          <w:szCs w:val="22"/>
        </w:rPr>
        <w:t xml:space="preserve">, </w:t>
      </w:r>
      <w:proofErr w:type="spellStart"/>
      <w:r>
        <w:rPr>
          <w:color w:val="1A1A1A"/>
          <w:sz w:val="22"/>
          <w:szCs w:val="22"/>
        </w:rPr>
        <w:t>Research</w:t>
      </w:r>
      <w:proofErr w:type="spellEnd"/>
      <w:r>
        <w:rPr>
          <w:color w:val="1A1A1A"/>
          <w:sz w:val="22"/>
          <w:szCs w:val="22"/>
        </w:rPr>
        <w:t xml:space="preserve">, </w:t>
      </w:r>
      <w:proofErr w:type="spellStart"/>
      <w:r>
        <w:rPr>
          <w:color w:val="1A1A1A"/>
          <w:sz w:val="22"/>
          <w:szCs w:val="22"/>
        </w:rPr>
        <w:t>and</w:t>
      </w:r>
      <w:proofErr w:type="spellEnd"/>
      <w:r>
        <w:rPr>
          <w:color w:val="1A1A1A"/>
          <w:sz w:val="22"/>
          <w:szCs w:val="22"/>
        </w:rPr>
        <w:t xml:space="preserve"> </w:t>
      </w:r>
      <w:proofErr w:type="spellStart"/>
      <w:r>
        <w:rPr>
          <w:color w:val="1A1A1A"/>
          <w:sz w:val="22"/>
          <w:szCs w:val="22"/>
        </w:rPr>
        <w:t>Applications</w:t>
      </w:r>
      <w:proofErr w:type="spellEnd"/>
      <w:r>
        <w:rPr>
          <w:color w:val="1A1A1A"/>
          <w:sz w:val="22"/>
          <w:szCs w:val="22"/>
        </w:rPr>
        <w:t xml:space="preserve">. </w:t>
      </w:r>
      <w:proofErr w:type="spellStart"/>
      <w:r>
        <w:rPr>
          <w:color w:val="1A1A1A"/>
          <w:sz w:val="22"/>
          <w:szCs w:val="22"/>
        </w:rPr>
        <w:t>New</w:t>
      </w:r>
      <w:proofErr w:type="spellEnd"/>
      <w:r>
        <w:rPr>
          <w:color w:val="1A1A1A"/>
          <w:sz w:val="22"/>
          <w:szCs w:val="22"/>
        </w:rPr>
        <w:t xml:space="preserve"> </w:t>
      </w:r>
      <w:proofErr w:type="spellStart"/>
      <w:r>
        <w:rPr>
          <w:color w:val="1A1A1A"/>
          <w:sz w:val="22"/>
          <w:szCs w:val="22"/>
        </w:rPr>
        <w:t>York</w:t>
      </w:r>
      <w:proofErr w:type="spellEnd"/>
      <w:r>
        <w:rPr>
          <w:color w:val="1A1A1A"/>
          <w:sz w:val="22"/>
          <w:szCs w:val="22"/>
        </w:rPr>
        <w:t xml:space="preserve">: </w:t>
      </w:r>
      <w:proofErr w:type="spellStart"/>
      <w:r>
        <w:rPr>
          <w:color w:val="1A1A1A"/>
          <w:sz w:val="22"/>
          <w:szCs w:val="22"/>
        </w:rPr>
        <w:t>Routledge</w:t>
      </w:r>
      <w:proofErr w:type="spellEnd"/>
      <w:r>
        <w:rPr>
          <w:color w:val="1A1A1A"/>
          <w:sz w:val="22"/>
          <w:szCs w:val="22"/>
        </w:rPr>
        <w:t>, 2018.</w:t>
      </w:r>
    </w:p>
    <w:sectPr w:rsidR="006E6A4B">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B04B7"/>
    <w:multiLevelType w:val="hybridMultilevel"/>
    <w:tmpl w:val="FFFFFFFF"/>
    <w:lvl w:ilvl="0" w:tplc="3E0CB8AA">
      <w:start w:val="1"/>
      <w:numFmt w:val="bullet"/>
      <w:lvlText w:val="•"/>
      <w:lvlJc w:val="right"/>
      <w:pPr>
        <w:ind w:right="340" w:hanging="340"/>
      </w:pPr>
    </w:lvl>
    <w:lvl w:ilvl="1" w:tplc="E884A994">
      <w:numFmt w:val="decimal"/>
      <w:lvlText w:val=""/>
      <w:lvlJc w:val="left"/>
    </w:lvl>
    <w:lvl w:ilvl="2" w:tplc="279AC3E2">
      <w:numFmt w:val="decimal"/>
      <w:lvlText w:val=""/>
      <w:lvlJc w:val="left"/>
    </w:lvl>
    <w:lvl w:ilvl="3" w:tplc="31CA9F42">
      <w:numFmt w:val="decimal"/>
      <w:lvlText w:val=""/>
      <w:lvlJc w:val="left"/>
    </w:lvl>
    <w:lvl w:ilvl="4" w:tplc="53741AEA">
      <w:numFmt w:val="decimal"/>
      <w:lvlText w:val=""/>
      <w:lvlJc w:val="left"/>
    </w:lvl>
    <w:lvl w:ilvl="5" w:tplc="CDCA3CDE">
      <w:numFmt w:val="decimal"/>
      <w:lvlText w:val=""/>
      <w:lvlJc w:val="left"/>
    </w:lvl>
    <w:lvl w:ilvl="6" w:tplc="9560FCE8">
      <w:numFmt w:val="decimal"/>
      <w:lvlText w:val=""/>
      <w:lvlJc w:val="left"/>
    </w:lvl>
    <w:lvl w:ilvl="7" w:tplc="E1B2F2C0">
      <w:numFmt w:val="decimal"/>
      <w:lvlText w:val=""/>
      <w:lvlJc w:val="left"/>
    </w:lvl>
    <w:lvl w:ilvl="8" w:tplc="5DC2694C">
      <w:numFmt w:val="decimal"/>
      <w:lvlText w:val=""/>
      <w:lvlJc w:val="left"/>
    </w:lvl>
  </w:abstractNum>
  <w:abstractNum w:abstractNumId="1" w15:restartNumberingAfterBreak="0">
    <w:nsid w:val="4A00289C"/>
    <w:multiLevelType w:val="hybridMultilevel"/>
    <w:tmpl w:val="FFFFFFFF"/>
    <w:lvl w:ilvl="0" w:tplc="4886B212">
      <w:start w:val="1"/>
      <w:numFmt w:val="bullet"/>
      <w:lvlText w:val="●"/>
      <w:lvlJc w:val="left"/>
      <w:pPr>
        <w:ind w:left="720" w:hanging="360"/>
      </w:pPr>
    </w:lvl>
    <w:lvl w:ilvl="1" w:tplc="077C8B90">
      <w:start w:val="1"/>
      <w:numFmt w:val="bullet"/>
      <w:lvlText w:val="○"/>
      <w:lvlJc w:val="left"/>
      <w:pPr>
        <w:ind w:left="1440" w:hanging="360"/>
      </w:pPr>
    </w:lvl>
    <w:lvl w:ilvl="2" w:tplc="99FCD540">
      <w:start w:val="1"/>
      <w:numFmt w:val="bullet"/>
      <w:lvlText w:val="■"/>
      <w:lvlJc w:val="left"/>
      <w:pPr>
        <w:ind w:left="2160" w:hanging="360"/>
      </w:pPr>
    </w:lvl>
    <w:lvl w:ilvl="3" w:tplc="8B2A5CD2">
      <w:start w:val="1"/>
      <w:numFmt w:val="bullet"/>
      <w:lvlText w:val="●"/>
      <w:lvlJc w:val="left"/>
      <w:pPr>
        <w:ind w:left="2880" w:hanging="360"/>
      </w:pPr>
    </w:lvl>
    <w:lvl w:ilvl="4" w:tplc="5A54E008">
      <w:start w:val="1"/>
      <w:numFmt w:val="bullet"/>
      <w:lvlText w:val="○"/>
      <w:lvlJc w:val="left"/>
      <w:pPr>
        <w:ind w:left="3600" w:hanging="360"/>
      </w:pPr>
    </w:lvl>
    <w:lvl w:ilvl="5" w:tplc="4F503ED8">
      <w:start w:val="1"/>
      <w:numFmt w:val="bullet"/>
      <w:lvlText w:val="■"/>
      <w:lvlJc w:val="left"/>
      <w:pPr>
        <w:ind w:left="4320" w:hanging="360"/>
      </w:pPr>
    </w:lvl>
    <w:lvl w:ilvl="6" w:tplc="4D029EC2">
      <w:start w:val="1"/>
      <w:numFmt w:val="bullet"/>
      <w:lvlText w:val="●"/>
      <w:lvlJc w:val="left"/>
      <w:pPr>
        <w:ind w:left="5040" w:hanging="360"/>
      </w:pPr>
    </w:lvl>
    <w:lvl w:ilvl="7" w:tplc="08D2A27C">
      <w:start w:val="1"/>
      <w:numFmt w:val="bullet"/>
      <w:lvlText w:val="●"/>
      <w:lvlJc w:val="left"/>
      <w:pPr>
        <w:ind w:left="5760" w:hanging="360"/>
      </w:pPr>
    </w:lvl>
    <w:lvl w:ilvl="8" w:tplc="17C078EA">
      <w:start w:val="1"/>
      <w:numFmt w:val="bullet"/>
      <w:lvlText w:val="●"/>
      <w:lvlJc w:val="left"/>
      <w:pPr>
        <w:ind w:left="6480" w:hanging="360"/>
      </w:pPr>
    </w:lvl>
  </w:abstractNum>
  <w:num w:numId="1" w16cid:durableId="732241243">
    <w:abstractNumId w:val="1"/>
    <w:lvlOverride w:ilvl="0">
      <w:startOverride w:val="1"/>
    </w:lvlOverride>
  </w:num>
  <w:num w:numId="2" w16cid:durableId="13644808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4B"/>
    <w:rsid w:val="00147C9E"/>
    <w:rsid w:val="00463DCD"/>
    <w:rsid w:val="006E6A4B"/>
    <w:rsid w:val="00810815"/>
    <w:rsid w:val="00837C57"/>
    <w:rsid w:val="008572C2"/>
    <w:rsid w:val="009568D6"/>
    <w:rsid w:val="00B75F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5315879"/>
  <w15:docId w15:val="{6ACB6966-FB9B-B64D-B63A-FE54D803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4089</Words>
  <Characters>23308</Characters>
  <Application>Microsoft Office Word</Application>
  <DocSecurity>0</DocSecurity>
  <Lines>194</Lines>
  <Paragraphs>54</Paragraphs>
  <ScaleCrop>false</ScaleCrop>
  <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2026-08-23T12:51:00Z</dcterms:created>
  <dcterms:modified xsi:type="dcterms:W3CDTF">2026-08-23T15:12:00Z</dcterms:modified>
</cp:coreProperties>
</file>