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759BA" w14:textId="77777777" w:rsidR="00EC28FF" w:rsidRDefault="00CC34FE">
      <w:pPr>
        <w:pBdr>
          <w:top w:val="single" w:sz="18" w:space="0" w:color="B8862B"/>
          <w:left w:val="single" w:sz="18" w:space="0" w:color="B8862B"/>
          <w:bottom w:val="single" w:sz="18" w:space="0" w:color="B8862B"/>
          <w:right w:val="single" w:sz="18" w:space="0" w:color="B8862B"/>
        </w:pBdr>
        <w:shd w:val="clear" w:color="auto" w:fill="F6ECCF"/>
        <w:spacing w:before="200" w:after="120"/>
        <w:jc w:val="center"/>
        <w:rPr>
          <w:rFonts w:cs="Arial"/>
        </w:rPr>
      </w:pPr>
      <w:r>
        <w:rPr>
          <w:b/>
          <w:bCs/>
          <w:color w:val="0F2A4A"/>
          <w:sz w:val="40"/>
          <w:szCs w:val="40"/>
        </w:rPr>
        <w:t>من “الرذيلة الأخلاقية” إلى “الاعتداء البنيوي على الفطرة”</w:t>
      </w:r>
    </w:p>
    <w:p w14:paraId="1DEA1694" w14:textId="705EE804" w:rsidR="00EC28FF" w:rsidRDefault="00CC34FE">
      <w:pPr>
        <w:pBdr>
          <w:left w:val="single" w:sz="18" w:space="0" w:color="B8862B"/>
          <w:bottom w:val="single" w:sz="18" w:space="0" w:color="B8862B"/>
          <w:right w:val="single" w:sz="18" w:space="0" w:color="B8862B"/>
        </w:pBdr>
        <w:shd w:val="clear" w:color="auto" w:fill="F6ECCF"/>
        <w:spacing w:before="120" w:after="120"/>
        <w:jc w:val="center"/>
        <w:rPr>
          <w:rFonts w:cs="Arial"/>
        </w:rPr>
      </w:pPr>
      <w:r>
        <w:rPr>
          <w:b/>
          <w:bCs/>
          <w:color w:val="12665F"/>
          <w:sz w:val="27"/>
          <w:szCs w:val="27"/>
        </w:rPr>
        <w:t xml:space="preserve">دراسة موسّعة في أنطولوجيا الكذب وفسيولوجيا الزيف في علم النفس الاستخلافي </w:t>
      </w:r>
    </w:p>
    <w:p w14:paraId="3870F5B8" w14:textId="77777777" w:rsidR="00EC28FF" w:rsidRDefault="00CC34FE">
      <w:pPr>
        <w:pBdr>
          <w:left w:val="single" w:sz="18" w:space="0" w:color="B8862B"/>
          <w:bottom w:val="single" w:sz="24" w:space="0" w:color="B8862B"/>
          <w:right w:val="single" w:sz="18" w:space="0" w:color="B8862B"/>
        </w:pBdr>
        <w:shd w:val="clear" w:color="auto" w:fill="F6ECCF"/>
        <w:spacing w:before="60" w:after="400"/>
        <w:jc w:val="center"/>
        <w:rPr>
          <w:rFonts w:cs="Arial"/>
        </w:rPr>
      </w:pPr>
      <w:r>
        <w:rPr>
          <w:i/>
          <w:iCs/>
          <w:color w:val="5B4A20"/>
          <w:sz w:val="21"/>
          <w:szCs w:val="21"/>
        </w:rPr>
        <w:t>الطبعة الموسّعة — مراجَعة ومزيدة بأبواب نظرية جديدة، وحوار نقدي مع الفلسفة الغربية المعاصرة والتراث الإسلامي</w:t>
      </w:r>
    </w:p>
    <w:p w14:paraId="608F7865" w14:textId="77777777" w:rsidR="00EC28FF" w:rsidRDefault="00CC34FE">
      <w:pPr>
        <w:rPr>
          <w:rFonts w:cs="Arial"/>
        </w:rPr>
      </w:pPr>
      <w:r>
        <w:br w:type="page"/>
      </w:r>
    </w:p>
    <w:p w14:paraId="7B0AB1C0" w14:textId="77777777" w:rsidR="00EC28FF" w:rsidRDefault="00CC34FE">
      <w:pPr>
        <w:pStyle w:val="1"/>
        <w:pBdr>
          <w:bottom w:val="single" w:sz="12" w:space="0" w:color="12665F"/>
        </w:pBdr>
        <w:bidi/>
        <w:spacing w:before="420" w:after="200"/>
        <w:jc w:val="right"/>
        <w:rPr>
          <w:rFonts w:cs="Arial"/>
        </w:rPr>
      </w:pPr>
      <w:r>
        <w:rPr>
          <w:b/>
          <w:bCs/>
          <w:color w:val="0F2A4A"/>
        </w:rPr>
        <w:t>ملخّص البحث</w:t>
      </w:r>
    </w:p>
    <w:p w14:paraId="645204A4" w14:textId="77777777" w:rsidR="00EC28FF" w:rsidRDefault="00CC34FE">
      <w:pPr>
        <w:spacing w:after="180" w:line="340" w:lineRule="auto"/>
        <w:jc w:val="both"/>
        <w:rPr>
          <w:rFonts w:cs="Arial"/>
        </w:rPr>
      </w:pPr>
      <w:r>
        <w:rPr>
          <w:color w:val="1B1B1B"/>
        </w:rPr>
        <w:t>تسعى هذه الدراسة الموسّعة إلى إعادة بناء “نظرية الكذب” في علم النفس الاستخلافي، بوصفها انزياحاً منهجياً عن الأنموذج الأخلاقي التقليدي الذي يختزل الكذب في خانة “الرذيلة” أو “الخطيئة”، نحو أنموذج أنطولوجي-عصبي-وجودي يعامل الكذب بوصفه اعتداءً بنيوياً على “نظام التشغيل الفطري”. تجمع الدراسة بين ثلاثة مصادر معرفية متكاملة: التراث الإسلامي (الغزالي، ابن القيم، المحاسبي، ابن خلدون)، والفلسفة الغربية الحديثة والمعاصرة (</w:t>
      </w:r>
      <w:proofErr w:type="spellStart"/>
      <w:r>
        <w:rPr>
          <w:color w:val="1B1B1B"/>
        </w:rPr>
        <w:t>كانط</w:t>
      </w:r>
      <w:proofErr w:type="spellEnd"/>
      <w:r>
        <w:rPr>
          <w:color w:val="1B1B1B"/>
        </w:rPr>
        <w:t xml:space="preserve">، سارتر، فوكو، </w:t>
      </w:r>
      <w:proofErr w:type="spellStart"/>
      <w:r>
        <w:rPr>
          <w:color w:val="1B1B1B"/>
        </w:rPr>
        <w:t>هابرماس</w:t>
      </w:r>
      <w:proofErr w:type="spellEnd"/>
      <w:r>
        <w:rPr>
          <w:color w:val="1B1B1B"/>
        </w:rPr>
        <w:t xml:space="preserve">، </w:t>
      </w:r>
      <w:proofErr w:type="spellStart"/>
      <w:r>
        <w:rPr>
          <w:color w:val="1B1B1B"/>
        </w:rPr>
        <w:t>بورديو</w:t>
      </w:r>
      <w:proofErr w:type="spellEnd"/>
      <w:r>
        <w:rPr>
          <w:color w:val="1B1B1B"/>
        </w:rPr>
        <w:t xml:space="preserve">، </w:t>
      </w:r>
      <w:proofErr w:type="spellStart"/>
      <w:r>
        <w:rPr>
          <w:color w:val="1B1B1B"/>
        </w:rPr>
        <w:t>ماكنتاير</w:t>
      </w:r>
      <w:proofErr w:type="spellEnd"/>
      <w:r>
        <w:rPr>
          <w:color w:val="1B1B1B"/>
        </w:rPr>
        <w:t xml:space="preserve">، </w:t>
      </w:r>
      <w:proofErr w:type="spellStart"/>
      <w:r>
        <w:rPr>
          <w:color w:val="1B1B1B"/>
        </w:rPr>
        <w:t>فرانكل</w:t>
      </w:r>
      <w:proofErr w:type="spellEnd"/>
      <w:r>
        <w:rPr>
          <w:color w:val="1B1B1B"/>
        </w:rPr>
        <w:t>)، والعلوم العصبية المعرفية (</w:t>
      </w:r>
      <w:proofErr w:type="spellStart"/>
      <w:r>
        <w:rPr>
          <w:color w:val="1B1B1B"/>
        </w:rPr>
        <w:t>Greene</w:t>
      </w:r>
      <w:proofErr w:type="spellEnd"/>
      <w:r>
        <w:rPr>
          <w:color w:val="1B1B1B"/>
        </w:rPr>
        <w:t xml:space="preserve"> &amp; </w:t>
      </w:r>
      <w:proofErr w:type="spellStart"/>
      <w:r>
        <w:rPr>
          <w:color w:val="1B1B1B"/>
        </w:rPr>
        <w:t>Paxton</w:t>
      </w:r>
      <w:proofErr w:type="spellEnd"/>
      <w:r>
        <w:rPr>
          <w:color w:val="1B1B1B"/>
        </w:rPr>
        <w:t xml:space="preserve">؛ </w:t>
      </w:r>
      <w:proofErr w:type="spellStart"/>
      <w:r>
        <w:rPr>
          <w:color w:val="1B1B1B"/>
        </w:rPr>
        <w:t>Vrij</w:t>
      </w:r>
      <w:proofErr w:type="spellEnd"/>
      <w:r>
        <w:rPr>
          <w:color w:val="1B1B1B"/>
        </w:rPr>
        <w:t xml:space="preserve"> </w:t>
      </w:r>
      <w:proofErr w:type="spellStart"/>
      <w:r>
        <w:rPr>
          <w:color w:val="1B1B1B"/>
        </w:rPr>
        <w:t>et</w:t>
      </w:r>
      <w:proofErr w:type="spellEnd"/>
      <w:r>
        <w:rPr>
          <w:color w:val="1B1B1B"/>
        </w:rPr>
        <w:t xml:space="preserve"> </w:t>
      </w:r>
      <w:proofErr w:type="spellStart"/>
      <w:r>
        <w:rPr>
          <w:color w:val="1B1B1B"/>
        </w:rPr>
        <w:t>al</w:t>
      </w:r>
      <w:proofErr w:type="spellEnd"/>
      <w:r>
        <w:rPr>
          <w:color w:val="1B1B1B"/>
        </w:rPr>
        <w:t xml:space="preserve">.؛ </w:t>
      </w:r>
      <w:proofErr w:type="spellStart"/>
      <w:r>
        <w:rPr>
          <w:color w:val="1B1B1B"/>
        </w:rPr>
        <w:t>Spence</w:t>
      </w:r>
      <w:proofErr w:type="spellEnd"/>
      <w:r>
        <w:rPr>
          <w:color w:val="1B1B1B"/>
        </w:rPr>
        <w:t xml:space="preserve"> </w:t>
      </w:r>
      <w:proofErr w:type="spellStart"/>
      <w:r>
        <w:rPr>
          <w:color w:val="1B1B1B"/>
        </w:rPr>
        <w:t>et</w:t>
      </w:r>
      <w:proofErr w:type="spellEnd"/>
      <w:r>
        <w:rPr>
          <w:color w:val="1B1B1B"/>
        </w:rPr>
        <w:t xml:space="preserve"> </w:t>
      </w:r>
      <w:proofErr w:type="spellStart"/>
      <w:r>
        <w:rPr>
          <w:color w:val="1B1B1B"/>
        </w:rPr>
        <w:t>al</w:t>
      </w:r>
      <w:proofErr w:type="spellEnd"/>
      <w:r>
        <w:rPr>
          <w:color w:val="1B1B1B"/>
        </w:rPr>
        <w:t xml:space="preserve">.؛ </w:t>
      </w:r>
      <w:proofErr w:type="spellStart"/>
      <w:r>
        <w:rPr>
          <w:color w:val="1B1B1B"/>
        </w:rPr>
        <w:t>Damasio</w:t>
      </w:r>
      <w:proofErr w:type="spellEnd"/>
      <w:r>
        <w:rPr>
          <w:color w:val="1B1B1B"/>
        </w:rPr>
        <w:t xml:space="preserve">؛ </w:t>
      </w:r>
      <w:proofErr w:type="spellStart"/>
      <w:r>
        <w:rPr>
          <w:color w:val="1B1B1B"/>
        </w:rPr>
        <w:t>DePaulo</w:t>
      </w:r>
      <w:proofErr w:type="spellEnd"/>
      <w:r>
        <w:rPr>
          <w:color w:val="1B1B1B"/>
        </w:rPr>
        <w:t xml:space="preserve"> </w:t>
      </w:r>
      <w:proofErr w:type="spellStart"/>
      <w:r>
        <w:rPr>
          <w:color w:val="1B1B1B"/>
        </w:rPr>
        <w:t>et</w:t>
      </w:r>
      <w:proofErr w:type="spellEnd"/>
      <w:r>
        <w:rPr>
          <w:color w:val="1B1B1B"/>
        </w:rPr>
        <w:t xml:space="preserve"> </w:t>
      </w:r>
      <w:proofErr w:type="spellStart"/>
      <w:r>
        <w:rPr>
          <w:color w:val="1B1B1B"/>
        </w:rPr>
        <w:t>al</w:t>
      </w:r>
      <w:proofErr w:type="spellEnd"/>
      <w:r>
        <w:rPr>
          <w:color w:val="1B1B1B"/>
        </w:rPr>
        <w:t>.). وتخلص إلى أن الصدق ليس فضيلة اختيارية بل هو “الوضع الافتراضي” للنظام النفسي-العصبي للإنسان، وأن الكذب انحراف مُكلِف فسيولوجياً ونفسياً واجتماعياً، تعالجه الدراسة عبر بروتوكول “العلاج بحرث المصالحة التحويلية” (TLRT).</w:t>
      </w:r>
    </w:p>
    <w:p w14:paraId="3988E504" w14:textId="77777777" w:rsidR="00EC28FF" w:rsidRDefault="00CC34FE">
      <w:pPr>
        <w:pStyle w:val="1"/>
        <w:pBdr>
          <w:bottom w:val="single" w:sz="12" w:space="0" w:color="12665F"/>
        </w:pBdr>
        <w:bidi/>
        <w:spacing w:before="420" w:after="200"/>
        <w:jc w:val="right"/>
        <w:rPr>
          <w:rFonts w:cs="Arial"/>
        </w:rPr>
      </w:pPr>
      <w:r>
        <w:rPr>
          <w:b/>
          <w:bCs/>
          <w:color w:val="0F2A4A"/>
        </w:rPr>
        <w:t>تمهيد منهجي: الكذب بوصفه “جريمة أنطولوجية” — لماذا “يُمرِض” الكذب “النفس” و“الجسد” معاً؟</w:t>
      </w:r>
    </w:p>
    <w:p w14:paraId="53C69156" w14:textId="77777777" w:rsidR="00EC28FF" w:rsidRDefault="00CC34FE">
      <w:pPr>
        <w:spacing w:after="180" w:line="340" w:lineRule="auto"/>
        <w:jc w:val="both"/>
        <w:rPr>
          <w:rFonts w:cs="Arial"/>
        </w:rPr>
      </w:pPr>
      <w:r>
        <w:rPr>
          <w:color w:val="1B1B1B"/>
        </w:rPr>
        <w:t>في “الوعي” “الأخلاقي” “العام”، “يُصنَّف” “الكذب” — عادة — كـ“رذيلة” أو “خطيئة” أو “سلوك غير مرغوب فيه”. وفي “النماذج” “النفسية” “الغربية”، “يُعامَل” — غالباً — كـ“سلوك مكتسب” (</w:t>
      </w:r>
      <w:proofErr w:type="spellStart"/>
      <w:r>
        <w:rPr>
          <w:color w:val="1B1B1B"/>
        </w:rPr>
        <w:t>Learning</w:t>
      </w:r>
      <w:proofErr w:type="spellEnd"/>
      <w:r>
        <w:rPr>
          <w:color w:val="1B1B1B"/>
        </w:rPr>
        <w:t xml:space="preserve"> </w:t>
      </w:r>
      <w:proofErr w:type="spellStart"/>
      <w:r>
        <w:rPr>
          <w:color w:val="1B1B1B"/>
        </w:rPr>
        <w:t>Theory</w:t>
      </w:r>
      <w:proofErr w:type="spellEnd"/>
      <w:r>
        <w:rPr>
          <w:color w:val="1B1B1B"/>
        </w:rPr>
        <w:t>)، أو “آلية دفاعية” (</w:t>
      </w:r>
      <w:proofErr w:type="spellStart"/>
      <w:r>
        <w:rPr>
          <w:color w:val="1B1B1B"/>
        </w:rPr>
        <w:t>Psychoanalysis</w:t>
      </w:r>
      <w:proofErr w:type="spellEnd"/>
      <w:r>
        <w:rPr>
          <w:color w:val="1B1B1B"/>
        </w:rPr>
        <w:t>)، أو “تشوّه معرفي” (CBT). لكن “علوم النفس” — في “معظمها” — “لم تُبدِ” “اهتماماً” “كافياً” بـ“التأثيرات” “الفسيولوجية” و“النفسية” “العميقة” و“الطويلة الأمد” لـ“الكذب” على “الكاذب” نفسه، وليس فقط على “ضحاياه”.</w:t>
      </w:r>
    </w:p>
    <w:p w14:paraId="03C263A4" w14:textId="77777777" w:rsidR="00EC28FF" w:rsidRDefault="00CC34FE">
      <w:pPr>
        <w:spacing w:after="180" w:line="340" w:lineRule="auto"/>
        <w:jc w:val="both"/>
        <w:rPr>
          <w:rFonts w:cs="Arial"/>
        </w:rPr>
      </w:pPr>
      <w:r>
        <w:rPr>
          <w:color w:val="1B1B1B"/>
        </w:rPr>
        <w:t xml:space="preserve">في “هذا السياق”، يقدّم “علم النفس الاستخلافي” — كما صاغه الباحث عبد السلام الزراع — “تحليلاً” “مُغايراً” و“أكثر” “عُمقاً” </w:t>
      </w:r>
      <w:proofErr w:type="spellStart"/>
      <w:r>
        <w:rPr>
          <w:color w:val="1B1B1B"/>
        </w:rPr>
        <w:t>و“شُمولاً</w:t>
      </w:r>
      <w:proofErr w:type="spellEnd"/>
      <w:r>
        <w:rPr>
          <w:color w:val="1B1B1B"/>
        </w:rPr>
        <w:t>” للكذب. فهو لا “ينظر” إليه كـ“مجرد” “رذيلة أخلاقية” أو “خطيئة دينية”، بل كـ“اعتداء بنيوي على الفطرة” و“خلل” في “نظام التشغيل الأخلاقي” (</w:t>
      </w:r>
      <w:proofErr w:type="spellStart"/>
      <w:r>
        <w:rPr>
          <w:color w:val="1B1B1B"/>
        </w:rPr>
        <w:t>Moral</w:t>
      </w:r>
      <w:proofErr w:type="spellEnd"/>
      <w:r>
        <w:rPr>
          <w:color w:val="1B1B1B"/>
        </w:rPr>
        <w:t xml:space="preserve"> OS)، “يُنتج” — بشكل “حتمي” — “آثاراً فسيولوجية ونفسية مدمرة” على “الكاذب” نفسه [829، 834].</w:t>
      </w:r>
    </w:p>
    <w:p w14:paraId="5375446C" w14:textId="77777777" w:rsidR="00EC28FF" w:rsidRDefault="00CC34FE">
      <w:pPr>
        <w:spacing w:after="180" w:line="340" w:lineRule="auto"/>
        <w:jc w:val="both"/>
        <w:rPr>
          <w:rFonts w:cs="Arial"/>
        </w:rPr>
      </w:pPr>
      <w:r>
        <w:rPr>
          <w:color w:val="1B1B1B"/>
        </w:rPr>
        <w:t>وتضيف هذه الطبعة الموسّعة ثلاثة أبعاد منهجية جديدة لم يُفرد لها الأصل حيّزاً كافياً: الأول، بُعدٌ فلسفي حواري يضع النموذج الاستخلافي في مواجهة نقدية مع كبريات المدارس الغربية في فلسفة الأخلاق ونظرية الفعل التواصلي (</w:t>
      </w:r>
      <w:proofErr w:type="spellStart"/>
      <w:r>
        <w:rPr>
          <w:color w:val="1B1B1B"/>
        </w:rPr>
        <w:t>كانط</w:t>
      </w:r>
      <w:proofErr w:type="spellEnd"/>
      <w:r>
        <w:rPr>
          <w:color w:val="1B1B1B"/>
        </w:rPr>
        <w:t xml:space="preserve">، سارتر، فوكو، </w:t>
      </w:r>
      <w:proofErr w:type="spellStart"/>
      <w:r>
        <w:rPr>
          <w:color w:val="1B1B1B"/>
        </w:rPr>
        <w:t>هابرماس</w:t>
      </w:r>
      <w:proofErr w:type="spellEnd"/>
      <w:r>
        <w:rPr>
          <w:color w:val="1B1B1B"/>
        </w:rPr>
        <w:t xml:space="preserve">، </w:t>
      </w:r>
      <w:proofErr w:type="spellStart"/>
      <w:r>
        <w:rPr>
          <w:color w:val="1B1B1B"/>
        </w:rPr>
        <w:t>بورديو</w:t>
      </w:r>
      <w:proofErr w:type="spellEnd"/>
      <w:r>
        <w:rPr>
          <w:color w:val="1B1B1B"/>
        </w:rPr>
        <w:t xml:space="preserve">، </w:t>
      </w:r>
      <w:proofErr w:type="spellStart"/>
      <w:r>
        <w:rPr>
          <w:color w:val="1B1B1B"/>
        </w:rPr>
        <w:t>ماكنتاير</w:t>
      </w:r>
      <w:proofErr w:type="spellEnd"/>
      <w:r>
        <w:rPr>
          <w:color w:val="1B1B1B"/>
        </w:rPr>
        <w:t xml:space="preserve">، </w:t>
      </w:r>
      <w:proofErr w:type="spellStart"/>
      <w:r>
        <w:rPr>
          <w:color w:val="1B1B1B"/>
        </w:rPr>
        <w:t>فرانكل</w:t>
      </w:r>
      <w:proofErr w:type="spellEnd"/>
      <w:r>
        <w:rPr>
          <w:color w:val="1B1B1B"/>
        </w:rPr>
        <w:t>)، لا بوصفها مرجعيات يُستعان بها زخرفياً، بل بوصفها محاوِرات نِدّية يُختبر معها التصوّر الاستخلافي ويُصقَل. والثاني، بُعدٌ اجتماعي-رقمي يتتبّع الكذب بوصفه بنية مؤسسية في اقتصاد المراقبة الرقمية، لا مجرد فعل فردي معزول. والثالث، بُعدٌ نقدي ذاتي يُخضِع النموذج نفسه لمساءلة منهجية حول حدود استعاراته وأدلته، تحقيقاً لمبدأ الأمانة العلمية الذي تفرضه الدراسة على موضوعها.</w:t>
      </w:r>
    </w:p>
    <w:p w14:paraId="54CEC5C4" w14:textId="77777777" w:rsidR="00EC28FF" w:rsidRDefault="00CC34FE">
      <w:pPr>
        <w:spacing w:after="180" w:line="340" w:lineRule="auto"/>
        <w:jc w:val="both"/>
        <w:rPr>
          <w:rFonts w:cs="Arial"/>
        </w:rPr>
      </w:pPr>
      <w:r>
        <w:rPr>
          <w:color w:val="1B1B1B"/>
        </w:rPr>
        <w:t>“هذه الدراسة الموسعة” — التي تتجاوز “الوصف” إلى “التحليل” و“التأصيل” — تسعى إلى “تفكيك” “مفهوم” “الكذب” في “النظرية الاستخلافية”، و“بيان” “آلياته” و“تداعياته” على “المستويات” “العصبية” و“النفسية” و“الاجتماعية” و“الوجودية”، و“تقديم” “المسار” “العلاجي” الذي “يقترحه” “بروتوكول” TLRT للتعافي منه.</w:t>
      </w:r>
    </w:p>
    <w:p w14:paraId="1B85C493" w14:textId="77777777" w:rsidR="00EC28FF" w:rsidRDefault="00CC34FE">
      <w:pPr>
        <w:pStyle w:val="1"/>
        <w:pBdr>
          <w:bottom w:val="single" w:sz="12" w:space="0" w:color="12665F"/>
        </w:pBdr>
        <w:bidi/>
        <w:spacing w:before="420" w:after="200"/>
        <w:jc w:val="right"/>
        <w:rPr>
          <w:rFonts w:cs="Arial"/>
        </w:rPr>
      </w:pPr>
      <w:r>
        <w:rPr>
          <w:b/>
          <w:bCs/>
          <w:color w:val="0F2A4A"/>
        </w:rPr>
        <w:t>الفصل الأول: “أركيولوجيا” الكذب — تفكيك النماذج الغربية وبيان قصورها</w:t>
      </w:r>
    </w:p>
    <w:p w14:paraId="75D3031B" w14:textId="77777777" w:rsidR="00EC28FF" w:rsidRDefault="00CC34FE">
      <w:pPr>
        <w:pStyle w:val="2"/>
        <w:bidi/>
        <w:spacing w:before="260" w:after="140"/>
        <w:jc w:val="right"/>
        <w:rPr>
          <w:rFonts w:cs="Arial"/>
        </w:rPr>
      </w:pPr>
      <w:r>
        <w:rPr>
          <w:b/>
          <w:bCs/>
          <w:color w:val="12665F"/>
          <w:sz w:val="27"/>
          <w:szCs w:val="27"/>
        </w:rPr>
        <w:t xml:space="preserve">1.1 الكذب في التحليل النفسي </w:t>
      </w:r>
      <w:proofErr w:type="spellStart"/>
      <w:r>
        <w:rPr>
          <w:b/>
          <w:bCs/>
          <w:color w:val="12665F"/>
          <w:sz w:val="27"/>
          <w:szCs w:val="27"/>
        </w:rPr>
        <w:t>الفرويدي</w:t>
      </w:r>
      <w:proofErr w:type="spellEnd"/>
      <w:r>
        <w:rPr>
          <w:b/>
          <w:bCs/>
          <w:color w:val="12665F"/>
          <w:sz w:val="27"/>
          <w:szCs w:val="27"/>
        </w:rPr>
        <w:t>: آلية دفاعية وربح مرضي ثانوي</w:t>
      </w:r>
    </w:p>
    <w:p w14:paraId="3B2B1C7E" w14:textId="77777777" w:rsidR="00EC28FF" w:rsidRDefault="00CC34FE">
      <w:pPr>
        <w:spacing w:after="180" w:line="340" w:lineRule="auto"/>
        <w:jc w:val="both"/>
        <w:rPr>
          <w:rFonts w:cs="Arial"/>
        </w:rPr>
      </w:pPr>
      <w:r>
        <w:rPr>
          <w:color w:val="1B1B1B"/>
        </w:rPr>
        <w:t>“يَنظر” “التحليل النفسي” (فرويد) إلى “الكذب” — غالباً — كـ“آلية دفاعية” (</w:t>
      </w:r>
      <w:proofErr w:type="spellStart"/>
      <w:r>
        <w:rPr>
          <w:color w:val="1B1B1B"/>
        </w:rPr>
        <w:t>Defense</w:t>
      </w:r>
      <w:proofErr w:type="spellEnd"/>
      <w:r>
        <w:rPr>
          <w:color w:val="1B1B1B"/>
        </w:rPr>
        <w:t xml:space="preserve"> </w:t>
      </w:r>
      <w:proofErr w:type="spellStart"/>
      <w:r>
        <w:rPr>
          <w:color w:val="1B1B1B"/>
        </w:rPr>
        <w:t>Mechanism</w:t>
      </w:r>
      <w:proofErr w:type="spellEnd"/>
      <w:r>
        <w:rPr>
          <w:color w:val="1B1B1B"/>
        </w:rPr>
        <w:t>) “يَلجأ” إليها “الأنا” (</w:t>
      </w:r>
      <w:proofErr w:type="spellStart"/>
      <w:r>
        <w:rPr>
          <w:color w:val="1B1B1B"/>
        </w:rPr>
        <w:t>Ego</w:t>
      </w:r>
      <w:proofErr w:type="spellEnd"/>
      <w:r>
        <w:rPr>
          <w:color w:val="1B1B1B"/>
        </w:rPr>
        <w:t xml:space="preserve">) “لحماية” “نفسه” من “القلق” أو “لشعور” “بالذنب”. غير أن هذا التفسير — رغم أهميته الإكلينيكية — يبقى تفسيراً وظيفياً محضاً: هو يصف “لماذا” يكذب الفرد نفسياً، دون أن </w:t>
      </w:r>
      <w:proofErr w:type="spellStart"/>
      <w:r>
        <w:rPr>
          <w:color w:val="1B1B1B"/>
        </w:rPr>
        <w:t>يسائل</w:t>
      </w:r>
      <w:proofErr w:type="spellEnd"/>
      <w:r>
        <w:rPr>
          <w:color w:val="1B1B1B"/>
        </w:rPr>
        <w:t xml:space="preserve"> “ما الذي” ينكسر فيه حين يكذب. فالكذب، في هذا الأفق، عَرَض قابل للتفسير بالصراع بين الهو </w:t>
      </w:r>
      <w:proofErr w:type="spellStart"/>
      <w:r>
        <w:rPr>
          <w:color w:val="1B1B1B"/>
        </w:rPr>
        <w:t>والأنا</w:t>
      </w:r>
      <w:proofErr w:type="spellEnd"/>
      <w:r>
        <w:rPr>
          <w:color w:val="1B1B1B"/>
        </w:rPr>
        <w:t xml:space="preserve"> الأعلى، لا جرح يمسّ بنية الوجود ذاتها.</w:t>
      </w:r>
    </w:p>
    <w:p w14:paraId="7FF0E702" w14:textId="77777777" w:rsidR="00EC28FF" w:rsidRDefault="00CC34FE">
      <w:pPr>
        <w:pStyle w:val="2"/>
        <w:bidi/>
        <w:spacing w:before="260" w:after="140"/>
        <w:jc w:val="right"/>
        <w:rPr>
          <w:rFonts w:cs="Arial"/>
        </w:rPr>
      </w:pPr>
      <w:r>
        <w:rPr>
          <w:b/>
          <w:bCs/>
          <w:color w:val="12665F"/>
          <w:sz w:val="27"/>
          <w:szCs w:val="27"/>
        </w:rPr>
        <w:t>1.2 الكذب في النموذج السلوكي والمعرفي السلوكي</w:t>
      </w:r>
    </w:p>
    <w:p w14:paraId="57DB44BE" w14:textId="77777777" w:rsidR="00EC28FF" w:rsidRDefault="00CC34FE">
      <w:pPr>
        <w:spacing w:after="180" w:line="340" w:lineRule="auto"/>
        <w:jc w:val="both"/>
        <w:rPr>
          <w:rFonts w:cs="Arial"/>
        </w:rPr>
      </w:pPr>
      <w:r>
        <w:rPr>
          <w:color w:val="1B1B1B"/>
        </w:rPr>
        <w:t xml:space="preserve">“تُركِّز” “السلوكية” على “الكذب” كـ“سلوك” “مُكتسَب” </w:t>
      </w:r>
      <w:proofErr w:type="spellStart"/>
      <w:r>
        <w:rPr>
          <w:color w:val="1B1B1B"/>
        </w:rPr>
        <w:t>و“مُدعَّم</w:t>
      </w:r>
      <w:proofErr w:type="spellEnd"/>
      <w:r>
        <w:rPr>
          <w:color w:val="1B1B1B"/>
        </w:rPr>
        <w:t xml:space="preserve">” عبر “التعلم” و“التعزيز”، بينما “يُعامِل” “العلاج المعرفي السلوكي” (CBT) “الكذب” كـ“نتيجة” لـ“أفكار” </w:t>
      </w:r>
      <w:proofErr w:type="spellStart"/>
      <w:r>
        <w:rPr>
          <w:color w:val="1B1B1B"/>
        </w:rPr>
        <w:t>و“مُعتقدات</w:t>
      </w:r>
      <w:proofErr w:type="spellEnd"/>
      <w:r>
        <w:rPr>
          <w:color w:val="1B1B1B"/>
        </w:rPr>
        <w:t xml:space="preserve">” “غير عقلانية”، </w:t>
      </w:r>
      <w:proofErr w:type="spellStart"/>
      <w:r>
        <w:rPr>
          <w:color w:val="1B1B1B"/>
        </w:rPr>
        <w:t>و“يَسعى</w:t>
      </w:r>
      <w:proofErr w:type="spellEnd"/>
      <w:r>
        <w:rPr>
          <w:color w:val="1B1B1B"/>
        </w:rPr>
        <w:t>” إلى “تصحيحها”. وكلا النموذجين يشتركان في نزعة اختزالية: تحويل الكذب إلى وحدة سلوكية أو معرفية قابلة للقياس والتعديل، بمعزل عن سؤال المعنى الوجودي الذي يطرحه فعل الكذب على الذات الكاذبة.</w:t>
      </w:r>
    </w:p>
    <w:p w14:paraId="11E90105" w14:textId="77777777" w:rsidR="00EC28FF" w:rsidRDefault="00CC34FE">
      <w:pPr>
        <w:pStyle w:val="2"/>
        <w:bidi/>
        <w:spacing w:before="260" w:after="140"/>
        <w:jc w:val="right"/>
        <w:rPr>
          <w:rFonts w:cs="Arial"/>
        </w:rPr>
      </w:pPr>
      <w:r>
        <w:rPr>
          <w:b/>
          <w:bCs/>
          <w:color w:val="12665F"/>
          <w:sz w:val="27"/>
          <w:szCs w:val="27"/>
        </w:rPr>
        <w:t xml:space="preserve">1.3 </w:t>
      </w:r>
      <w:proofErr w:type="spellStart"/>
      <w:r>
        <w:rPr>
          <w:b/>
          <w:bCs/>
          <w:color w:val="12665F"/>
          <w:sz w:val="27"/>
          <w:szCs w:val="27"/>
        </w:rPr>
        <w:t>كانط</w:t>
      </w:r>
      <w:proofErr w:type="spellEnd"/>
      <w:r>
        <w:rPr>
          <w:b/>
          <w:bCs/>
          <w:color w:val="12665F"/>
          <w:sz w:val="27"/>
          <w:szCs w:val="27"/>
        </w:rPr>
        <w:t xml:space="preserve"> والكذب: خرق الإمكان الكلي وامتهان الكرامة</w:t>
      </w:r>
    </w:p>
    <w:p w14:paraId="32D8E80C" w14:textId="77777777" w:rsidR="00EC28FF" w:rsidRDefault="00CC34FE">
      <w:pPr>
        <w:spacing w:after="180" w:line="340" w:lineRule="auto"/>
        <w:jc w:val="both"/>
        <w:rPr>
          <w:rFonts w:cs="Arial"/>
        </w:rPr>
      </w:pPr>
      <w:r>
        <w:rPr>
          <w:color w:val="1B1B1B"/>
        </w:rPr>
        <w:t xml:space="preserve">يقدّم إيمانويل </w:t>
      </w:r>
      <w:proofErr w:type="spellStart"/>
      <w:r>
        <w:rPr>
          <w:color w:val="1B1B1B"/>
        </w:rPr>
        <w:t>كانط</w:t>
      </w:r>
      <w:proofErr w:type="spellEnd"/>
      <w:r>
        <w:rPr>
          <w:color w:val="1B1B1B"/>
        </w:rPr>
        <w:t xml:space="preserve"> في تأسيسه لميتافيزيقا الأخلاق (</w:t>
      </w:r>
      <w:proofErr w:type="spellStart"/>
      <w:r>
        <w:rPr>
          <w:color w:val="1B1B1B"/>
        </w:rPr>
        <w:t>Kant</w:t>
      </w:r>
      <w:proofErr w:type="spellEnd"/>
      <w:r>
        <w:rPr>
          <w:color w:val="1B1B1B"/>
        </w:rPr>
        <w:t xml:space="preserve">, 1785) واحداً من أكثر النقود صرامةً للكذب في الفلسفة الغربية الحديثة. فحين يختبر </w:t>
      </w:r>
      <w:proofErr w:type="spellStart"/>
      <w:r>
        <w:rPr>
          <w:color w:val="1B1B1B"/>
        </w:rPr>
        <w:t>كانط</w:t>
      </w:r>
      <w:proofErr w:type="spellEnd"/>
      <w:r>
        <w:rPr>
          <w:color w:val="1B1B1B"/>
        </w:rPr>
        <w:t xml:space="preserve"> “الأمر المطلق” (</w:t>
      </w:r>
      <w:proofErr w:type="spellStart"/>
      <w:r>
        <w:rPr>
          <w:color w:val="1B1B1B"/>
        </w:rPr>
        <w:t>Categorical</w:t>
      </w:r>
      <w:proofErr w:type="spellEnd"/>
      <w:r>
        <w:rPr>
          <w:color w:val="1B1B1B"/>
        </w:rPr>
        <w:t xml:space="preserve"> </w:t>
      </w:r>
      <w:proofErr w:type="spellStart"/>
      <w:r>
        <w:rPr>
          <w:color w:val="1B1B1B"/>
        </w:rPr>
        <w:t>Imperative</w:t>
      </w:r>
      <w:proofErr w:type="spellEnd"/>
      <w:r>
        <w:rPr>
          <w:color w:val="1B1B1B"/>
        </w:rPr>
        <w:t xml:space="preserve">) بمثال “الوعد الكاذب”، يبيّن أن قاعدة “أعِد وعداً لا أنوي الوفاء به كلما ضاقت بي الحال” تتناقض مع ذاتها إذا أُريد تعميمها كوناً؛ إذ لو كذب الجميع لَبَطُل مفهوم “الوعد” نفسه. الكذب، عند </w:t>
      </w:r>
      <w:proofErr w:type="spellStart"/>
      <w:r>
        <w:rPr>
          <w:color w:val="1B1B1B"/>
        </w:rPr>
        <w:t>كانط</w:t>
      </w:r>
      <w:proofErr w:type="spellEnd"/>
      <w:r>
        <w:rPr>
          <w:color w:val="1B1B1B"/>
        </w:rPr>
        <w:t xml:space="preserve">، ليس خطأً في الحساب النفعي بل خرقٌ لبنية العقل العملي ذاته، وامتهانٌ لكرامة الإنسانية في شخص الكاذب قبل المكذوب عليه. وهنا يلتقي </w:t>
      </w:r>
      <w:proofErr w:type="spellStart"/>
      <w:r>
        <w:rPr>
          <w:color w:val="1B1B1B"/>
        </w:rPr>
        <w:t>كانط</w:t>
      </w:r>
      <w:proofErr w:type="spellEnd"/>
      <w:r>
        <w:rPr>
          <w:color w:val="1B1B1B"/>
        </w:rPr>
        <w:t xml:space="preserve"> جزئياً مع النموذج الاستخلافي في نقطة جوهرية: كلاهما يرفض اختزال الكذب في تكلفته الاجتماعية، ويردّانه إلى بنية أعمق — العقل العملي عند </w:t>
      </w:r>
      <w:proofErr w:type="spellStart"/>
      <w:r>
        <w:rPr>
          <w:color w:val="1B1B1B"/>
        </w:rPr>
        <w:t>كانط</w:t>
      </w:r>
      <w:proofErr w:type="spellEnd"/>
      <w:r>
        <w:rPr>
          <w:color w:val="1B1B1B"/>
        </w:rPr>
        <w:t xml:space="preserve">، والفطرة عند الزراع — غير أن </w:t>
      </w:r>
      <w:proofErr w:type="spellStart"/>
      <w:r>
        <w:rPr>
          <w:color w:val="1B1B1B"/>
        </w:rPr>
        <w:t>كانط</w:t>
      </w:r>
      <w:proofErr w:type="spellEnd"/>
      <w:r>
        <w:rPr>
          <w:color w:val="1B1B1B"/>
        </w:rPr>
        <w:t xml:space="preserve"> يؤسس هذا الرفض على صورية العقل المجرد، بينما يؤسسه الزراع على معطى فطري-وجداني-عصبي متجذر خِلقةً.</w:t>
      </w:r>
    </w:p>
    <w:p w14:paraId="464AD5EC" w14:textId="77777777" w:rsidR="00EC28FF" w:rsidRDefault="00CC34FE">
      <w:pPr>
        <w:pStyle w:val="2"/>
        <w:bidi/>
        <w:spacing w:before="260" w:after="140"/>
        <w:jc w:val="right"/>
        <w:rPr>
          <w:rFonts w:cs="Arial"/>
        </w:rPr>
      </w:pPr>
      <w:r>
        <w:rPr>
          <w:b/>
          <w:bCs/>
          <w:color w:val="12665F"/>
          <w:sz w:val="27"/>
          <w:szCs w:val="27"/>
        </w:rPr>
        <w:t>1.4 سارتر و“سوء النية”: الكذب على الذات هروباً من الحرية</w:t>
      </w:r>
    </w:p>
    <w:p w14:paraId="3FFD961A" w14:textId="77777777" w:rsidR="00EC28FF" w:rsidRDefault="00CC34FE">
      <w:pPr>
        <w:spacing w:after="180" w:line="340" w:lineRule="auto"/>
        <w:jc w:val="both"/>
        <w:rPr>
          <w:rFonts w:cs="Arial"/>
        </w:rPr>
      </w:pPr>
      <w:r>
        <w:rPr>
          <w:color w:val="1B1B1B"/>
        </w:rPr>
        <w:t>يقدّم جان-بول سارتر في “الوجود والعدم” (</w:t>
      </w:r>
      <w:proofErr w:type="spellStart"/>
      <w:r>
        <w:rPr>
          <w:color w:val="1B1B1B"/>
        </w:rPr>
        <w:t>Sartre</w:t>
      </w:r>
      <w:proofErr w:type="spellEnd"/>
      <w:r>
        <w:rPr>
          <w:color w:val="1B1B1B"/>
        </w:rPr>
        <w:t>, 1943) مفهوم “سوء النية” (</w:t>
      </w:r>
      <w:proofErr w:type="spellStart"/>
      <w:r>
        <w:rPr>
          <w:color w:val="1B1B1B"/>
        </w:rPr>
        <w:t>mauvaise</w:t>
      </w:r>
      <w:proofErr w:type="spellEnd"/>
      <w:r>
        <w:rPr>
          <w:color w:val="1B1B1B"/>
        </w:rPr>
        <w:t xml:space="preserve"> </w:t>
      </w:r>
      <w:proofErr w:type="spellStart"/>
      <w:r>
        <w:rPr>
          <w:color w:val="1B1B1B"/>
        </w:rPr>
        <w:t>foi</w:t>
      </w:r>
      <w:proofErr w:type="spellEnd"/>
      <w:r>
        <w:rPr>
          <w:color w:val="1B1B1B"/>
        </w:rPr>
        <w:t xml:space="preserve">) بوصفه الصورة الأعمق للكذب: ليس الكذب على الآخر، بل الكذب على الذات — أن يقنع الوعي نفسه بأنه شيء محدَّد (دور، هوية جاهزة، حتمية) هرباً من عبء الحرية والمسؤولية المطلقتين اللتين تكوِّنان بنيته الأنطولوجية. والمفارقة عند سارتر أن الكاذب على ذاته يعرف الحقيقة ويخفيها عن نفسه في آنٍ واحد؛ فهو الخادع والمخدوع معاً داخل وعي واحد. هذا التوصيف </w:t>
      </w:r>
      <w:proofErr w:type="spellStart"/>
      <w:r>
        <w:rPr>
          <w:color w:val="1B1B1B"/>
        </w:rPr>
        <w:t>السارتري</w:t>
      </w:r>
      <w:proofErr w:type="spellEnd"/>
      <w:r>
        <w:rPr>
          <w:color w:val="1B1B1B"/>
        </w:rPr>
        <w:t xml:space="preserve"> يقدّم سنداً فلسفياً غير متوقَّع للفكرة الاستخلافية عن “الانقسام” بين “عالم الحقيقة الباطني” و“عالم الزيف الظاهري”: فما يسميه الزراع “الفصام الأخلاقي” هو، من زاوية </w:t>
      </w:r>
      <w:proofErr w:type="spellStart"/>
      <w:r>
        <w:rPr>
          <w:color w:val="1B1B1B"/>
        </w:rPr>
        <w:t>سارترية</w:t>
      </w:r>
      <w:proofErr w:type="spellEnd"/>
      <w:r>
        <w:rPr>
          <w:color w:val="1B1B1B"/>
        </w:rPr>
        <w:t>، تجسيد يومي متكرر لبنية “سوء النية” ذاتها، وإن اختلف التفسير الغائي: سارتر يردّها إلى الفرار من الحرية، والزراع إلى الفرار من الفطرة.</w:t>
      </w:r>
    </w:p>
    <w:p w14:paraId="7E743557" w14:textId="77777777" w:rsidR="00EC28FF" w:rsidRDefault="00CC34FE">
      <w:pPr>
        <w:pStyle w:val="2"/>
        <w:bidi/>
        <w:spacing w:before="260" w:after="140"/>
        <w:jc w:val="right"/>
        <w:rPr>
          <w:rFonts w:cs="Arial"/>
        </w:rPr>
      </w:pPr>
      <w:r>
        <w:rPr>
          <w:b/>
          <w:bCs/>
          <w:color w:val="12665F"/>
          <w:sz w:val="27"/>
          <w:szCs w:val="27"/>
        </w:rPr>
        <w:t xml:space="preserve">1.5 فوكو </w:t>
      </w:r>
      <w:proofErr w:type="spellStart"/>
      <w:r>
        <w:rPr>
          <w:b/>
          <w:bCs/>
          <w:color w:val="12665F"/>
          <w:sz w:val="27"/>
          <w:szCs w:val="27"/>
        </w:rPr>
        <w:t>والبارّيسيا</w:t>
      </w:r>
      <w:proofErr w:type="spellEnd"/>
      <w:r>
        <w:rPr>
          <w:b/>
          <w:bCs/>
          <w:color w:val="12665F"/>
          <w:sz w:val="27"/>
          <w:szCs w:val="27"/>
        </w:rPr>
        <w:t>: من قول الحق إلى انحطاط الشجاعة الأخلاقية</w:t>
      </w:r>
    </w:p>
    <w:p w14:paraId="4B2F38E6" w14:textId="77777777" w:rsidR="00EC28FF" w:rsidRDefault="00CC34FE">
      <w:pPr>
        <w:spacing w:after="180" w:line="340" w:lineRule="auto"/>
        <w:jc w:val="both"/>
        <w:rPr>
          <w:rFonts w:cs="Arial"/>
        </w:rPr>
      </w:pPr>
      <w:r>
        <w:rPr>
          <w:color w:val="1B1B1B"/>
        </w:rPr>
        <w:t>في محاضراته المتأخرة عن “</w:t>
      </w:r>
      <w:proofErr w:type="spellStart"/>
      <w:r>
        <w:rPr>
          <w:color w:val="1B1B1B"/>
        </w:rPr>
        <w:t>البارّيسيا</w:t>
      </w:r>
      <w:proofErr w:type="spellEnd"/>
      <w:r>
        <w:rPr>
          <w:color w:val="1B1B1B"/>
        </w:rPr>
        <w:t>” (</w:t>
      </w:r>
      <w:proofErr w:type="spellStart"/>
      <w:r>
        <w:rPr>
          <w:color w:val="1B1B1B"/>
        </w:rPr>
        <w:t>Foucault</w:t>
      </w:r>
      <w:proofErr w:type="spellEnd"/>
      <w:r>
        <w:rPr>
          <w:color w:val="1B1B1B"/>
        </w:rPr>
        <w:t>, 2001) — أي “قول الحق بصراحة ومجازفة” — يستعيد ميشيل فوكو تراثاً يونانياً-رواقياً يربط الصدق بالشجاعة الأخلاقية والمخاطرة الشخصية، لا بمجرد مطابقة القول للواقع. فمن يقول الحق للسلطان مجازفاً بمقامه أو حياته يمارس “بارّيسيا”، ومن يجامل أو يكذب طلباً للسلامة يتخلى عن هذه الفضيلة. ويكشف هذا التأصيل عن بُعد أغفلته أغلب نماذج علم النفس الغربي: أن الكذب ليس فقط خللاً معرفياً أو دفاعاً نفسياً، بل هو أيضاً جُبن أخلاقي، تراجعٌ عن مجازفة الصدق. وهذا يتقاطع مع تصور الزراع للصدق بوصفه “جدار حماية” يتطلب صيانته شجاعة مستمرة، لا مجرد امتناع سلبي عن الكذب.</w:t>
      </w:r>
    </w:p>
    <w:p w14:paraId="6DA6B7C7" w14:textId="77777777" w:rsidR="00EC28FF" w:rsidRDefault="00CC34FE">
      <w:pPr>
        <w:pStyle w:val="2"/>
        <w:bidi/>
        <w:spacing w:before="260" w:after="140"/>
        <w:jc w:val="right"/>
        <w:rPr>
          <w:rFonts w:cs="Arial"/>
        </w:rPr>
      </w:pPr>
      <w:r>
        <w:rPr>
          <w:b/>
          <w:bCs/>
          <w:color w:val="12665F"/>
          <w:sz w:val="27"/>
          <w:szCs w:val="27"/>
        </w:rPr>
        <w:t>1.6 وجه القصور المشترك: غياب البُعد الأنطولوجي والفسيولوجي</w:t>
      </w:r>
    </w:p>
    <w:p w14:paraId="2FE54089" w14:textId="77777777" w:rsidR="00EC28FF" w:rsidRDefault="00CC34FE">
      <w:pPr>
        <w:spacing w:after="180" w:line="340" w:lineRule="auto"/>
        <w:jc w:val="both"/>
        <w:rPr>
          <w:rFonts w:cs="Arial"/>
        </w:rPr>
      </w:pPr>
      <w:r>
        <w:rPr>
          <w:color w:val="1B1B1B"/>
        </w:rPr>
        <w:t xml:space="preserve">“القصور” “المشترك” بين هذه “النماذج” — كما “يَراه” “الزراع” — هو أنها “تُهمل” “البُعد” “الأنطولوجي” و“الفسيولوجي” للكذب، ولا “تُدرك” أنه — في “العمق” — ليس “مجرد” “سلوك”، بل هو “حرب” “داخلية” “يَشنّها” “الإنسان” على “فطرته” و“جسده” و“نظامه العصبي”. وحتى الاستثناءات الفلسفية الجادة — </w:t>
      </w:r>
      <w:proofErr w:type="spellStart"/>
      <w:r>
        <w:rPr>
          <w:color w:val="1B1B1B"/>
        </w:rPr>
        <w:t>كانط</w:t>
      </w:r>
      <w:proofErr w:type="spellEnd"/>
      <w:r>
        <w:rPr>
          <w:color w:val="1B1B1B"/>
        </w:rPr>
        <w:t xml:space="preserve"> وسارتر وفوكو — وإن اقتربت من هذا العمق كل من زاويته، ظلت أسيرة أفق أنثروبولوجي علماني لا يملك مفهوم “الفطرة” بوصفها معطى خِلقياً موجَّهاً نحو غاية استخلافية محددة، وهو ما يميز الطرح الاستخلافي عنها جميعاً.</w:t>
      </w:r>
    </w:p>
    <w:p w14:paraId="08E98930" w14:textId="77777777" w:rsidR="00EC28FF" w:rsidRDefault="00CC34FE">
      <w:pPr>
        <w:pStyle w:val="2"/>
        <w:bidi/>
        <w:spacing w:before="260" w:after="140"/>
        <w:jc w:val="right"/>
        <w:rPr>
          <w:rFonts w:cs="Arial"/>
        </w:rPr>
      </w:pPr>
      <w:r>
        <w:rPr>
          <w:b/>
          <w:bCs/>
          <w:color w:val="12665F"/>
          <w:sz w:val="27"/>
          <w:szCs w:val="27"/>
        </w:rPr>
        <w:t>1.7 الكذب في النموذج الاستخلافي: اعتداء على نظام التشغيل الفطري</w:t>
      </w:r>
    </w:p>
    <w:p w14:paraId="02409982" w14:textId="77777777" w:rsidR="00EC28FF" w:rsidRDefault="00CC34FE">
      <w:pPr>
        <w:spacing w:after="180" w:line="340" w:lineRule="auto"/>
        <w:jc w:val="both"/>
        <w:rPr>
          <w:rFonts w:cs="Arial"/>
        </w:rPr>
      </w:pPr>
      <w:r>
        <w:rPr>
          <w:color w:val="1B1B1B"/>
        </w:rPr>
        <w:t>في “مُقابل” هذه “الاختزالات”، “يَنطلق” “النموذج الاستخلافي” من “فرضية” “أساسية” هي أن “الفطرة البشرية” — كما “فُطرت” من “الله” — “مُبرمجة” على “الصدق”. فـ“الصدق” — في “هذا التصور” — ليس “مجرد” “فضيلة” “مُكتسبة”، بل هو “الحالة الأصلية” و“الوضع الافتراضي” لـ“نظام التشغيل الأخلاقي” (</w:t>
      </w:r>
      <w:proofErr w:type="spellStart"/>
      <w:r>
        <w:rPr>
          <w:color w:val="1B1B1B"/>
        </w:rPr>
        <w:t>Moral</w:t>
      </w:r>
      <w:proofErr w:type="spellEnd"/>
      <w:r>
        <w:rPr>
          <w:color w:val="1B1B1B"/>
        </w:rPr>
        <w:t xml:space="preserve"> OS). و“الكذب” — بالتالي — هو “انحراف” عن هذه “الحالة”، و“اعتداء” على “البرمجة الفطرية”، و“خلل” “يُرهق” “النظام” ويُهدد “استقراره” [829، 834].</w:t>
      </w:r>
    </w:p>
    <w:p w14:paraId="034DC402" w14:textId="77777777" w:rsidR="00EC28FF" w:rsidRDefault="00CC34FE">
      <w:pPr>
        <w:pStyle w:val="1"/>
        <w:pBdr>
          <w:bottom w:val="single" w:sz="12" w:space="0" w:color="12665F"/>
        </w:pBdr>
        <w:bidi/>
        <w:spacing w:before="420" w:after="200"/>
        <w:jc w:val="right"/>
        <w:rPr>
          <w:rFonts w:cs="Arial"/>
        </w:rPr>
      </w:pPr>
      <w:r>
        <w:rPr>
          <w:b/>
          <w:bCs/>
          <w:color w:val="0F2A4A"/>
        </w:rPr>
        <w:t>الفصل الثاني: “فسيولوجيا” الكذب — العبء المعرفي والإنهاك العصبي</w:t>
      </w:r>
    </w:p>
    <w:p w14:paraId="5965218C" w14:textId="77777777" w:rsidR="00EC28FF" w:rsidRDefault="00CC34FE">
      <w:pPr>
        <w:pStyle w:val="2"/>
        <w:bidi/>
        <w:spacing w:before="260" w:after="140"/>
        <w:jc w:val="right"/>
        <w:rPr>
          <w:rFonts w:cs="Arial"/>
        </w:rPr>
      </w:pPr>
      <w:r>
        <w:rPr>
          <w:b/>
          <w:bCs/>
          <w:color w:val="12665F"/>
          <w:sz w:val="27"/>
          <w:szCs w:val="27"/>
        </w:rPr>
        <w:t>2.1 العبء المعرفي للكذب (</w:t>
      </w:r>
      <w:proofErr w:type="spellStart"/>
      <w:r>
        <w:rPr>
          <w:b/>
          <w:bCs/>
          <w:color w:val="12665F"/>
          <w:sz w:val="27"/>
          <w:szCs w:val="27"/>
        </w:rPr>
        <w:t>Cognitive</w:t>
      </w:r>
      <w:proofErr w:type="spellEnd"/>
      <w:r>
        <w:rPr>
          <w:b/>
          <w:bCs/>
          <w:color w:val="12665F"/>
          <w:sz w:val="27"/>
          <w:szCs w:val="27"/>
        </w:rPr>
        <w:t xml:space="preserve"> </w:t>
      </w:r>
      <w:proofErr w:type="spellStart"/>
      <w:r>
        <w:rPr>
          <w:b/>
          <w:bCs/>
          <w:color w:val="12665F"/>
          <w:sz w:val="27"/>
          <w:szCs w:val="27"/>
        </w:rPr>
        <w:t>Load</w:t>
      </w:r>
      <w:proofErr w:type="spellEnd"/>
      <w:r>
        <w:rPr>
          <w:b/>
          <w:bCs/>
          <w:color w:val="12665F"/>
          <w:sz w:val="27"/>
          <w:szCs w:val="27"/>
        </w:rPr>
        <w:t xml:space="preserve"> </w:t>
      </w:r>
      <w:proofErr w:type="spellStart"/>
      <w:r>
        <w:rPr>
          <w:b/>
          <w:bCs/>
          <w:color w:val="12665F"/>
          <w:sz w:val="27"/>
          <w:szCs w:val="27"/>
        </w:rPr>
        <w:t>of</w:t>
      </w:r>
      <w:proofErr w:type="spellEnd"/>
      <w:r>
        <w:rPr>
          <w:b/>
          <w:bCs/>
          <w:color w:val="12665F"/>
          <w:sz w:val="27"/>
          <w:szCs w:val="27"/>
        </w:rPr>
        <w:t xml:space="preserve"> </w:t>
      </w:r>
      <w:proofErr w:type="spellStart"/>
      <w:r>
        <w:rPr>
          <w:b/>
          <w:bCs/>
          <w:color w:val="12665F"/>
          <w:sz w:val="27"/>
          <w:szCs w:val="27"/>
        </w:rPr>
        <w:t>Lying</w:t>
      </w:r>
      <w:proofErr w:type="spellEnd"/>
      <w:r>
        <w:rPr>
          <w:b/>
          <w:bCs/>
          <w:color w:val="12665F"/>
          <w:sz w:val="27"/>
          <w:szCs w:val="27"/>
        </w:rPr>
        <w:t>)</w:t>
      </w:r>
    </w:p>
    <w:p w14:paraId="17C4D7C4" w14:textId="77777777" w:rsidR="00EC28FF" w:rsidRDefault="00CC34FE">
      <w:pPr>
        <w:spacing w:after="180" w:line="340" w:lineRule="auto"/>
        <w:jc w:val="both"/>
        <w:rPr>
          <w:rFonts w:cs="Arial"/>
        </w:rPr>
      </w:pPr>
      <w:r>
        <w:rPr>
          <w:color w:val="1B1B1B"/>
        </w:rPr>
        <w:t>من “أبرز” “إسهامات” “الزراع” في “فهم” “الكذب” هو “تطويره” لمفهوم “العبء المعرفي للكذب” [835، 860]. وهو “يُشير” إلى “الطاقة العصبية الهائلة” التي “يَستهلكها” “الكاذب” “للحفاظ” على “أكذوبته” و“ضمان” “اتساقها”. فـ“الإنسان الكاذب” — على “عكس” “الصادق” الذي “يَتدفق” “كلامه” “بشكل طبيعي” و“تلقائي” — “يَضطر” إلى “القيام” بـ“مهام ذهنية معقدة” في “آن واحد”:</w:t>
      </w:r>
    </w:p>
    <w:p w14:paraId="75963937" w14:textId="77777777" w:rsidR="00EC28FF" w:rsidRDefault="00CC34FE">
      <w:pPr>
        <w:pStyle w:val="a4"/>
        <w:numPr>
          <w:ilvl w:val="0"/>
          <w:numId w:val="2"/>
        </w:numPr>
        <w:bidi/>
        <w:spacing w:after="120" w:line="320" w:lineRule="auto"/>
        <w:jc w:val="both"/>
        <w:rPr>
          <w:rFonts w:cs="Arial"/>
        </w:rPr>
      </w:pPr>
      <w:r>
        <w:rPr>
          <w:color w:val="1B1B1B"/>
        </w:rPr>
        <w:t>“مراقبة السياق” باستمرار “لضمان” “اتساق الأكذوبة” وعدم “كشفها”.</w:t>
      </w:r>
    </w:p>
    <w:p w14:paraId="1F1DE9F8" w14:textId="77777777" w:rsidR="00EC28FF" w:rsidRDefault="00CC34FE">
      <w:pPr>
        <w:pStyle w:val="a4"/>
        <w:numPr>
          <w:ilvl w:val="0"/>
          <w:numId w:val="2"/>
        </w:numPr>
        <w:bidi/>
        <w:spacing w:after="120" w:line="320" w:lineRule="auto"/>
        <w:jc w:val="both"/>
        <w:rPr>
          <w:rFonts w:cs="Arial"/>
        </w:rPr>
      </w:pPr>
      <w:r>
        <w:rPr>
          <w:color w:val="1B1B1B"/>
        </w:rPr>
        <w:t>“قمع المشاعر” و“الحقائق الباطنية” “الحقيقية” التي “تتعارض” مع “الكذب”.</w:t>
      </w:r>
    </w:p>
    <w:p w14:paraId="59A593A7" w14:textId="77777777" w:rsidR="00EC28FF" w:rsidRDefault="00CC34FE">
      <w:pPr>
        <w:pStyle w:val="a4"/>
        <w:numPr>
          <w:ilvl w:val="0"/>
          <w:numId w:val="2"/>
        </w:numPr>
        <w:bidi/>
        <w:spacing w:after="120" w:line="320" w:lineRule="auto"/>
        <w:jc w:val="both"/>
        <w:rPr>
          <w:rFonts w:cs="Arial"/>
        </w:rPr>
      </w:pPr>
      <w:r>
        <w:rPr>
          <w:color w:val="1B1B1B"/>
        </w:rPr>
        <w:t>“التخطيط لردود فعل” “تتناسب” مع “القناع الاجتماعي الزائف” [835].</w:t>
      </w:r>
    </w:p>
    <w:p w14:paraId="401E4F3A" w14:textId="77777777" w:rsidR="00EC28FF" w:rsidRDefault="00CC34FE">
      <w:pPr>
        <w:spacing w:after="180" w:line="340" w:lineRule="auto"/>
        <w:jc w:val="both"/>
        <w:rPr>
          <w:rFonts w:cs="Arial"/>
        </w:rPr>
      </w:pPr>
      <w:r>
        <w:rPr>
          <w:color w:val="1B1B1B"/>
        </w:rPr>
        <w:t>وتؤكد الدراسة التجريبية لفريج وزملائه (</w:t>
      </w:r>
      <w:proofErr w:type="spellStart"/>
      <w:r>
        <w:rPr>
          <w:color w:val="1B1B1B"/>
        </w:rPr>
        <w:t>Vrij</w:t>
      </w:r>
      <w:proofErr w:type="spellEnd"/>
      <w:r>
        <w:rPr>
          <w:color w:val="1B1B1B"/>
        </w:rPr>
        <w:t xml:space="preserve"> </w:t>
      </w:r>
      <w:proofErr w:type="spellStart"/>
      <w:r>
        <w:rPr>
          <w:color w:val="1B1B1B"/>
        </w:rPr>
        <w:t>et</w:t>
      </w:r>
      <w:proofErr w:type="spellEnd"/>
      <w:r>
        <w:rPr>
          <w:color w:val="1B1B1B"/>
        </w:rPr>
        <w:t xml:space="preserve"> </w:t>
      </w:r>
      <w:proofErr w:type="spellStart"/>
      <w:r>
        <w:rPr>
          <w:color w:val="1B1B1B"/>
        </w:rPr>
        <w:t>al</w:t>
      </w:r>
      <w:proofErr w:type="spellEnd"/>
      <w:r>
        <w:rPr>
          <w:color w:val="1B1B1B"/>
        </w:rPr>
        <w:t>., 2008) هذا التوصيف من زاوية تطبيقية: فمقاربة “العبء المعرفي” في الكشف عن الكذب تفترض أن الكذب يستهلك موارد الذاكرة العاملة أكثر من الصدق لأنه يتطلب توليد سردية بديلة، وقمع السردية الحقيقية، ومراقبة أداء المُستمِع في آنٍ واحد — وهو بالضبط ما وصفه الزراع نظرياً قبل أن تؤكده الأدبيات التطبيقية في علم النفس الجنائي والمعرفي.</w:t>
      </w:r>
    </w:p>
    <w:p w14:paraId="65D22A93" w14:textId="77777777" w:rsidR="00EC28FF" w:rsidRDefault="00CC34FE">
      <w:pPr>
        <w:spacing w:after="180" w:line="340" w:lineRule="auto"/>
        <w:jc w:val="both"/>
        <w:rPr>
          <w:rFonts w:cs="Arial"/>
        </w:rPr>
      </w:pPr>
      <w:r>
        <w:rPr>
          <w:color w:val="1B1B1B"/>
        </w:rPr>
        <w:t>وهذا “الجهد الذهني المُضاعف” — كما “يُؤكد” “الزراع” — “يُحوِّل” “الدماغ” إلى “حالة” من “التأهب الدائم” و“الإنهاك المزمن”، مما “يُؤدي” — على “المدى الطويل” — إلى “تآكل” “الصحة النفسية” و“العصبية”.</w:t>
      </w:r>
    </w:p>
    <w:p w14:paraId="4AB846AF" w14:textId="77777777" w:rsidR="00EC28FF" w:rsidRDefault="00CC34FE">
      <w:pPr>
        <w:pStyle w:val="2"/>
        <w:bidi/>
        <w:spacing w:before="260" w:after="140"/>
        <w:jc w:val="right"/>
        <w:rPr>
          <w:rFonts w:cs="Arial"/>
        </w:rPr>
      </w:pPr>
      <w:r>
        <w:rPr>
          <w:b/>
          <w:bCs/>
          <w:color w:val="12665F"/>
          <w:sz w:val="27"/>
          <w:szCs w:val="27"/>
        </w:rPr>
        <w:t xml:space="preserve">2.2 الأدلة العصبية: الكذب وتنشيط القشرة </w:t>
      </w:r>
      <w:proofErr w:type="spellStart"/>
      <w:r>
        <w:rPr>
          <w:b/>
          <w:bCs/>
          <w:color w:val="12665F"/>
          <w:sz w:val="27"/>
          <w:szCs w:val="27"/>
        </w:rPr>
        <w:t>الجبهية</w:t>
      </w:r>
      <w:proofErr w:type="spellEnd"/>
    </w:p>
    <w:p w14:paraId="1A7C7607" w14:textId="77777777" w:rsidR="00EC28FF" w:rsidRDefault="00CC34FE">
      <w:pPr>
        <w:spacing w:after="180" w:line="340" w:lineRule="auto"/>
        <w:jc w:val="both"/>
        <w:rPr>
          <w:rFonts w:cs="Arial"/>
        </w:rPr>
      </w:pPr>
      <w:r>
        <w:rPr>
          <w:color w:val="1B1B1B"/>
        </w:rPr>
        <w:t xml:space="preserve">“أثبتت” “دراسات” “التصوير العصبي” (خاصة “الرنين المغناطيسي الوظيفي” </w:t>
      </w:r>
      <w:proofErr w:type="spellStart"/>
      <w:r>
        <w:rPr>
          <w:color w:val="1B1B1B"/>
        </w:rPr>
        <w:t>fMRI</w:t>
      </w:r>
      <w:proofErr w:type="spellEnd"/>
      <w:r>
        <w:rPr>
          <w:color w:val="1B1B1B"/>
        </w:rPr>
        <w:t xml:space="preserve">) أن “الكذب” — “فعلاً” — “يُشكِّل” “عبئاً معرفياً” “أكبر” من “قول الحقيقة”. فـ“الكذب” — كما “أظهرت” هذه “الدراسات” — “يُنشِّط” “القشرة </w:t>
      </w:r>
      <w:proofErr w:type="spellStart"/>
      <w:r>
        <w:rPr>
          <w:color w:val="1B1B1B"/>
        </w:rPr>
        <w:t>الجبهية</w:t>
      </w:r>
      <w:proofErr w:type="spellEnd"/>
      <w:r>
        <w:rPr>
          <w:color w:val="1B1B1B"/>
        </w:rPr>
        <w:t xml:space="preserve"> الأمامية” (</w:t>
      </w:r>
      <w:proofErr w:type="spellStart"/>
      <w:r>
        <w:rPr>
          <w:color w:val="1B1B1B"/>
        </w:rPr>
        <w:t>Prefrontal</w:t>
      </w:r>
      <w:proofErr w:type="spellEnd"/>
      <w:r>
        <w:rPr>
          <w:color w:val="1B1B1B"/>
        </w:rPr>
        <w:t xml:space="preserve"> </w:t>
      </w:r>
      <w:proofErr w:type="spellStart"/>
      <w:r>
        <w:rPr>
          <w:color w:val="1B1B1B"/>
        </w:rPr>
        <w:t>Cortex</w:t>
      </w:r>
      <w:proofErr w:type="spellEnd"/>
      <w:r>
        <w:rPr>
          <w:color w:val="1B1B1B"/>
        </w:rPr>
        <w:t xml:space="preserve">) — المسؤولة عن “اتخاذ القرار” و“التخطيط” و“التحكم” — بشكل “مفرط” مقارنة بـ“قول الحقيقة”. وقد وثّقت دراسة جرين </w:t>
      </w:r>
      <w:proofErr w:type="spellStart"/>
      <w:r>
        <w:rPr>
          <w:color w:val="1B1B1B"/>
        </w:rPr>
        <w:t>وباكستون</w:t>
      </w:r>
      <w:proofErr w:type="spellEnd"/>
      <w:r>
        <w:rPr>
          <w:color w:val="1B1B1B"/>
        </w:rPr>
        <w:t xml:space="preserve"> (</w:t>
      </w:r>
      <w:proofErr w:type="spellStart"/>
      <w:r>
        <w:rPr>
          <w:color w:val="1B1B1B"/>
        </w:rPr>
        <w:t>Greene</w:t>
      </w:r>
      <w:proofErr w:type="spellEnd"/>
      <w:r>
        <w:rPr>
          <w:color w:val="1B1B1B"/>
        </w:rPr>
        <w:t xml:space="preserve"> &amp; </w:t>
      </w:r>
      <w:proofErr w:type="spellStart"/>
      <w:r>
        <w:rPr>
          <w:color w:val="1B1B1B"/>
        </w:rPr>
        <w:t>Paxton</w:t>
      </w:r>
      <w:proofErr w:type="spellEnd"/>
      <w:r>
        <w:rPr>
          <w:color w:val="1B1B1B"/>
        </w:rPr>
        <w:t xml:space="preserve">, 2009) هذا النمط بدقة، إذ أظهرت أن القرارات الصادقة لدى “الصادقين بطبيعتهم” لا تستدعي تنشيطاً إضافياً للمناطق التنفيذية، بينما تستدعي القرارات الكاذبة — عند الجميع تقريباً — تنشيطاً واضحاً في الشبكات </w:t>
      </w:r>
      <w:proofErr w:type="spellStart"/>
      <w:r>
        <w:rPr>
          <w:color w:val="1B1B1B"/>
        </w:rPr>
        <w:t>الجبهية</w:t>
      </w:r>
      <w:proofErr w:type="spellEnd"/>
      <w:r>
        <w:rPr>
          <w:color w:val="1B1B1B"/>
        </w:rPr>
        <w:t xml:space="preserve">-الجدارية المسؤولة عن الضبط المعرفي وكبح الاستجابة التلقائية. كما أضافت دراسة </w:t>
      </w:r>
      <w:proofErr w:type="spellStart"/>
      <w:r>
        <w:rPr>
          <w:color w:val="1B1B1B"/>
        </w:rPr>
        <w:t>سبنس</w:t>
      </w:r>
      <w:proofErr w:type="spellEnd"/>
      <w:r>
        <w:rPr>
          <w:color w:val="1B1B1B"/>
        </w:rPr>
        <w:t xml:space="preserve"> وزملائه (</w:t>
      </w:r>
      <w:proofErr w:type="spellStart"/>
      <w:r>
        <w:rPr>
          <w:color w:val="1B1B1B"/>
        </w:rPr>
        <w:t>Spence</w:t>
      </w:r>
      <w:proofErr w:type="spellEnd"/>
      <w:r>
        <w:rPr>
          <w:color w:val="1B1B1B"/>
        </w:rPr>
        <w:t xml:space="preserve"> </w:t>
      </w:r>
      <w:proofErr w:type="spellStart"/>
      <w:r>
        <w:rPr>
          <w:color w:val="1B1B1B"/>
        </w:rPr>
        <w:t>et</w:t>
      </w:r>
      <w:proofErr w:type="spellEnd"/>
      <w:r>
        <w:rPr>
          <w:color w:val="1B1B1B"/>
        </w:rPr>
        <w:t xml:space="preserve"> </w:t>
      </w:r>
      <w:proofErr w:type="spellStart"/>
      <w:r>
        <w:rPr>
          <w:color w:val="1B1B1B"/>
        </w:rPr>
        <w:t>al</w:t>
      </w:r>
      <w:proofErr w:type="spellEnd"/>
      <w:r>
        <w:rPr>
          <w:color w:val="1B1B1B"/>
        </w:rPr>
        <w:t>., 2001) بُعداً تشريحياً-وظيفياً مكمّلاً، مبينةً أن الاستجابات الخادعة ترتبط بأزمنة استجابة أطول وتنشيط جبهي أوسع، وهو ما يوحي بأن الصدق هو “المسار العصبي الافتراضي” وأن الكذب “مسار مُقحَم” يتطلب تثبيطاً إضافياً للاستجابة الطبيعية.</w:t>
      </w:r>
    </w:p>
    <w:p w14:paraId="33C8A4D7" w14:textId="77777777" w:rsidR="00EC28FF" w:rsidRDefault="00CC34FE">
      <w:pPr>
        <w:spacing w:after="180" w:line="340" w:lineRule="auto"/>
        <w:jc w:val="both"/>
        <w:rPr>
          <w:rFonts w:cs="Arial"/>
        </w:rPr>
      </w:pPr>
      <w:r>
        <w:rPr>
          <w:color w:val="1B1B1B"/>
        </w:rPr>
        <w:t xml:space="preserve">وهذا “التنشيط الزائد” — كما “يُعلِّق” “الزراع” — هو “دليل” “عصبي” على أن “الكذب” هو “حالة” “غير طبيعية” </w:t>
      </w:r>
      <w:proofErr w:type="spellStart"/>
      <w:r>
        <w:rPr>
          <w:color w:val="1B1B1B"/>
        </w:rPr>
        <w:t>و“مُرهقة</w:t>
      </w:r>
      <w:proofErr w:type="spellEnd"/>
      <w:r>
        <w:rPr>
          <w:color w:val="1B1B1B"/>
        </w:rPr>
        <w:t>” للدماغ، وأن “الصدق” هو “الحالة” “الأسهل” و“الأكثر” “اقتصاداً” في “الطاقة العصبية” [835، 836].</w:t>
      </w:r>
    </w:p>
    <w:p w14:paraId="33688BB8" w14:textId="77777777" w:rsidR="00EC28FF" w:rsidRDefault="00CC34FE">
      <w:pPr>
        <w:pStyle w:val="2"/>
        <w:bidi/>
        <w:spacing w:before="260" w:after="140"/>
        <w:jc w:val="right"/>
        <w:rPr>
          <w:rFonts w:cs="Arial"/>
        </w:rPr>
      </w:pPr>
      <w:r>
        <w:rPr>
          <w:b/>
          <w:bCs/>
          <w:color w:val="12665F"/>
          <w:sz w:val="27"/>
          <w:szCs w:val="27"/>
        </w:rPr>
        <w:t>2.3 الجسد الكاذب: العلامات الجسدية اللاإرادية وحكمة الفطرة</w:t>
      </w:r>
    </w:p>
    <w:p w14:paraId="4CC4F3D9" w14:textId="77777777" w:rsidR="00EC28FF" w:rsidRDefault="00CC34FE">
      <w:pPr>
        <w:spacing w:after="180" w:line="340" w:lineRule="auto"/>
        <w:jc w:val="both"/>
        <w:rPr>
          <w:rFonts w:cs="Arial"/>
        </w:rPr>
      </w:pPr>
      <w:r>
        <w:rPr>
          <w:color w:val="1B1B1B"/>
        </w:rPr>
        <w:t xml:space="preserve">يضيف أنطونيو </w:t>
      </w:r>
      <w:proofErr w:type="spellStart"/>
      <w:r>
        <w:rPr>
          <w:color w:val="1B1B1B"/>
        </w:rPr>
        <w:t>داماسيو</w:t>
      </w:r>
      <w:proofErr w:type="spellEnd"/>
      <w:r>
        <w:rPr>
          <w:color w:val="1B1B1B"/>
        </w:rPr>
        <w:t>، عبر فرضية “العلامات الجسدية” (</w:t>
      </w:r>
      <w:proofErr w:type="spellStart"/>
      <w:r>
        <w:rPr>
          <w:color w:val="1B1B1B"/>
        </w:rPr>
        <w:t>Somatic</w:t>
      </w:r>
      <w:proofErr w:type="spellEnd"/>
      <w:r>
        <w:rPr>
          <w:color w:val="1B1B1B"/>
        </w:rPr>
        <w:t xml:space="preserve"> </w:t>
      </w:r>
      <w:proofErr w:type="spellStart"/>
      <w:r>
        <w:rPr>
          <w:color w:val="1B1B1B"/>
        </w:rPr>
        <w:t>Marker</w:t>
      </w:r>
      <w:proofErr w:type="spellEnd"/>
      <w:r>
        <w:rPr>
          <w:color w:val="1B1B1B"/>
        </w:rPr>
        <w:t xml:space="preserve"> </w:t>
      </w:r>
      <w:proofErr w:type="spellStart"/>
      <w:r>
        <w:rPr>
          <w:color w:val="1B1B1B"/>
        </w:rPr>
        <w:t>Hypothesis</w:t>
      </w:r>
      <w:proofErr w:type="spellEnd"/>
      <w:r>
        <w:rPr>
          <w:color w:val="1B1B1B"/>
        </w:rPr>
        <w:t>) (</w:t>
      </w:r>
      <w:proofErr w:type="spellStart"/>
      <w:r>
        <w:rPr>
          <w:color w:val="1B1B1B"/>
        </w:rPr>
        <w:t>Damasio</w:t>
      </w:r>
      <w:proofErr w:type="spellEnd"/>
      <w:r>
        <w:rPr>
          <w:color w:val="1B1B1B"/>
        </w:rPr>
        <w:t xml:space="preserve">, 1994)، تفسيراً عصبياً-جسدياً مكمِّلاً: فالقرارات الأخلاقية ليست عمليات عقلية مجردة، بل تصحبها إشارات جسدية (تغيّر معدل ضربات القلب، والتعرّق، وتوتر العضلات) تعمل بمثابة “إنذار” مبكر حين يوشك الفعل على مخالفة السياق القيمي المتجذر في الجسد نفسه. وهذا يمنح المفهوم الاستخلافي عن “جدار الحماية الفطري” سنداً تجريبياً إضافياً: فالجسد ذاته — لا العقل وحده — “يَعرف” حين يُكذَب عليه، ويستجيب بعلامات فيزيولوجية لا إرادية (اضطراب الجهاز العصبي </w:t>
      </w:r>
      <w:proofErr w:type="spellStart"/>
      <w:r>
        <w:rPr>
          <w:color w:val="1B1B1B"/>
        </w:rPr>
        <w:t>اللاودي</w:t>
      </w:r>
      <w:proofErr w:type="spellEnd"/>
      <w:r>
        <w:rPr>
          <w:color w:val="1B1B1B"/>
        </w:rPr>
        <w:t xml:space="preserve">، وارتفاع الكورتيزول) يمكن قراءتها بوصفها “صرخة الفطرة” ضد الاعتداء عليها. وفي السياق ذاته، توثّق دراسة </w:t>
      </w:r>
      <w:proofErr w:type="spellStart"/>
      <w:r>
        <w:rPr>
          <w:color w:val="1B1B1B"/>
        </w:rPr>
        <w:t>ديبولو</w:t>
      </w:r>
      <w:proofErr w:type="spellEnd"/>
      <w:r>
        <w:rPr>
          <w:color w:val="1B1B1B"/>
        </w:rPr>
        <w:t xml:space="preserve"> وزملائها الواسعة النطاق (</w:t>
      </w:r>
      <w:proofErr w:type="spellStart"/>
      <w:r>
        <w:rPr>
          <w:color w:val="1B1B1B"/>
        </w:rPr>
        <w:t>DePaulo</w:t>
      </w:r>
      <w:proofErr w:type="spellEnd"/>
      <w:r>
        <w:rPr>
          <w:color w:val="1B1B1B"/>
        </w:rPr>
        <w:t xml:space="preserve"> </w:t>
      </w:r>
      <w:proofErr w:type="spellStart"/>
      <w:r>
        <w:rPr>
          <w:color w:val="1B1B1B"/>
        </w:rPr>
        <w:t>et</w:t>
      </w:r>
      <w:proofErr w:type="spellEnd"/>
      <w:r>
        <w:rPr>
          <w:color w:val="1B1B1B"/>
        </w:rPr>
        <w:t xml:space="preserve"> </w:t>
      </w:r>
      <w:proofErr w:type="spellStart"/>
      <w:r>
        <w:rPr>
          <w:color w:val="1B1B1B"/>
        </w:rPr>
        <w:t>al</w:t>
      </w:r>
      <w:proofErr w:type="spellEnd"/>
      <w:r>
        <w:rPr>
          <w:color w:val="1B1B1B"/>
        </w:rPr>
        <w:t>., 1996) أن الكذب اليومي، رغم شيوعه الإحصائي، يظل مصحوباً بتوتر نفسي-جسدي ملحوظ حتى في “الأكاذيب الصغيرة”، مما يرجّح أن كلفة الكذب الفسيولوجية ليست حكراً على الأكاذيب الكبرى، بل سمة بنيوية للفعل نفسه أياً كانت درجته.</w:t>
      </w:r>
    </w:p>
    <w:p w14:paraId="3ACBBC26" w14:textId="77777777" w:rsidR="00EC28FF" w:rsidRDefault="00CC34FE">
      <w:pPr>
        <w:pStyle w:val="1"/>
        <w:pBdr>
          <w:bottom w:val="single" w:sz="12" w:space="0" w:color="12665F"/>
        </w:pBdr>
        <w:bidi/>
        <w:spacing w:before="420" w:after="200"/>
        <w:jc w:val="right"/>
        <w:rPr>
          <w:rFonts w:cs="Arial"/>
        </w:rPr>
      </w:pPr>
      <w:r>
        <w:rPr>
          <w:b/>
          <w:bCs/>
          <w:color w:val="0F2A4A"/>
        </w:rPr>
        <w:t>الفصل الثالث: الكذب والخطاب — من الفعل الفردي إلى البنية الاجتماعية</w:t>
      </w:r>
    </w:p>
    <w:p w14:paraId="34FDE25C" w14:textId="77777777" w:rsidR="00EC28FF" w:rsidRDefault="00CC34FE">
      <w:pPr>
        <w:pStyle w:val="2"/>
        <w:bidi/>
        <w:spacing w:before="260" w:after="140"/>
        <w:jc w:val="right"/>
        <w:rPr>
          <w:rFonts w:cs="Arial"/>
        </w:rPr>
      </w:pPr>
      <w:r>
        <w:rPr>
          <w:b/>
          <w:bCs/>
          <w:color w:val="12665F"/>
          <w:sz w:val="27"/>
          <w:szCs w:val="27"/>
        </w:rPr>
        <w:t xml:space="preserve">3.1 </w:t>
      </w:r>
      <w:proofErr w:type="spellStart"/>
      <w:r>
        <w:rPr>
          <w:b/>
          <w:bCs/>
          <w:color w:val="12665F"/>
          <w:sz w:val="27"/>
          <w:szCs w:val="27"/>
        </w:rPr>
        <w:t>هابرماس</w:t>
      </w:r>
      <w:proofErr w:type="spellEnd"/>
      <w:r>
        <w:rPr>
          <w:b/>
          <w:bCs/>
          <w:color w:val="12665F"/>
          <w:sz w:val="27"/>
          <w:szCs w:val="27"/>
        </w:rPr>
        <w:t xml:space="preserve"> ومطلب الصدقية: انهيار العقلانية التواصلية</w:t>
      </w:r>
    </w:p>
    <w:p w14:paraId="0AE1B420" w14:textId="77777777" w:rsidR="00EC28FF" w:rsidRDefault="00CC34FE">
      <w:pPr>
        <w:spacing w:after="180" w:line="340" w:lineRule="auto"/>
        <w:jc w:val="both"/>
        <w:rPr>
          <w:rFonts w:cs="Arial"/>
        </w:rPr>
      </w:pPr>
      <w:r>
        <w:rPr>
          <w:color w:val="1B1B1B"/>
        </w:rPr>
        <w:t xml:space="preserve">يميّز </w:t>
      </w:r>
      <w:proofErr w:type="spellStart"/>
      <w:r>
        <w:rPr>
          <w:color w:val="1B1B1B"/>
        </w:rPr>
        <w:t>يورغن</w:t>
      </w:r>
      <w:proofErr w:type="spellEnd"/>
      <w:r>
        <w:rPr>
          <w:color w:val="1B1B1B"/>
        </w:rPr>
        <w:t xml:space="preserve"> </w:t>
      </w:r>
      <w:proofErr w:type="spellStart"/>
      <w:r>
        <w:rPr>
          <w:color w:val="1B1B1B"/>
        </w:rPr>
        <w:t>هابرماس</w:t>
      </w:r>
      <w:proofErr w:type="spellEnd"/>
      <w:r>
        <w:rPr>
          <w:color w:val="1B1B1B"/>
        </w:rPr>
        <w:t xml:space="preserve"> في نظريته عن الفعل التواصلي (</w:t>
      </w:r>
      <w:proofErr w:type="spellStart"/>
      <w:r>
        <w:rPr>
          <w:color w:val="1B1B1B"/>
        </w:rPr>
        <w:t>Habermas</w:t>
      </w:r>
      <w:proofErr w:type="spellEnd"/>
      <w:r>
        <w:rPr>
          <w:color w:val="1B1B1B"/>
        </w:rPr>
        <w:t>, 1981) بين ثلاثة “مطالب صلاحية” (</w:t>
      </w:r>
      <w:proofErr w:type="spellStart"/>
      <w:r>
        <w:rPr>
          <w:color w:val="1B1B1B"/>
        </w:rPr>
        <w:t>validity</w:t>
      </w:r>
      <w:proofErr w:type="spellEnd"/>
      <w:r>
        <w:rPr>
          <w:color w:val="1B1B1B"/>
        </w:rPr>
        <w:t xml:space="preserve"> </w:t>
      </w:r>
      <w:proofErr w:type="spellStart"/>
      <w:r>
        <w:rPr>
          <w:color w:val="1B1B1B"/>
        </w:rPr>
        <w:t>claims</w:t>
      </w:r>
      <w:proofErr w:type="spellEnd"/>
      <w:r>
        <w:rPr>
          <w:color w:val="1B1B1B"/>
        </w:rPr>
        <w:t>) يفترضها أي فعل كلامي ناجح: الصدق الموضوعي (</w:t>
      </w:r>
      <w:proofErr w:type="spellStart"/>
      <w:r>
        <w:rPr>
          <w:color w:val="1B1B1B"/>
        </w:rPr>
        <w:t>Wahrheit</w:t>
      </w:r>
      <w:proofErr w:type="spellEnd"/>
      <w:r>
        <w:rPr>
          <w:color w:val="1B1B1B"/>
        </w:rPr>
        <w:t>) في وصف الوقائع، والصواب المعياري (</w:t>
      </w:r>
      <w:proofErr w:type="spellStart"/>
      <w:r>
        <w:rPr>
          <w:color w:val="1B1B1B"/>
        </w:rPr>
        <w:t>Richtigkeit</w:t>
      </w:r>
      <w:proofErr w:type="spellEnd"/>
      <w:r>
        <w:rPr>
          <w:color w:val="1B1B1B"/>
        </w:rPr>
        <w:t>) في احترام الأعراف المشتركة، والصدقية الذاتية (</w:t>
      </w:r>
      <w:proofErr w:type="spellStart"/>
      <w:r>
        <w:rPr>
          <w:color w:val="1B1B1B"/>
        </w:rPr>
        <w:t>Wahrhaftigkeit</w:t>
      </w:r>
      <w:proofErr w:type="spellEnd"/>
      <w:r>
        <w:rPr>
          <w:color w:val="1B1B1B"/>
        </w:rPr>
        <w:t xml:space="preserve">) في تعبير المتكلم عن نيّته الباطنة. والكذب، عند </w:t>
      </w:r>
      <w:proofErr w:type="spellStart"/>
      <w:r>
        <w:rPr>
          <w:color w:val="1B1B1B"/>
        </w:rPr>
        <w:t>هابرماس</w:t>
      </w:r>
      <w:proofErr w:type="spellEnd"/>
      <w:r>
        <w:rPr>
          <w:color w:val="1B1B1B"/>
        </w:rPr>
        <w:t xml:space="preserve">، ليس مجرد خطأ في المطلب الأول (الصدق الموضوعي)، بل خرقٌ خفيّ للمطلب الثالث (الصدقية): إذ يقدّم الكاذب نيّة مزيّفة يعلم هو وحده زيفها، فيستغل بنية الثقة التي تقوم عليها كل عملية تواصل، ويستهلكها دون أن يفي بشرطها. وهذا يقدّم صياغة اجتماعية-لغوية لما يسميه الزراع “اختراق النظام”: فالكذب، من منظور </w:t>
      </w:r>
      <w:proofErr w:type="spellStart"/>
      <w:r>
        <w:rPr>
          <w:color w:val="1B1B1B"/>
        </w:rPr>
        <w:t>هابرماسي</w:t>
      </w:r>
      <w:proofErr w:type="spellEnd"/>
      <w:r>
        <w:rPr>
          <w:color w:val="1B1B1B"/>
        </w:rPr>
        <w:t>، لا يُفسد فقط علاقة الكاذب بذاته، بل يُفسد البنية التحتية الرمزية التي يقوم عليها أي مجتمع متواصل عقلانياً.</w:t>
      </w:r>
    </w:p>
    <w:p w14:paraId="0FC7D4CB" w14:textId="77777777" w:rsidR="00EC28FF" w:rsidRDefault="00CC34FE">
      <w:pPr>
        <w:pStyle w:val="2"/>
        <w:bidi/>
        <w:spacing w:before="260" w:after="140"/>
        <w:jc w:val="right"/>
        <w:rPr>
          <w:rFonts w:cs="Arial"/>
        </w:rPr>
      </w:pPr>
      <w:r>
        <w:rPr>
          <w:b/>
          <w:bCs/>
          <w:color w:val="12665F"/>
          <w:sz w:val="27"/>
          <w:szCs w:val="27"/>
        </w:rPr>
        <w:t xml:space="preserve">3.2 </w:t>
      </w:r>
      <w:proofErr w:type="spellStart"/>
      <w:r>
        <w:rPr>
          <w:b/>
          <w:bCs/>
          <w:color w:val="12665F"/>
          <w:sz w:val="27"/>
          <w:szCs w:val="27"/>
        </w:rPr>
        <w:t>بورديو</w:t>
      </w:r>
      <w:proofErr w:type="spellEnd"/>
      <w:r>
        <w:rPr>
          <w:b/>
          <w:bCs/>
          <w:color w:val="12665F"/>
          <w:sz w:val="27"/>
          <w:szCs w:val="27"/>
        </w:rPr>
        <w:t xml:space="preserve"> والعنف الرمزي: الكذب كرأسمال اجتماعي مموَّه</w:t>
      </w:r>
    </w:p>
    <w:p w14:paraId="003B26D3" w14:textId="77777777" w:rsidR="00EC28FF" w:rsidRDefault="00CC34FE">
      <w:pPr>
        <w:spacing w:after="180" w:line="340" w:lineRule="auto"/>
        <w:jc w:val="both"/>
        <w:rPr>
          <w:rFonts w:cs="Arial"/>
        </w:rPr>
      </w:pPr>
      <w:r>
        <w:rPr>
          <w:color w:val="1B1B1B"/>
        </w:rPr>
        <w:t xml:space="preserve">يقدّم بيير </w:t>
      </w:r>
      <w:proofErr w:type="spellStart"/>
      <w:r>
        <w:rPr>
          <w:color w:val="1B1B1B"/>
        </w:rPr>
        <w:t>بورديو</w:t>
      </w:r>
      <w:proofErr w:type="spellEnd"/>
      <w:r>
        <w:rPr>
          <w:color w:val="1B1B1B"/>
        </w:rPr>
        <w:t>، عبر مفهومَي “</w:t>
      </w:r>
      <w:proofErr w:type="spellStart"/>
      <w:r>
        <w:rPr>
          <w:color w:val="1B1B1B"/>
        </w:rPr>
        <w:t>الهابيتوس</w:t>
      </w:r>
      <w:proofErr w:type="spellEnd"/>
      <w:r>
        <w:rPr>
          <w:color w:val="1B1B1B"/>
        </w:rPr>
        <w:t>” و“العنف الرمزي” (</w:t>
      </w:r>
      <w:proofErr w:type="spellStart"/>
      <w:r>
        <w:rPr>
          <w:color w:val="1B1B1B"/>
        </w:rPr>
        <w:t>Bourdieu</w:t>
      </w:r>
      <w:proofErr w:type="spellEnd"/>
      <w:r>
        <w:rPr>
          <w:color w:val="1B1B1B"/>
        </w:rPr>
        <w:t xml:space="preserve">, 1991)، عدسة </w:t>
      </w:r>
      <w:proofErr w:type="spellStart"/>
      <w:r>
        <w:rPr>
          <w:color w:val="1B1B1B"/>
        </w:rPr>
        <w:t>سوسيولوجية</w:t>
      </w:r>
      <w:proofErr w:type="spellEnd"/>
      <w:r>
        <w:rPr>
          <w:color w:val="1B1B1B"/>
        </w:rPr>
        <w:t xml:space="preserve"> إضافية: فالكذب لا يقع دائماً بوصفه فعلاً فردياً واعياً، بل قد يتحول إلى “</w:t>
      </w:r>
      <w:proofErr w:type="spellStart"/>
      <w:r>
        <w:rPr>
          <w:color w:val="1B1B1B"/>
        </w:rPr>
        <w:t>هابيتوس</w:t>
      </w:r>
      <w:proofErr w:type="spellEnd"/>
      <w:r>
        <w:rPr>
          <w:color w:val="1B1B1B"/>
        </w:rPr>
        <w:t>” مكتسب، أي استعداداً مندمجاً في الجسد والسلوك يُعاد إنتاجه دون تفكير واعٍ، خاصة في السياقات التي يُكافَأ فيها التمويه الاجتماعي (كالمجاملة المؤسسية، أو “الكذب الأبيض” الوظيفي). وحين يتحول الزيف إلى “رأسمال رمزي” يُستثمر للحصول على مكانة أو نفوذ، فإنه يمارس “عنفاً رمزياً” خفياً: يُقنِع الضحية بشرعية الوضع الذي أنتجه الخداع نفسه. وهذا يوسّع أفق النموذج الاستخلافي من مستوى “الكاذب الفرد” إلى مستوى “البنية الاجتماعية المُنتِجة للكذب”، ويطرح سؤالاً لم يُفرَد له حيّز كافٍ في الطبعة الأصلية: كيف تُعيد المؤسسات والأعراف الاجتماعية إنتاج “فيروس” الكذب على نطاق جمعي؟</w:t>
      </w:r>
    </w:p>
    <w:p w14:paraId="784D0D2B" w14:textId="77777777" w:rsidR="00EC28FF" w:rsidRDefault="00CC34FE">
      <w:pPr>
        <w:pStyle w:val="2"/>
        <w:bidi/>
        <w:spacing w:before="260" w:after="140"/>
        <w:jc w:val="right"/>
        <w:rPr>
          <w:rFonts w:cs="Arial"/>
        </w:rPr>
      </w:pPr>
      <w:r>
        <w:rPr>
          <w:b/>
          <w:bCs/>
          <w:color w:val="12665F"/>
          <w:sz w:val="27"/>
          <w:szCs w:val="27"/>
        </w:rPr>
        <w:t>3.3 قراءة استخلافية: من اختراق الفرد إلى تفكك الأمانة الجمعية</w:t>
      </w:r>
    </w:p>
    <w:p w14:paraId="3EFF2462" w14:textId="77777777" w:rsidR="00EC28FF" w:rsidRDefault="00CC34FE">
      <w:pPr>
        <w:spacing w:after="180" w:line="340" w:lineRule="auto"/>
        <w:jc w:val="both"/>
        <w:rPr>
          <w:rFonts w:cs="Arial"/>
        </w:rPr>
      </w:pPr>
      <w:r>
        <w:rPr>
          <w:color w:val="1B1B1B"/>
        </w:rPr>
        <w:t xml:space="preserve">بقراءة </w:t>
      </w:r>
      <w:proofErr w:type="spellStart"/>
      <w:r>
        <w:rPr>
          <w:color w:val="1B1B1B"/>
        </w:rPr>
        <w:t>هابرماس</w:t>
      </w:r>
      <w:proofErr w:type="spellEnd"/>
      <w:r>
        <w:rPr>
          <w:color w:val="1B1B1B"/>
        </w:rPr>
        <w:t xml:space="preserve"> </w:t>
      </w:r>
      <w:proofErr w:type="spellStart"/>
      <w:r>
        <w:rPr>
          <w:color w:val="1B1B1B"/>
        </w:rPr>
        <w:t>وبورديو</w:t>
      </w:r>
      <w:proofErr w:type="spellEnd"/>
      <w:r>
        <w:rPr>
          <w:color w:val="1B1B1B"/>
        </w:rPr>
        <w:t xml:space="preserve"> من زاوية استخلافية، يمكن القول إن “جدار الحماية” الفطري ليس شأناً فردياً معزولاً، بل هو أيضاً شبكة من “جدران” متبادلة تُبنى بها الثقة الاجتماعية. فحين ينهار الصدق كـ“مطلب صدقية” فردي، تنهار معه — تراكمياً — العقلانية التواصلية التي يقوم عليها التعاقد الاجتماعي والعمران البشري، وهو ما سيُبنى عليه لاحقاً في الفصل السابع عند مناقشة ابن خلدون والعصبية.</w:t>
      </w:r>
    </w:p>
    <w:p w14:paraId="5D238BC2" w14:textId="77777777" w:rsidR="00EC28FF" w:rsidRDefault="00CC34FE">
      <w:pPr>
        <w:pStyle w:val="1"/>
        <w:pBdr>
          <w:bottom w:val="single" w:sz="12" w:space="0" w:color="12665F"/>
        </w:pBdr>
        <w:bidi/>
        <w:spacing w:before="420" w:after="200"/>
        <w:jc w:val="right"/>
        <w:rPr>
          <w:rFonts w:cs="Arial"/>
        </w:rPr>
      </w:pPr>
      <w:r>
        <w:rPr>
          <w:b/>
          <w:bCs/>
          <w:color w:val="0F2A4A"/>
        </w:rPr>
        <w:t>الفصل الرابع: الكذب والفصام الأخلاقي — انقسام الذات وضياع المعنى</w:t>
      </w:r>
    </w:p>
    <w:p w14:paraId="37B5683F" w14:textId="77777777" w:rsidR="00EC28FF" w:rsidRDefault="00CC34FE">
      <w:pPr>
        <w:pStyle w:val="2"/>
        <w:bidi/>
        <w:spacing w:before="260" w:after="140"/>
        <w:jc w:val="right"/>
        <w:rPr>
          <w:rFonts w:cs="Arial"/>
        </w:rPr>
      </w:pPr>
      <w:r>
        <w:rPr>
          <w:b/>
          <w:bCs/>
          <w:color w:val="12665F"/>
          <w:sz w:val="27"/>
          <w:szCs w:val="27"/>
        </w:rPr>
        <w:t>4.1 الكذب المزمن وانفصام الهوية</w:t>
      </w:r>
    </w:p>
    <w:p w14:paraId="456CF966" w14:textId="77777777" w:rsidR="00EC28FF" w:rsidRDefault="00CC34FE">
      <w:pPr>
        <w:spacing w:after="180" w:line="340" w:lineRule="auto"/>
        <w:jc w:val="both"/>
        <w:rPr>
          <w:rFonts w:cs="Arial"/>
        </w:rPr>
      </w:pPr>
      <w:r>
        <w:rPr>
          <w:color w:val="1B1B1B"/>
        </w:rPr>
        <w:t xml:space="preserve">“يُجادل” “الزراع” بأن “الكذب المزمن” — </w:t>
      </w:r>
      <w:proofErr w:type="spellStart"/>
      <w:r>
        <w:rPr>
          <w:color w:val="1B1B1B"/>
        </w:rPr>
        <w:t>و“المُتكرر</w:t>
      </w:r>
      <w:proofErr w:type="spellEnd"/>
      <w:r>
        <w:rPr>
          <w:color w:val="1B1B1B"/>
        </w:rPr>
        <w:t xml:space="preserve">” — “لا يَمر” دون “أن يَترك” “آثاراً” “مدمرة” على “بنية” “الشخصية” و“هوية” “الذات”. فـ“الكاذب” — عبر “تكرار” “أكاذيبه” — “يَخلق” — “تدريجياً” — “عالمين” “مُتوازيين” </w:t>
      </w:r>
      <w:proofErr w:type="spellStart"/>
      <w:r>
        <w:rPr>
          <w:color w:val="1B1B1B"/>
        </w:rPr>
        <w:t>و“مُتناقضين</w:t>
      </w:r>
      <w:proofErr w:type="spellEnd"/>
      <w:r>
        <w:rPr>
          <w:color w:val="1B1B1B"/>
        </w:rPr>
        <w:t>”: “عالم” “الحقيقة الباطني” (ما “يَعرفه” عن “نفسه”) و“عالم” “الزيف الظاهري” (ما “يُظهره” للآخرين). وهذا “الانقسام” — كما “يُحذِّر” — “يُؤدي” إلى “حالة” من “الفصام الأخلاقي” (</w:t>
      </w:r>
      <w:proofErr w:type="spellStart"/>
      <w:r>
        <w:rPr>
          <w:color w:val="1B1B1B"/>
        </w:rPr>
        <w:t>Moral</w:t>
      </w:r>
      <w:proofErr w:type="spellEnd"/>
      <w:r>
        <w:rPr>
          <w:color w:val="1B1B1B"/>
        </w:rPr>
        <w:t xml:space="preserve"> </w:t>
      </w:r>
      <w:proofErr w:type="spellStart"/>
      <w:r>
        <w:rPr>
          <w:color w:val="1B1B1B"/>
        </w:rPr>
        <w:t>Schizophrenia</w:t>
      </w:r>
      <w:proofErr w:type="spellEnd"/>
      <w:r>
        <w:rPr>
          <w:color w:val="1B1B1B"/>
        </w:rPr>
        <w:t>) و“التنافر المعرفي” (</w:t>
      </w:r>
      <w:proofErr w:type="spellStart"/>
      <w:r>
        <w:rPr>
          <w:color w:val="1B1B1B"/>
        </w:rPr>
        <w:t>Cognitive</w:t>
      </w:r>
      <w:proofErr w:type="spellEnd"/>
      <w:r>
        <w:rPr>
          <w:color w:val="1B1B1B"/>
        </w:rPr>
        <w:t xml:space="preserve"> </w:t>
      </w:r>
      <w:proofErr w:type="spellStart"/>
      <w:r>
        <w:rPr>
          <w:color w:val="1B1B1B"/>
        </w:rPr>
        <w:t>Dissonance</w:t>
      </w:r>
      <w:proofErr w:type="spellEnd"/>
      <w:r>
        <w:rPr>
          <w:color w:val="1B1B1B"/>
        </w:rPr>
        <w:t xml:space="preserve">): “صراع” “داخلي” “حاد” بين “الصورة الذاتية” (أنا إنسان صالح) و“السلوك الواقعي” (أنا أكذب)، مما “يُولِّد” “قلقاً وجودياً مزمناً” </w:t>
      </w:r>
      <w:proofErr w:type="spellStart"/>
      <w:r>
        <w:rPr>
          <w:color w:val="1B1B1B"/>
        </w:rPr>
        <w:t>و“شعوراً</w:t>
      </w:r>
      <w:proofErr w:type="spellEnd"/>
      <w:r>
        <w:rPr>
          <w:color w:val="1B1B1B"/>
        </w:rPr>
        <w:t>” بـ“الضياع” و“الاغتراب” عن “الذات” [836، 860].</w:t>
      </w:r>
    </w:p>
    <w:p w14:paraId="00A8A6F5" w14:textId="77777777" w:rsidR="00EC28FF" w:rsidRDefault="00CC34FE">
      <w:pPr>
        <w:pStyle w:val="2"/>
        <w:bidi/>
        <w:spacing w:before="260" w:after="140"/>
        <w:jc w:val="right"/>
        <w:rPr>
          <w:rFonts w:cs="Arial"/>
        </w:rPr>
      </w:pPr>
      <w:r>
        <w:rPr>
          <w:b/>
          <w:bCs/>
          <w:color w:val="12665F"/>
          <w:sz w:val="27"/>
          <w:szCs w:val="27"/>
        </w:rPr>
        <w:t xml:space="preserve">4.2 </w:t>
      </w:r>
      <w:proofErr w:type="spellStart"/>
      <w:r>
        <w:rPr>
          <w:b/>
          <w:bCs/>
          <w:color w:val="12665F"/>
          <w:sz w:val="27"/>
          <w:szCs w:val="27"/>
        </w:rPr>
        <w:t>ماكنتاير</w:t>
      </w:r>
      <w:proofErr w:type="spellEnd"/>
      <w:r>
        <w:rPr>
          <w:b/>
          <w:bCs/>
          <w:color w:val="12665F"/>
          <w:sz w:val="27"/>
          <w:szCs w:val="27"/>
        </w:rPr>
        <w:t xml:space="preserve"> والوحدة السردية للذات: كيف يمزّق الكذب حبكة الحياة</w:t>
      </w:r>
    </w:p>
    <w:p w14:paraId="6119C3DE" w14:textId="77777777" w:rsidR="00EC28FF" w:rsidRDefault="00CC34FE">
      <w:pPr>
        <w:spacing w:after="180" w:line="340" w:lineRule="auto"/>
        <w:jc w:val="both"/>
        <w:rPr>
          <w:rFonts w:cs="Arial"/>
        </w:rPr>
      </w:pPr>
      <w:r>
        <w:rPr>
          <w:color w:val="1B1B1B"/>
        </w:rPr>
        <w:t xml:space="preserve">يقدّم </w:t>
      </w:r>
      <w:proofErr w:type="spellStart"/>
      <w:r>
        <w:rPr>
          <w:color w:val="1B1B1B"/>
        </w:rPr>
        <w:t>ألاسدير</w:t>
      </w:r>
      <w:proofErr w:type="spellEnd"/>
      <w:r>
        <w:rPr>
          <w:color w:val="1B1B1B"/>
        </w:rPr>
        <w:t xml:space="preserve"> </w:t>
      </w:r>
      <w:proofErr w:type="spellStart"/>
      <w:r>
        <w:rPr>
          <w:color w:val="1B1B1B"/>
        </w:rPr>
        <w:t>ماكنتاير</w:t>
      </w:r>
      <w:proofErr w:type="spellEnd"/>
      <w:r>
        <w:rPr>
          <w:color w:val="1B1B1B"/>
        </w:rPr>
        <w:t xml:space="preserve"> في “بعد الفضيلة” (</w:t>
      </w:r>
      <w:proofErr w:type="spellStart"/>
      <w:r>
        <w:rPr>
          <w:color w:val="1B1B1B"/>
        </w:rPr>
        <w:t>MacIntyre</w:t>
      </w:r>
      <w:proofErr w:type="spellEnd"/>
      <w:r>
        <w:rPr>
          <w:color w:val="1B1B1B"/>
        </w:rPr>
        <w:t>, 1981) مفهوماً محورياً هو “الوحدة السردية للحياة البشرية” (</w:t>
      </w:r>
      <w:proofErr w:type="spellStart"/>
      <w:r>
        <w:rPr>
          <w:color w:val="1B1B1B"/>
        </w:rPr>
        <w:t>narrative</w:t>
      </w:r>
      <w:proofErr w:type="spellEnd"/>
      <w:r>
        <w:rPr>
          <w:color w:val="1B1B1B"/>
        </w:rPr>
        <w:t xml:space="preserve"> </w:t>
      </w:r>
      <w:proofErr w:type="spellStart"/>
      <w:r>
        <w:rPr>
          <w:color w:val="1B1B1B"/>
        </w:rPr>
        <w:t>unity</w:t>
      </w:r>
      <w:proofErr w:type="spellEnd"/>
      <w:r>
        <w:rPr>
          <w:color w:val="1B1B1B"/>
        </w:rPr>
        <w:t>): فالفعل الأخلاقي لا يُفهَم بمعزل عن سياقه ضمن “قصة” متماسكة يرويها الفرد عن ذاته عبر الزمن، تربط ماضيه بحاضره ومستقبله ضمن غاية (</w:t>
      </w:r>
      <w:proofErr w:type="spellStart"/>
      <w:r>
        <w:rPr>
          <w:color w:val="1B1B1B"/>
        </w:rPr>
        <w:t>تيلوس</w:t>
      </w:r>
      <w:proofErr w:type="spellEnd"/>
      <w:r>
        <w:rPr>
          <w:color w:val="1B1B1B"/>
        </w:rPr>
        <w:t xml:space="preserve">) واحدة. والكذب المتكرر، في هذا الإطار، ليس مجرد خرق أخلاقي منعزل، بل تمزيق فعلي لنسيج هذه السردية: فكل كذبة تفتح “فرعاً </w:t>
      </w:r>
      <w:proofErr w:type="spellStart"/>
      <w:r>
        <w:rPr>
          <w:color w:val="1B1B1B"/>
        </w:rPr>
        <w:t>سردياً</w:t>
      </w:r>
      <w:proofErr w:type="spellEnd"/>
      <w:r>
        <w:rPr>
          <w:color w:val="1B1B1B"/>
        </w:rPr>
        <w:t xml:space="preserve">” مواِزياً يجب الحفاظ عليه وتغذيته باستمرار، حتى تتحول “حياة الكاذب” إلى نصوص متعددة متنافرة بدل نصّ واحد متماسك. وهذا يقدّم صياغة فلسفية دقيقة لما يسميه الزراع “العالمين المتوازيين”: فما كان استعارة نفسية عند الزراع يجد عند </w:t>
      </w:r>
      <w:proofErr w:type="spellStart"/>
      <w:r>
        <w:rPr>
          <w:color w:val="1B1B1B"/>
        </w:rPr>
        <w:t>ماكنتاير</w:t>
      </w:r>
      <w:proofErr w:type="spellEnd"/>
      <w:r>
        <w:rPr>
          <w:color w:val="1B1B1B"/>
        </w:rPr>
        <w:t xml:space="preserve"> تأصيلاً في فلسفة الفعل والسردية الأخلاقية ذاتها.</w:t>
      </w:r>
    </w:p>
    <w:p w14:paraId="347C04B3" w14:textId="77777777" w:rsidR="00EC28FF" w:rsidRDefault="00CC34FE">
      <w:pPr>
        <w:pStyle w:val="2"/>
        <w:bidi/>
        <w:spacing w:before="260" w:after="140"/>
        <w:jc w:val="right"/>
        <w:rPr>
          <w:rFonts w:cs="Arial"/>
        </w:rPr>
      </w:pPr>
      <w:r>
        <w:rPr>
          <w:b/>
          <w:bCs/>
          <w:color w:val="12665F"/>
          <w:sz w:val="27"/>
          <w:szCs w:val="27"/>
        </w:rPr>
        <w:t xml:space="preserve">4.3 </w:t>
      </w:r>
      <w:proofErr w:type="spellStart"/>
      <w:r>
        <w:rPr>
          <w:b/>
          <w:bCs/>
          <w:color w:val="12665F"/>
          <w:sz w:val="27"/>
          <w:szCs w:val="27"/>
        </w:rPr>
        <w:t>فرانكل</w:t>
      </w:r>
      <w:proofErr w:type="spellEnd"/>
      <w:r>
        <w:rPr>
          <w:b/>
          <w:bCs/>
          <w:color w:val="12665F"/>
          <w:sz w:val="27"/>
          <w:szCs w:val="27"/>
        </w:rPr>
        <w:t xml:space="preserve"> ومعنى الوجود: الكذب هروباً من إرادة المعنى</w:t>
      </w:r>
    </w:p>
    <w:p w14:paraId="14CD1F4C" w14:textId="77777777" w:rsidR="00EC28FF" w:rsidRDefault="00CC34FE">
      <w:pPr>
        <w:spacing w:after="180" w:line="340" w:lineRule="auto"/>
        <w:jc w:val="both"/>
        <w:rPr>
          <w:rFonts w:cs="Arial"/>
        </w:rPr>
      </w:pPr>
      <w:r>
        <w:rPr>
          <w:color w:val="1B1B1B"/>
        </w:rPr>
        <w:t xml:space="preserve">يرى فيكتور </w:t>
      </w:r>
      <w:proofErr w:type="spellStart"/>
      <w:r>
        <w:rPr>
          <w:color w:val="1B1B1B"/>
        </w:rPr>
        <w:t>فرانكل</w:t>
      </w:r>
      <w:proofErr w:type="spellEnd"/>
      <w:r>
        <w:rPr>
          <w:color w:val="1B1B1B"/>
        </w:rPr>
        <w:t>، مؤسس العلاج بالمعنى (</w:t>
      </w:r>
      <w:proofErr w:type="spellStart"/>
      <w:r>
        <w:rPr>
          <w:color w:val="1B1B1B"/>
        </w:rPr>
        <w:t>Logotherapy</w:t>
      </w:r>
      <w:proofErr w:type="spellEnd"/>
      <w:r>
        <w:rPr>
          <w:color w:val="1B1B1B"/>
        </w:rPr>
        <w:t>)، في كتابه “الإنسان يبحث عن المعنى” (</w:t>
      </w:r>
      <w:proofErr w:type="spellStart"/>
      <w:r>
        <w:rPr>
          <w:color w:val="1B1B1B"/>
        </w:rPr>
        <w:t>Frankl</w:t>
      </w:r>
      <w:proofErr w:type="spellEnd"/>
      <w:r>
        <w:rPr>
          <w:color w:val="1B1B1B"/>
        </w:rPr>
        <w:t xml:space="preserve">, 1946)، أن الدافع الأعمق في الإنسان ليس “إرادة اللذة” </w:t>
      </w:r>
      <w:proofErr w:type="spellStart"/>
      <w:r>
        <w:rPr>
          <w:color w:val="1B1B1B"/>
        </w:rPr>
        <w:t>الفرويدية</w:t>
      </w:r>
      <w:proofErr w:type="spellEnd"/>
      <w:r>
        <w:rPr>
          <w:color w:val="1B1B1B"/>
        </w:rPr>
        <w:t xml:space="preserve"> ولا “إرادة القوة” </w:t>
      </w:r>
      <w:proofErr w:type="spellStart"/>
      <w:r>
        <w:rPr>
          <w:color w:val="1B1B1B"/>
        </w:rPr>
        <w:t>الأدلرية</w:t>
      </w:r>
      <w:proofErr w:type="spellEnd"/>
      <w:r>
        <w:rPr>
          <w:color w:val="1B1B1B"/>
        </w:rPr>
        <w:t>، بل “إرادة المعنى” (</w:t>
      </w:r>
      <w:proofErr w:type="spellStart"/>
      <w:r>
        <w:rPr>
          <w:color w:val="1B1B1B"/>
        </w:rPr>
        <w:t>will</w:t>
      </w:r>
      <w:proofErr w:type="spellEnd"/>
      <w:r>
        <w:rPr>
          <w:color w:val="1B1B1B"/>
        </w:rPr>
        <w:t xml:space="preserve"> </w:t>
      </w:r>
      <w:proofErr w:type="spellStart"/>
      <w:r>
        <w:rPr>
          <w:color w:val="1B1B1B"/>
        </w:rPr>
        <w:t>to</w:t>
      </w:r>
      <w:proofErr w:type="spellEnd"/>
      <w:r>
        <w:rPr>
          <w:color w:val="1B1B1B"/>
        </w:rPr>
        <w:t xml:space="preserve"> </w:t>
      </w:r>
      <w:proofErr w:type="spellStart"/>
      <w:r>
        <w:rPr>
          <w:color w:val="1B1B1B"/>
        </w:rPr>
        <w:t>meaning</w:t>
      </w:r>
      <w:proofErr w:type="spellEnd"/>
      <w:r>
        <w:rPr>
          <w:color w:val="1B1B1B"/>
        </w:rPr>
        <w:t>): حاجة الإنسان الوجودية إلى أن تكون حياته ذات دلالة تتجاوز ذاته. ومن هذا المنظور، يمكن قراءة الكذب المزمن بوصفه هروباً من مواجهة السؤال عن المعنى: فالكاذب، بدل أن يواجه فراغاً وجودياً أو إخفاقاً حقيقياً بالبحث عن معنى يتجاوزه، يواريه بسردية مصطنعة توفر راحة مؤقتة وتُراكم — على المدى البعيد — فراغاً وجودياً أعمق. وهذا يتقاطع مباشرة مع ما يسميه الزراع “المعيشة الضنك”: فغياب المعنى الحقيقي، المُستبدَل بزيف مؤقت، هو بعينه الأرضية النفسية التي ينبت فيها القلق والضجر وضيق الصدر.</w:t>
      </w:r>
    </w:p>
    <w:p w14:paraId="1C36590A" w14:textId="77777777" w:rsidR="00EC28FF" w:rsidRDefault="00CC34FE">
      <w:pPr>
        <w:pStyle w:val="2"/>
        <w:bidi/>
        <w:spacing w:before="260" w:after="140"/>
        <w:jc w:val="right"/>
        <w:rPr>
          <w:rFonts w:cs="Arial"/>
        </w:rPr>
      </w:pPr>
      <w:r>
        <w:rPr>
          <w:b/>
          <w:bCs/>
          <w:color w:val="12665F"/>
          <w:sz w:val="27"/>
          <w:szCs w:val="27"/>
        </w:rPr>
        <w:t>4.4 الكذب والمعيشة الضنك: القلق والهم والضجر</w:t>
      </w:r>
    </w:p>
    <w:p w14:paraId="6C029179" w14:textId="77777777" w:rsidR="00EC28FF" w:rsidRDefault="00CC34FE">
      <w:pPr>
        <w:spacing w:after="180" w:line="340" w:lineRule="auto"/>
        <w:jc w:val="both"/>
        <w:rPr>
          <w:rFonts w:cs="Arial"/>
        </w:rPr>
      </w:pPr>
      <w:r>
        <w:rPr>
          <w:color w:val="1B1B1B"/>
        </w:rPr>
        <w:t xml:space="preserve">“النتيجة” “الحتمية” لـ“هذا الانقسام” و“هذا الصراع” — كما “يُعبِّر” عنها “الزراع” — هي ما “يُسمِّيه” “القرآن الكريم” “المعيشة الضنك”: “القلق” و“الهم” و“الضجر” و“ضيق الصدر” الذي “يُصيب” “الكاذب” “كنتيجة طبيعية” (آلية) لـ“مخالفته” لـ“السنن الفطرية” و“الكونية”. فـ“الله” — سبحانه — “جعل” “للصدق” “سكينة” و“طمأنينة”، و“جعل” “للكذب” “قلقاً” </w:t>
      </w:r>
      <w:proofErr w:type="spellStart"/>
      <w:r>
        <w:rPr>
          <w:color w:val="1B1B1B"/>
        </w:rPr>
        <w:t>و“اضطراباً</w:t>
      </w:r>
      <w:proofErr w:type="spellEnd"/>
      <w:r>
        <w:rPr>
          <w:color w:val="1B1B1B"/>
        </w:rPr>
        <w:t>” [833، 861].</w:t>
      </w:r>
    </w:p>
    <w:p w14:paraId="3993BBAE" w14:textId="77777777" w:rsidR="00EC28FF" w:rsidRDefault="00CC34FE">
      <w:pPr>
        <w:pStyle w:val="1"/>
        <w:pBdr>
          <w:bottom w:val="single" w:sz="12" w:space="0" w:color="12665F"/>
        </w:pBdr>
        <w:bidi/>
        <w:spacing w:before="420" w:after="200"/>
        <w:jc w:val="right"/>
        <w:rPr>
          <w:rFonts w:cs="Arial"/>
        </w:rPr>
      </w:pPr>
      <w:r>
        <w:rPr>
          <w:b/>
          <w:bCs/>
          <w:color w:val="0F2A4A"/>
        </w:rPr>
        <w:t>الفصل الخامس: الكذب والفطرة — فيروس يعطّل جدار الحماية</w:t>
      </w:r>
    </w:p>
    <w:p w14:paraId="7393CB43" w14:textId="77777777" w:rsidR="00EC28FF" w:rsidRDefault="00CC34FE">
      <w:pPr>
        <w:pStyle w:val="2"/>
        <w:bidi/>
        <w:spacing w:before="260" w:after="140"/>
        <w:jc w:val="right"/>
        <w:rPr>
          <w:rFonts w:cs="Arial"/>
        </w:rPr>
      </w:pPr>
      <w:r>
        <w:rPr>
          <w:b/>
          <w:bCs/>
          <w:color w:val="12665F"/>
          <w:sz w:val="27"/>
          <w:szCs w:val="27"/>
        </w:rPr>
        <w:t>5.1 الصدق وجدار الحماية (</w:t>
      </w:r>
      <w:proofErr w:type="spellStart"/>
      <w:r>
        <w:rPr>
          <w:b/>
          <w:bCs/>
          <w:color w:val="12665F"/>
          <w:sz w:val="27"/>
          <w:szCs w:val="27"/>
        </w:rPr>
        <w:t>Firewall</w:t>
      </w:r>
      <w:proofErr w:type="spellEnd"/>
      <w:r>
        <w:rPr>
          <w:b/>
          <w:bCs/>
          <w:color w:val="12665F"/>
          <w:sz w:val="27"/>
          <w:szCs w:val="27"/>
        </w:rPr>
        <w:t>)</w:t>
      </w:r>
    </w:p>
    <w:p w14:paraId="07E9CD5E" w14:textId="77777777" w:rsidR="00EC28FF" w:rsidRDefault="00CC34FE">
      <w:pPr>
        <w:spacing w:after="180" w:line="340" w:lineRule="auto"/>
        <w:jc w:val="both"/>
        <w:rPr>
          <w:rFonts w:cs="Arial"/>
        </w:rPr>
      </w:pPr>
      <w:r>
        <w:rPr>
          <w:color w:val="1B1B1B"/>
        </w:rPr>
        <w:t>في “أنطولوجيا” “الفطرة” — كما “صاغها” “الزراع” — “يُعتبَر” “الصدق” هو “غلاف الحماية” (</w:t>
      </w:r>
      <w:proofErr w:type="spellStart"/>
      <w:r>
        <w:rPr>
          <w:color w:val="1B1B1B"/>
        </w:rPr>
        <w:t>Firewall</w:t>
      </w:r>
      <w:proofErr w:type="spellEnd"/>
      <w:r>
        <w:rPr>
          <w:color w:val="1B1B1B"/>
        </w:rPr>
        <w:t>) الذي “يَحمي” “النظام النفسي” من “الانهيار” و“الاختراق” [859]. فـ“الصدق” — كما “يُجادل” — هو “البوابة” التي “تُحافظ” على “تكامل” “النظام” و“تمنع” “تسرب” “الطاقات” “السلبية” إليه.</w:t>
      </w:r>
    </w:p>
    <w:p w14:paraId="2F784493" w14:textId="77777777" w:rsidR="00EC28FF" w:rsidRDefault="00CC34FE">
      <w:pPr>
        <w:pStyle w:val="2"/>
        <w:bidi/>
        <w:spacing w:before="260" w:after="140"/>
        <w:jc w:val="right"/>
        <w:rPr>
          <w:rFonts w:cs="Arial"/>
        </w:rPr>
      </w:pPr>
      <w:r>
        <w:rPr>
          <w:b/>
          <w:bCs/>
          <w:color w:val="12665F"/>
          <w:sz w:val="27"/>
          <w:szCs w:val="27"/>
        </w:rPr>
        <w:t>5.2 الغزالي: الصدق منزلة جامعة في إحياء علوم الدين</w:t>
      </w:r>
    </w:p>
    <w:p w14:paraId="33EB826F" w14:textId="77777777" w:rsidR="00EC28FF" w:rsidRDefault="00CC34FE">
      <w:pPr>
        <w:spacing w:after="180" w:line="340" w:lineRule="auto"/>
        <w:jc w:val="both"/>
        <w:rPr>
          <w:rFonts w:cs="Arial"/>
        </w:rPr>
      </w:pPr>
      <w:r>
        <w:rPr>
          <w:color w:val="1B1B1B"/>
        </w:rPr>
        <w:t>يفرد أبو حامد الغزالي في “إحياء علوم الدين” (الغزالي، د.ت.) للصدق مكانة جامعة تتجاوز الصدق في القول إلى الصدق في النية والعزم والوفاء والعمل والمقامات الدينية كلها، معتبراً إياه أصلاً تتفرع عنه سائر الفضائل، وأن الكذب — في المقابل — أصل تتفرع عنه سائر الرذائل لأنه يُفسد الأداة التي بها يُدرَك الحق ويُبلَّغ. وهذا التصنيف الغزالي لمراتب الصدق (صدق اللسان، صدق النية، صدق العزم، صدق الوفاء بالعزم، صدق العمل، صدق مقامات الدين) يقدّم بنية تحتية فقهية-أخلاقية دقيقة لما يصفه الزراع بلغة معاصرة بأنه “نظام تشغيل”: فالصدق عند الغزالي ليس فعلاً منعزلاً بل طبقات متداخلة يسند بعضها بعضاً، تماماً كما تتكامل طبقات الحماية في أي نظام معقد.</w:t>
      </w:r>
    </w:p>
    <w:p w14:paraId="6CF7BDA7" w14:textId="77777777" w:rsidR="00EC28FF" w:rsidRDefault="00CC34FE">
      <w:pPr>
        <w:pStyle w:val="2"/>
        <w:bidi/>
        <w:spacing w:before="260" w:after="140"/>
        <w:jc w:val="right"/>
        <w:rPr>
          <w:rFonts w:cs="Arial"/>
        </w:rPr>
      </w:pPr>
      <w:r>
        <w:rPr>
          <w:b/>
          <w:bCs/>
          <w:color w:val="12665F"/>
          <w:sz w:val="27"/>
          <w:szCs w:val="27"/>
        </w:rPr>
        <w:t>5.3 ابن القيم: منزلة الصدق في مدارج السالكين</w:t>
      </w:r>
    </w:p>
    <w:p w14:paraId="7733ADFE" w14:textId="77777777" w:rsidR="00EC28FF" w:rsidRDefault="00CC34FE">
      <w:pPr>
        <w:spacing w:after="180" w:line="340" w:lineRule="auto"/>
        <w:jc w:val="both"/>
        <w:rPr>
          <w:rFonts w:cs="Arial"/>
        </w:rPr>
      </w:pPr>
      <w:r>
        <w:rPr>
          <w:color w:val="1B1B1B"/>
        </w:rPr>
        <w:t>يخصص ابن القيم الجوزية في “مدارج السالكين بين منازل إياك نعبد وإياك نستعين” (ابن القيم، د.ت.) لمنزلة “الصدق” مكانة محورية ضمن منازل السالكين، معتبراً الصدق “سيف الله في أرضه” الذي ما وُضع على شيء إلا قطعه، ومفرّقاً بين الصدق والصديقية بوصف الثاني مرتبة أعلى تقتضي مطابقة الظاهر للباطن مطابقة تامة في جميع الأحوال. وهذا التمييز الدقيق بين درجات الصدق يتوافق مع تصور الزراع لـ“جدار الحماية” بوصفه ليس عتبة ثنائية (صادق/كاذب) بل طيفاً من درجات التكامل النفسي، يتراوح بين الاختراق الجزئي والحصانة الكاملة.</w:t>
      </w:r>
    </w:p>
    <w:p w14:paraId="14A6F2EB" w14:textId="77777777" w:rsidR="00EC28FF" w:rsidRDefault="00CC34FE">
      <w:pPr>
        <w:pStyle w:val="2"/>
        <w:bidi/>
        <w:spacing w:before="260" w:after="140"/>
        <w:jc w:val="right"/>
        <w:rPr>
          <w:rFonts w:cs="Arial"/>
        </w:rPr>
      </w:pPr>
      <w:r>
        <w:rPr>
          <w:b/>
          <w:bCs/>
          <w:color w:val="12665F"/>
          <w:sz w:val="27"/>
          <w:szCs w:val="27"/>
        </w:rPr>
        <w:t>5.4 المحاسبي والمحاسبة الباطنة: مراقبة النفس كخط دفاع أول</w:t>
      </w:r>
    </w:p>
    <w:p w14:paraId="63C1EEC5" w14:textId="77777777" w:rsidR="00EC28FF" w:rsidRDefault="00CC34FE">
      <w:pPr>
        <w:spacing w:after="180" w:line="340" w:lineRule="auto"/>
        <w:jc w:val="both"/>
        <w:rPr>
          <w:rFonts w:cs="Arial"/>
        </w:rPr>
      </w:pPr>
      <w:r>
        <w:rPr>
          <w:color w:val="1B1B1B"/>
        </w:rPr>
        <w:t xml:space="preserve">يؤسس الحارث المحاسبي، في منهجه المعروف بـ“المحاسبة” (المحاسبي، د.ت.، الرعاية لحقوق الله)، لِما يمكن تسميته بلغة معاصرة “المراقبة الاستباقية للنظام”: مساءلة النفس قبل الفعل </w:t>
      </w:r>
      <w:proofErr w:type="spellStart"/>
      <w:r>
        <w:rPr>
          <w:color w:val="1B1B1B"/>
        </w:rPr>
        <w:t>وأثناءه</w:t>
      </w:r>
      <w:proofErr w:type="spellEnd"/>
      <w:r>
        <w:rPr>
          <w:color w:val="1B1B1B"/>
        </w:rPr>
        <w:t xml:space="preserve"> وبعده، لرصد أول بوادر الانحراف عن الصدق قبل أن تتجذر وتتحول إلى نمط سلوكي راسخ. وتقدّم منهجية المحاسبي — بما تتضمنه من يقظة مستمرة تجاه خواطر النفس ودوافعها الخفية — نموذجاً إجرائياً مبكراً لما يسعى إليه بروتوكول TLRT في خطوة “إعادة ضبط المصنع”، إذ إن المحاسبة الباطنة هي الآلية العملية التي تُبقي جدار الحماية الفطري يقظاً وفعّالاً.</w:t>
      </w:r>
    </w:p>
    <w:p w14:paraId="21F1EDC2" w14:textId="77777777" w:rsidR="00EC28FF" w:rsidRDefault="00CC34FE">
      <w:pPr>
        <w:pStyle w:val="2"/>
        <w:bidi/>
        <w:spacing w:before="260" w:after="140"/>
        <w:jc w:val="right"/>
        <w:rPr>
          <w:rFonts w:cs="Arial"/>
        </w:rPr>
      </w:pPr>
      <w:r>
        <w:rPr>
          <w:b/>
          <w:bCs/>
          <w:color w:val="12665F"/>
          <w:sz w:val="27"/>
          <w:szCs w:val="27"/>
        </w:rPr>
        <w:t>5.5 الكذب واختراق النظام</w:t>
      </w:r>
    </w:p>
    <w:p w14:paraId="593AFE6C" w14:textId="77777777" w:rsidR="00EC28FF" w:rsidRDefault="00CC34FE">
      <w:pPr>
        <w:spacing w:after="180" w:line="340" w:lineRule="auto"/>
        <w:jc w:val="both"/>
        <w:rPr>
          <w:rFonts w:cs="Arial"/>
        </w:rPr>
      </w:pPr>
      <w:r>
        <w:rPr>
          <w:color w:val="1B1B1B"/>
        </w:rPr>
        <w:t xml:space="preserve">“الكذب” — في “هذا السياق” — هو “الفيروس” الذي “يَخترق” “جدار الحماية” هذا </w:t>
      </w:r>
      <w:proofErr w:type="spellStart"/>
      <w:r>
        <w:rPr>
          <w:color w:val="1B1B1B"/>
        </w:rPr>
        <w:t>و“يُعطِّله</w:t>
      </w:r>
      <w:proofErr w:type="spellEnd"/>
      <w:r>
        <w:rPr>
          <w:color w:val="1B1B1B"/>
        </w:rPr>
        <w:t>”. فـ“بمجرد” أن “يَكذب” “الإنسان” — ولو “مرة واحدة” — “يَفتح” “ثغرة” في “نظامه الدفاعي”، “تَجعله” “عُرضة” لـ“</w:t>
      </w:r>
      <w:proofErr w:type="spellStart"/>
      <w:r>
        <w:rPr>
          <w:color w:val="1B1B1B"/>
        </w:rPr>
        <w:t>التدسية</w:t>
      </w:r>
      <w:proofErr w:type="spellEnd"/>
      <w:r>
        <w:rPr>
          <w:color w:val="1B1B1B"/>
        </w:rPr>
        <w:t>”: “طمر” “الخير” (الفطرة) و“إظهار” “الشر” (الزيف) بـ“غلاف” “مقبول” [813، 859]. وهذا — كما “يُحذِّر” — “يَقود” — “تدريجياً” — إلى “بناء” “حياة” “كاملة” على “الوهم” و“الزيف”، مما “يَنتهي” — “حَتماً” — بـ“انهيارات” “اجتماعية” و“مهنية” و“نفسية” “عنيفة”، لأن “السنن الكونية” — كما “يُؤكد” — “لا تُحابي” “من يُخالفها” [859، 1089].</w:t>
      </w:r>
    </w:p>
    <w:p w14:paraId="473F51FF" w14:textId="77777777" w:rsidR="00EC28FF" w:rsidRDefault="00CC34FE">
      <w:pPr>
        <w:pStyle w:val="1"/>
        <w:pBdr>
          <w:bottom w:val="single" w:sz="12" w:space="0" w:color="12665F"/>
        </w:pBdr>
        <w:bidi/>
        <w:spacing w:before="420" w:after="200"/>
        <w:jc w:val="right"/>
        <w:rPr>
          <w:rFonts w:cs="Arial"/>
        </w:rPr>
      </w:pPr>
      <w:r>
        <w:rPr>
          <w:b/>
          <w:bCs/>
          <w:color w:val="0F2A4A"/>
        </w:rPr>
        <w:t xml:space="preserve">الفصل السادس: الكذب في عصر </w:t>
      </w:r>
      <w:proofErr w:type="spellStart"/>
      <w:r>
        <w:rPr>
          <w:b/>
          <w:bCs/>
          <w:color w:val="0F2A4A"/>
        </w:rPr>
        <w:t>الرقمنة</w:t>
      </w:r>
      <w:proofErr w:type="spellEnd"/>
      <w:r>
        <w:rPr>
          <w:b/>
          <w:bCs/>
          <w:color w:val="0F2A4A"/>
        </w:rPr>
        <w:t xml:space="preserve"> — من الفرد إلى الخوارزمية</w:t>
      </w:r>
    </w:p>
    <w:p w14:paraId="63397887" w14:textId="77777777" w:rsidR="00EC28FF" w:rsidRDefault="00CC34FE">
      <w:pPr>
        <w:pStyle w:val="2"/>
        <w:bidi/>
        <w:spacing w:before="260" w:after="140"/>
        <w:jc w:val="right"/>
        <w:rPr>
          <w:rFonts w:cs="Arial"/>
        </w:rPr>
      </w:pPr>
      <w:r>
        <w:rPr>
          <w:b/>
          <w:bCs/>
          <w:color w:val="12665F"/>
          <w:sz w:val="27"/>
          <w:szCs w:val="27"/>
        </w:rPr>
        <w:t xml:space="preserve">6.1 </w:t>
      </w:r>
      <w:proofErr w:type="spellStart"/>
      <w:r>
        <w:rPr>
          <w:b/>
          <w:bCs/>
          <w:color w:val="12665F"/>
          <w:sz w:val="27"/>
          <w:szCs w:val="27"/>
        </w:rPr>
        <w:t>زوبوف</w:t>
      </w:r>
      <w:proofErr w:type="spellEnd"/>
      <w:r>
        <w:rPr>
          <w:b/>
          <w:bCs/>
          <w:color w:val="12665F"/>
          <w:sz w:val="27"/>
          <w:szCs w:val="27"/>
        </w:rPr>
        <w:t xml:space="preserve"> ورأسمالية المراقبة: البنية الرقمية المؤسِّسة للزيف</w:t>
      </w:r>
    </w:p>
    <w:p w14:paraId="2ED1CB87" w14:textId="77777777" w:rsidR="00EC28FF" w:rsidRDefault="00CC34FE">
      <w:pPr>
        <w:spacing w:after="180" w:line="340" w:lineRule="auto"/>
        <w:jc w:val="both"/>
        <w:rPr>
          <w:rFonts w:cs="Arial"/>
        </w:rPr>
      </w:pPr>
      <w:r>
        <w:rPr>
          <w:color w:val="1B1B1B"/>
        </w:rPr>
        <w:t xml:space="preserve">توثّق شوشانا </w:t>
      </w:r>
      <w:proofErr w:type="spellStart"/>
      <w:r>
        <w:rPr>
          <w:color w:val="1B1B1B"/>
        </w:rPr>
        <w:t>زوبوف</w:t>
      </w:r>
      <w:proofErr w:type="spellEnd"/>
      <w:r>
        <w:rPr>
          <w:color w:val="1B1B1B"/>
        </w:rPr>
        <w:t xml:space="preserve"> في “عصر رأسمالية المراقبة” (</w:t>
      </w:r>
      <w:proofErr w:type="spellStart"/>
      <w:r>
        <w:rPr>
          <w:color w:val="1B1B1B"/>
        </w:rPr>
        <w:t>Zuboff</w:t>
      </w:r>
      <w:proofErr w:type="spellEnd"/>
      <w:r>
        <w:rPr>
          <w:color w:val="1B1B1B"/>
        </w:rPr>
        <w:t xml:space="preserve">, 2019) كيف تحوّلت البيانات السلوكية للأفراد إلى مادة خام تُستخرَج وتُصاغ في “منتجات </w:t>
      </w:r>
      <w:proofErr w:type="spellStart"/>
      <w:r>
        <w:rPr>
          <w:color w:val="1B1B1B"/>
        </w:rPr>
        <w:t>تنبؤية</w:t>
      </w:r>
      <w:proofErr w:type="spellEnd"/>
      <w:r>
        <w:rPr>
          <w:color w:val="1B1B1B"/>
        </w:rPr>
        <w:t>” تُباع لأطراف ثالثة بهدف التأثير على السلوك المستقبلي، غالباً دون علم حقيقي أو موافقة واعية من المستخدِم. وما يهمّ النموذج الاستخلافي هنا هو أن هذه البنية لا تقوم فقط على “أكاذيب” فردية متفرقة (شروط استخدام غامضة، وعود خصوصية زائفة)، بل تُنتِج بيئة رقمية كاملة يصبح فيها التمويه والغموض المتعمَّد قاعدة تشغيل مؤسسية، لا استثناءً أخلاقياً فردياً. وهذا يستدعي توسيع مفهوم “اختراق النظام” من مستوى الفرد إلى مستوى البنية التحتية الرقمية التي يعيش الأفراد داخلها.</w:t>
      </w:r>
    </w:p>
    <w:p w14:paraId="4179D6E1" w14:textId="77777777" w:rsidR="00EC28FF" w:rsidRDefault="00CC34FE">
      <w:pPr>
        <w:pStyle w:val="2"/>
        <w:bidi/>
        <w:spacing w:before="260" w:after="140"/>
        <w:jc w:val="right"/>
        <w:rPr>
          <w:rFonts w:cs="Arial"/>
        </w:rPr>
      </w:pPr>
      <w:r>
        <w:rPr>
          <w:b/>
          <w:bCs/>
          <w:color w:val="12665F"/>
          <w:sz w:val="27"/>
          <w:szCs w:val="27"/>
        </w:rPr>
        <w:t>6.2 الهوية الرقمية المنسّقة: كذب مؤسسي مُقنَّن</w:t>
      </w:r>
    </w:p>
    <w:p w14:paraId="7A355199" w14:textId="77777777" w:rsidR="00EC28FF" w:rsidRDefault="00CC34FE">
      <w:pPr>
        <w:spacing w:after="180" w:line="340" w:lineRule="auto"/>
        <w:jc w:val="both"/>
        <w:rPr>
          <w:rFonts w:cs="Arial"/>
        </w:rPr>
      </w:pPr>
      <w:r>
        <w:rPr>
          <w:color w:val="1B1B1B"/>
        </w:rPr>
        <w:t>لا تقتصر رأسمالية المراقبة على خداع المنصّات للمستخدمين، بل تنتج أيضاً بيئة تُحفِّز المستخدمين أنفسهم على ممارسة صيغة يومية مُقنَّنة من الزيف: “الهوية الرقمية المنسَّقة”، حيث يُعرَض المرء نسخة مُجمَّلة ومُنتقاة من حياته لجمهور متخيَّل، في عملية أداء مستمر تُكافَأ اجتماعياً (</w:t>
      </w:r>
      <w:proofErr w:type="spellStart"/>
      <w:r>
        <w:rPr>
          <w:color w:val="1B1B1B"/>
        </w:rPr>
        <w:t>بالإعجابات</w:t>
      </w:r>
      <w:proofErr w:type="spellEnd"/>
      <w:r>
        <w:rPr>
          <w:color w:val="1B1B1B"/>
        </w:rPr>
        <w:t xml:space="preserve"> والمتابعات) وتُعاقَب على الصدق الكامل (بالتجاهل أو النقد). ومن منظور استخلافي، فإن هذا النمط الرقمي يُطبِّع — على نطاق جمعي غير مسبوق — مع نسخة مخفَّفة من “الفصام الأخلاقي” الذي وصفه الزراع: انقسام يومي متكرر بين “الذات الحقيقية” و“الذات المعروضة”، لكنه هذه المرة مؤسَّس تكنولوجياً ومُحفَّز اقتصادياً، لا مجرد اختيار فردي معزول.</w:t>
      </w:r>
    </w:p>
    <w:p w14:paraId="6A884EF2" w14:textId="77777777" w:rsidR="00EC28FF" w:rsidRDefault="00CC34FE">
      <w:pPr>
        <w:pStyle w:val="2"/>
        <w:bidi/>
        <w:spacing w:before="260" w:after="140"/>
        <w:jc w:val="right"/>
        <w:rPr>
          <w:rFonts w:cs="Arial"/>
        </w:rPr>
      </w:pPr>
      <w:r>
        <w:rPr>
          <w:b/>
          <w:bCs/>
          <w:color w:val="12665F"/>
          <w:sz w:val="27"/>
          <w:szCs w:val="27"/>
        </w:rPr>
        <w:t>6.3 قراءة استخلافية: الفطرة في مواجهة اقتصاد الانتباه</w:t>
      </w:r>
    </w:p>
    <w:p w14:paraId="0A497734" w14:textId="77777777" w:rsidR="00EC28FF" w:rsidRDefault="00CC34FE">
      <w:pPr>
        <w:spacing w:after="180" w:line="340" w:lineRule="auto"/>
        <w:jc w:val="both"/>
        <w:rPr>
          <w:rFonts w:cs="Arial"/>
        </w:rPr>
      </w:pPr>
      <w:r>
        <w:rPr>
          <w:color w:val="1B1B1B"/>
        </w:rPr>
        <w:t>يطرح هذا السياق سؤالاً بحثياً جديداً يستحق أن يُفرَد له بحث مستقل ضمن المشروع الاستخلافي الأوسع: كيف يمكن لجدار الحماية الفطري أن يصمد في بيئة رقمية تُصمَّم عمداً — عبر هندسة الانتباه والتصميم الإدماني للتطبيقات — لتحفيز الأداء المستمر والمقارنة الاجتماعية بدل الصدق المباشر؟ وتقترح هذه الدراسة، دون الادعاء بحسم المسألة، أن ممارسات مثل “الصوم الرقمي” الدوري، وتقليص التعرّض لبيئات المقارنة الاجتماعية، يمكن قراءتها بوصفها امتداداً معاصراً لمبدأ “المحاسبة” المحاسبي في مواجهة أشكال جديدة من اختراق الفطرة لم تكن معروفة في السياق الذي كُتب فيه التراث الكلاسيكي.</w:t>
      </w:r>
    </w:p>
    <w:p w14:paraId="3F6EBED6" w14:textId="77777777" w:rsidR="00EC28FF" w:rsidRDefault="00CC34FE">
      <w:pPr>
        <w:pStyle w:val="1"/>
        <w:pBdr>
          <w:bottom w:val="single" w:sz="12" w:space="0" w:color="12665F"/>
        </w:pBdr>
        <w:bidi/>
        <w:spacing w:before="420" w:after="200"/>
        <w:jc w:val="right"/>
        <w:rPr>
          <w:rFonts w:cs="Arial"/>
        </w:rPr>
      </w:pPr>
      <w:r>
        <w:rPr>
          <w:b/>
          <w:bCs/>
          <w:color w:val="0F2A4A"/>
        </w:rPr>
        <w:t>الفصل السابع: محاسبة الكاذب — ميزان الحساب المزدوج</w:t>
      </w:r>
    </w:p>
    <w:p w14:paraId="169BF362" w14:textId="77777777" w:rsidR="00EC28FF" w:rsidRDefault="00CC34FE">
      <w:pPr>
        <w:pStyle w:val="2"/>
        <w:bidi/>
        <w:spacing w:before="260" w:after="140"/>
        <w:jc w:val="right"/>
        <w:rPr>
          <w:rFonts w:cs="Arial"/>
        </w:rPr>
      </w:pPr>
      <w:r>
        <w:rPr>
          <w:b/>
          <w:bCs/>
          <w:color w:val="12665F"/>
          <w:sz w:val="27"/>
          <w:szCs w:val="27"/>
        </w:rPr>
        <w:t>7.1 الكذب عن جهل والكذب مع العلم</w:t>
      </w:r>
    </w:p>
    <w:p w14:paraId="77D4AFB2" w14:textId="77777777" w:rsidR="00EC28FF" w:rsidRDefault="00CC34FE">
      <w:pPr>
        <w:spacing w:after="180" w:line="340" w:lineRule="auto"/>
        <w:jc w:val="both"/>
        <w:rPr>
          <w:rFonts w:cs="Arial"/>
        </w:rPr>
      </w:pPr>
      <w:r>
        <w:rPr>
          <w:color w:val="1B1B1B"/>
        </w:rPr>
        <w:t xml:space="preserve">“يُقدِّم” “النموذج الاستخلافي” “تمييزاً” “دقيقاً” </w:t>
      </w:r>
      <w:proofErr w:type="spellStart"/>
      <w:r>
        <w:rPr>
          <w:color w:val="1B1B1B"/>
        </w:rPr>
        <w:t>و“عادلاً</w:t>
      </w:r>
      <w:proofErr w:type="spellEnd"/>
      <w:r>
        <w:rPr>
          <w:color w:val="1B1B1B"/>
        </w:rPr>
        <w:t>” في “محاسبة” “الكاذب”، “يَقوم” على “مبدأ” “الحساب المزدوج” (</w:t>
      </w:r>
      <w:proofErr w:type="spellStart"/>
      <w:r>
        <w:rPr>
          <w:color w:val="1B1B1B"/>
        </w:rPr>
        <w:t>Double-Entry</w:t>
      </w:r>
      <w:proofErr w:type="spellEnd"/>
      <w:r>
        <w:rPr>
          <w:color w:val="1B1B1B"/>
        </w:rPr>
        <w:t xml:space="preserve"> </w:t>
      </w:r>
      <w:proofErr w:type="spellStart"/>
      <w:r>
        <w:rPr>
          <w:color w:val="1B1B1B"/>
        </w:rPr>
        <w:t>Accountability</w:t>
      </w:r>
      <w:proofErr w:type="spellEnd"/>
      <w:r>
        <w:rPr>
          <w:color w:val="1B1B1B"/>
        </w:rPr>
        <w:t>):</w:t>
      </w:r>
    </w:p>
    <w:p w14:paraId="3565293D" w14:textId="77777777" w:rsidR="00EC28FF" w:rsidRDefault="00CC34FE">
      <w:pPr>
        <w:pStyle w:val="a4"/>
        <w:numPr>
          <w:ilvl w:val="0"/>
          <w:numId w:val="2"/>
        </w:numPr>
        <w:bidi/>
        <w:spacing w:after="120" w:line="320" w:lineRule="auto"/>
        <w:jc w:val="both"/>
        <w:rPr>
          <w:rFonts w:cs="Arial"/>
        </w:rPr>
      </w:pPr>
      <w:r>
        <w:rPr>
          <w:color w:val="1B1B1B"/>
        </w:rPr>
        <w:t>“الكذب عن جهل” (مثل “رجل الأمازون” الذي لم “يَبلغه” “وحي”): هذا “الإنسان” “يُحاسَب” — فقط — على “معصية الفطرة” (أي “مُخالفة” “الصوت الداخلي” الذي “يَنهاه” عن “الكذب”). و“عقابه” — بالتالي — “أخف” [1202].</w:t>
      </w:r>
    </w:p>
    <w:p w14:paraId="04EBE075" w14:textId="77777777" w:rsidR="00EC28FF" w:rsidRDefault="00CC34FE">
      <w:pPr>
        <w:pStyle w:val="a4"/>
        <w:numPr>
          <w:ilvl w:val="0"/>
          <w:numId w:val="2"/>
        </w:numPr>
        <w:bidi/>
        <w:spacing w:after="120" w:line="320" w:lineRule="auto"/>
        <w:jc w:val="both"/>
        <w:rPr>
          <w:rFonts w:cs="Arial"/>
        </w:rPr>
      </w:pPr>
      <w:r>
        <w:rPr>
          <w:color w:val="1B1B1B"/>
        </w:rPr>
        <w:t>“الكذب مع العلم” (مثل “المُتدين الشكلي” الذي “يَعرف” “حُرمة” “الكذب”): هذا “الإنسان” “يَرتكب” “معصية مركبة”: “مُخالفة الأمر الإلهي الصريح” من “جهة”، و“قمع صوت فطرته” التي “أنارها” “الوحي” من “جهة أخرى”. و“إثمه” — بالتالي — “مُضاعف” [1197، 1202].</w:t>
      </w:r>
    </w:p>
    <w:p w14:paraId="680E8D11" w14:textId="77777777" w:rsidR="00EC28FF" w:rsidRDefault="00CC34FE">
      <w:pPr>
        <w:pStyle w:val="2"/>
        <w:bidi/>
        <w:spacing w:before="260" w:after="140"/>
        <w:jc w:val="right"/>
        <w:rPr>
          <w:rFonts w:cs="Arial"/>
        </w:rPr>
      </w:pPr>
      <w:r>
        <w:rPr>
          <w:b/>
          <w:bCs/>
          <w:color w:val="12665F"/>
          <w:sz w:val="27"/>
          <w:szCs w:val="27"/>
        </w:rPr>
        <w:t>7.2 ابن خلدون: الصدق والعصبية — الأمانة أساس العمران البشري</w:t>
      </w:r>
    </w:p>
    <w:p w14:paraId="1146B798" w14:textId="77777777" w:rsidR="00EC28FF" w:rsidRDefault="00CC34FE">
      <w:pPr>
        <w:spacing w:after="180" w:line="340" w:lineRule="auto"/>
        <w:jc w:val="both"/>
        <w:rPr>
          <w:rFonts w:cs="Arial"/>
        </w:rPr>
      </w:pPr>
      <w:r>
        <w:rPr>
          <w:color w:val="1B1B1B"/>
        </w:rPr>
        <w:t xml:space="preserve">يربط عبد الرحمن ابن خلدون في “المقدمة” بين متانة “العصبية” (الرابطة الاجتماعية الجامعة) وبين سلامة الأخلاق التي تقوم عليها الثقة المتبادلة داخل الجماعة، محذراً من أن فساد الأخلاق — ومنها انتشار الكذب والغش — من علامات “الترف” والانحلال التي تُنذر بانهيار العمران وتفكك الدولة. وحين يُقرأ ابن خلدون إلى جانب </w:t>
      </w:r>
      <w:proofErr w:type="spellStart"/>
      <w:r>
        <w:rPr>
          <w:color w:val="1B1B1B"/>
        </w:rPr>
        <w:t>هابرماس</w:t>
      </w:r>
      <w:proofErr w:type="spellEnd"/>
      <w:r>
        <w:rPr>
          <w:color w:val="1B1B1B"/>
        </w:rPr>
        <w:t xml:space="preserve"> </w:t>
      </w:r>
      <w:proofErr w:type="spellStart"/>
      <w:r>
        <w:rPr>
          <w:color w:val="1B1B1B"/>
        </w:rPr>
        <w:t>وبورديو</w:t>
      </w:r>
      <w:proofErr w:type="spellEnd"/>
      <w:r>
        <w:rPr>
          <w:color w:val="1B1B1B"/>
        </w:rPr>
        <w:t xml:space="preserve"> (الفصل الثالث)، يتضح أن نقد الكذب بوصفه ظاهرة اجتماعية-حضارية ليس حِكراً على الفكر الغربي المعاصر، بل له جذور راسخة في نظرية العمران الإسلامية الكلاسيكية: فالأمانة والصدق، عند ابن خلدون، ليسا فضيلتين شخصيتين معزولتين، بل شرطا بقاء أي عمران بشري متماسك.</w:t>
      </w:r>
    </w:p>
    <w:p w14:paraId="60FE03B4" w14:textId="77777777" w:rsidR="00EC28FF" w:rsidRDefault="00CC34FE">
      <w:pPr>
        <w:pStyle w:val="2"/>
        <w:bidi/>
        <w:spacing w:before="260" w:after="140"/>
        <w:jc w:val="right"/>
        <w:rPr>
          <w:rFonts w:cs="Arial"/>
        </w:rPr>
      </w:pPr>
      <w:r>
        <w:rPr>
          <w:b/>
          <w:bCs/>
          <w:color w:val="12665F"/>
          <w:sz w:val="27"/>
          <w:szCs w:val="27"/>
        </w:rPr>
        <w:t>7.3 الأبعاد الفقهية: درجات الكذب بين الرخصة والتحريم</w:t>
      </w:r>
    </w:p>
    <w:p w14:paraId="0BE10728" w14:textId="77777777" w:rsidR="00EC28FF" w:rsidRDefault="00CC34FE">
      <w:pPr>
        <w:spacing w:after="180" w:line="340" w:lineRule="auto"/>
        <w:jc w:val="both"/>
        <w:rPr>
          <w:rFonts w:cs="Arial"/>
        </w:rPr>
      </w:pPr>
      <w:r>
        <w:rPr>
          <w:color w:val="1B1B1B"/>
        </w:rPr>
        <w:t>يميّز الفقه الإسلامي الكلاسيكي بين درجات متفاوتة للكذب من حيث الحكم الشرعي: من التحريم القاطع في عموم الأحوال، إلى رخص محدودة ومضبوطة بشروط دقيقة (كالإصلاح بين الناس، أو حديث الرجل امرأته، أو الحرب)، وهي رخص استثنائية لا تُقاس عليها سائر الأحوال ولا تُفهَم منها إباحة عامة. وهذا التمييز الفقهي الدقيق يتكامل مع مبدأ “الحساب المزدوج” الاستخلافي: فحتى الرخص الاستثنائية لا تُلغي “كلفة” الفعل على النظام النفسي، بل تُنظِّم استخدامه في أضيق الحدود وأشدها ضبطاً، حفاظاً على المبدأ الأصلي: أن الأصل في الفطرة هو الصدق.</w:t>
      </w:r>
    </w:p>
    <w:p w14:paraId="52DC392F" w14:textId="77777777" w:rsidR="00EC28FF" w:rsidRDefault="00CC34FE">
      <w:pPr>
        <w:pStyle w:val="1"/>
        <w:pBdr>
          <w:bottom w:val="single" w:sz="12" w:space="0" w:color="12665F"/>
        </w:pBdr>
        <w:bidi/>
        <w:spacing w:before="420" w:after="200"/>
        <w:jc w:val="right"/>
        <w:rPr>
          <w:rFonts w:cs="Arial"/>
        </w:rPr>
      </w:pPr>
      <w:r>
        <w:rPr>
          <w:b/>
          <w:bCs/>
          <w:color w:val="0F2A4A"/>
        </w:rPr>
        <w:t>الفصل الثامن: المعالجة عبر بروتوكول TLRT — ترميم شرخ الكذب بذهب النزاهة</w:t>
      </w:r>
    </w:p>
    <w:p w14:paraId="658AADFE" w14:textId="77777777" w:rsidR="00EC28FF" w:rsidRDefault="00CC34FE">
      <w:pPr>
        <w:spacing w:after="180" w:line="340" w:lineRule="auto"/>
        <w:jc w:val="both"/>
        <w:rPr>
          <w:rFonts w:cs="Arial"/>
        </w:rPr>
      </w:pPr>
      <w:r>
        <w:rPr>
          <w:color w:val="1B1B1B"/>
        </w:rPr>
        <w:t>“لا يَكتفي” “علم النفس الاستخلافي” بـ“تشخيص” “الكذب” و“بيان” “أخطاره”، بل “يَقترح” — عبر “بروتوكول” TLRT — “مساراً” “علاجياً” “مُتكاملاً” “يُحوِّل” “الكذب” من “وصمة” إلى “رسالة”، ومن “جرح” إلى “قوة”:</w:t>
      </w:r>
    </w:p>
    <w:p w14:paraId="1441D506" w14:textId="77777777" w:rsidR="00EC28FF" w:rsidRDefault="00CC34FE">
      <w:pPr>
        <w:pStyle w:val="2"/>
        <w:bidi/>
        <w:spacing w:before="260" w:after="140"/>
        <w:jc w:val="right"/>
        <w:rPr>
          <w:rFonts w:cs="Arial"/>
        </w:rPr>
      </w:pPr>
      <w:r>
        <w:rPr>
          <w:b/>
          <w:bCs/>
          <w:color w:val="12665F"/>
          <w:sz w:val="27"/>
          <w:szCs w:val="27"/>
        </w:rPr>
        <w:t>8.1 الخطوة الأولى — التشخيص الوجودي</w:t>
      </w:r>
    </w:p>
    <w:p w14:paraId="3C96024C" w14:textId="77777777" w:rsidR="00EC28FF" w:rsidRDefault="00CC34FE">
      <w:pPr>
        <w:spacing w:after="180" w:line="340" w:lineRule="auto"/>
        <w:jc w:val="both"/>
        <w:rPr>
          <w:rFonts w:cs="Arial"/>
        </w:rPr>
      </w:pPr>
      <w:r>
        <w:rPr>
          <w:color w:val="1B1B1B"/>
        </w:rPr>
        <w:t xml:space="preserve">“يَتم” — أولاً — “تشخيص” “الكذب” بوصفه “ديناً حقيقياً” تجاه “المُتضررين”، “يَجب” “سَداده” [840، 1078]. وتتميز هذه الخطوة بأنها لا تكتفي بإعادة تصنيف الفعل نفسياً (“سوء نية” بالمعنى </w:t>
      </w:r>
      <w:proofErr w:type="spellStart"/>
      <w:r>
        <w:rPr>
          <w:color w:val="1B1B1B"/>
        </w:rPr>
        <w:t>السارتري</w:t>
      </w:r>
      <w:proofErr w:type="spellEnd"/>
      <w:r>
        <w:rPr>
          <w:color w:val="1B1B1B"/>
        </w:rPr>
        <w:t xml:space="preserve">، أو “خرق مطلب صدقية” بالمعنى </w:t>
      </w:r>
      <w:proofErr w:type="spellStart"/>
      <w:r>
        <w:rPr>
          <w:color w:val="1B1B1B"/>
        </w:rPr>
        <w:t>الهابرماسي</w:t>
      </w:r>
      <w:proofErr w:type="spellEnd"/>
      <w:r>
        <w:rPr>
          <w:color w:val="1B1B1B"/>
        </w:rPr>
        <w:t>)، بل تربطه فوراً بمسؤولية تعويضية ملموسة تجاه الطرف المتضرر، بما يمنع الخطوة العلاجية من الانزلاق إلى تأمل نظري مجرد بلا أثر عملي.</w:t>
      </w:r>
    </w:p>
    <w:p w14:paraId="61E30383" w14:textId="77777777" w:rsidR="00EC28FF" w:rsidRDefault="00CC34FE">
      <w:pPr>
        <w:pStyle w:val="2"/>
        <w:bidi/>
        <w:spacing w:before="260" w:after="140"/>
        <w:jc w:val="right"/>
        <w:rPr>
          <w:rFonts w:cs="Arial"/>
        </w:rPr>
      </w:pPr>
      <w:r>
        <w:rPr>
          <w:b/>
          <w:bCs/>
          <w:color w:val="12665F"/>
          <w:sz w:val="27"/>
          <w:szCs w:val="27"/>
        </w:rPr>
        <w:t>8.2 الخطوة الثانية — الجسر السلوكي</w:t>
      </w:r>
    </w:p>
    <w:p w14:paraId="5D0A93A0" w14:textId="77777777" w:rsidR="00EC28FF" w:rsidRDefault="00CC34FE">
      <w:pPr>
        <w:spacing w:after="180" w:line="340" w:lineRule="auto"/>
        <w:jc w:val="both"/>
        <w:rPr>
          <w:rFonts w:cs="Arial"/>
        </w:rPr>
      </w:pPr>
      <w:r>
        <w:rPr>
          <w:color w:val="1B1B1B"/>
        </w:rPr>
        <w:t>“يَتم” — ثانياً — “تحويل” “طاقة” “الندم” الناتجة عن “الكذب” إلى “مشروع نزاهة” “مَلموس”: “فَمن” “كذب” “سابقاً”، “يَبني” “جسراً سلوكياً” عبر “إطلاق” “مبادرات” للشفافية أو الصدق في “بيئته”، “مُحقِّقاً” بذلك “الكينتسوغي النفسي”: “ترميم” “شرخ” “الكذب” بـ“ذهب” “الإحسان” [624، 874، 883]. وتستعير هذه الاستعارة الفن الياباني في ترميم الفخار المكسور بخطوط من الذهب، لتحويل موضع الكسر ذاته إلى موضع جمال وقوة ظاهرة، لا إلى عيب يُخفى.</w:t>
      </w:r>
    </w:p>
    <w:p w14:paraId="79CE558F" w14:textId="77777777" w:rsidR="00EC28FF" w:rsidRDefault="00CC34FE">
      <w:pPr>
        <w:pStyle w:val="2"/>
        <w:bidi/>
        <w:spacing w:before="260" w:after="140"/>
        <w:jc w:val="right"/>
        <w:rPr>
          <w:rFonts w:cs="Arial"/>
        </w:rPr>
      </w:pPr>
      <w:r>
        <w:rPr>
          <w:b/>
          <w:bCs/>
          <w:color w:val="12665F"/>
          <w:sz w:val="27"/>
          <w:szCs w:val="27"/>
        </w:rPr>
        <w:t>8.3 الخطوة الثالثة — إعادة ضبط المصنع</w:t>
      </w:r>
    </w:p>
    <w:p w14:paraId="7BB5597D" w14:textId="77777777" w:rsidR="00EC28FF" w:rsidRDefault="00CC34FE">
      <w:pPr>
        <w:spacing w:after="180" w:line="340" w:lineRule="auto"/>
        <w:jc w:val="both"/>
        <w:rPr>
          <w:rFonts w:cs="Arial"/>
        </w:rPr>
      </w:pPr>
      <w:r>
        <w:rPr>
          <w:color w:val="1B1B1B"/>
        </w:rPr>
        <w:t>“يَتم” — أخيراً — “استخدام” “العبادات” (كالصلاة والذكر) “لإزالة” “غبار الزيف” عن “الفطرة” و“استعادة” “نقائها” “الأصلي” [1091، 1345]. وتلتقي هذه الخطوة عملياً مع منهجية المحاسبي في المراقبة الباطنة (5.4)، إذ تحوّل العبادة المنتظمة إلى آلية دورية لإعادة معايرة “جدار الحماية” الفطري، بدل الاكتفاء بمعالجة أثر الكذب لمرة واحدة.</w:t>
      </w:r>
    </w:p>
    <w:p w14:paraId="77370B11" w14:textId="77777777" w:rsidR="00EC28FF" w:rsidRDefault="00CC34FE">
      <w:pPr>
        <w:pStyle w:val="1"/>
        <w:pBdr>
          <w:bottom w:val="single" w:sz="12" w:space="0" w:color="12665F"/>
        </w:pBdr>
        <w:bidi/>
        <w:spacing w:before="420" w:after="200"/>
        <w:jc w:val="right"/>
        <w:rPr>
          <w:rFonts w:cs="Arial"/>
        </w:rPr>
      </w:pPr>
      <w:r>
        <w:rPr>
          <w:b/>
          <w:bCs/>
          <w:color w:val="0F2A4A"/>
        </w:rPr>
        <w:t>الفصل التاسع: نقد ذاتي منهجي — حدود النموذج وتحدياته</w:t>
      </w:r>
    </w:p>
    <w:p w14:paraId="15B0725B" w14:textId="77777777" w:rsidR="00EC28FF" w:rsidRDefault="00CC34FE">
      <w:pPr>
        <w:spacing w:after="180" w:line="340" w:lineRule="auto"/>
        <w:jc w:val="both"/>
        <w:rPr>
          <w:rFonts w:cs="Arial"/>
        </w:rPr>
      </w:pPr>
      <w:r>
        <w:rPr>
          <w:color w:val="1B1B1B"/>
        </w:rPr>
        <w:t xml:space="preserve">التزاماً بمبدأ الأمانة العلمية الذي </w:t>
      </w:r>
      <w:proofErr w:type="spellStart"/>
      <w:r>
        <w:rPr>
          <w:color w:val="1B1B1B"/>
        </w:rPr>
        <w:t>يقتضيه</w:t>
      </w:r>
      <w:proofErr w:type="spellEnd"/>
      <w:r>
        <w:rPr>
          <w:color w:val="1B1B1B"/>
        </w:rPr>
        <w:t xml:space="preserve"> موضوع البحث نفسه، تخضع هذه الدراسة النموذج الذي تعرضه لمساءلة نقدية صريحة، بدل الاكتفاء بعرضه عرضاً تبجيلياً.</w:t>
      </w:r>
    </w:p>
    <w:p w14:paraId="2D1FC52E" w14:textId="77777777" w:rsidR="00EC28FF" w:rsidRDefault="00CC34FE">
      <w:pPr>
        <w:pStyle w:val="2"/>
        <w:bidi/>
        <w:spacing w:before="260" w:after="140"/>
        <w:jc w:val="right"/>
        <w:rPr>
          <w:rFonts w:cs="Arial"/>
        </w:rPr>
      </w:pPr>
      <w:r>
        <w:rPr>
          <w:b/>
          <w:bCs/>
          <w:color w:val="12665F"/>
          <w:sz w:val="27"/>
          <w:szCs w:val="27"/>
        </w:rPr>
        <w:t>9.1 إشكالية استعارة “نظام التشغيل”: بين الوضوح التربوي والاختزال</w:t>
      </w:r>
    </w:p>
    <w:p w14:paraId="36DC516D" w14:textId="77777777" w:rsidR="00EC28FF" w:rsidRDefault="00CC34FE">
      <w:pPr>
        <w:spacing w:after="180" w:line="340" w:lineRule="auto"/>
        <w:jc w:val="both"/>
        <w:rPr>
          <w:rFonts w:cs="Arial"/>
        </w:rPr>
      </w:pPr>
      <w:r>
        <w:rPr>
          <w:color w:val="1B1B1B"/>
        </w:rPr>
        <w:t>تستعير الدراسة، تبعاً للزراع، مفردات المعلوماتية (نظام تشغيل، فيروس، جدار حماية، إعادة ضبط المصنع) لتقريب مفاهيم الفطرة والصدق والكذب لجمهور معاصر مألوف بهذه اللغة التقنية. وهذه الاستعارة تمتلك قيمة تربوية بيداغوجية حقيقية، لكنها تحمل في الوقت ذاته خطر اختزال ظاهرة إنسانية-روحية معقدة في قالب آلي-حتمي لا يفسح مجالاً كافياً للإرادة الحرة والتوبة والتغيّر التدريجي غير الخطي الذي تشهد به التجربة الإنسانية والنصوص الشرعية ذاتها. فالاستعارة أداة توضيح لا تفسير سببي حاسم، وينبغي التعامل معها على هذا الأساس، لا بوصفها وصفاً حرفياً للنفس البشرية.</w:t>
      </w:r>
    </w:p>
    <w:p w14:paraId="3D2C82A9" w14:textId="77777777" w:rsidR="00EC28FF" w:rsidRDefault="00CC34FE">
      <w:pPr>
        <w:pStyle w:val="2"/>
        <w:bidi/>
        <w:spacing w:before="260" w:after="140"/>
        <w:jc w:val="right"/>
        <w:rPr>
          <w:rFonts w:cs="Arial"/>
        </w:rPr>
      </w:pPr>
      <w:r>
        <w:rPr>
          <w:b/>
          <w:bCs/>
          <w:color w:val="12665F"/>
          <w:sz w:val="27"/>
          <w:szCs w:val="27"/>
        </w:rPr>
        <w:t>9.2 سؤال الأدلة التجريبية: من الاستدلال العصبي إلى الادعاء السببي</w:t>
      </w:r>
    </w:p>
    <w:p w14:paraId="6F9D72D8" w14:textId="77777777" w:rsidR="00EC28FF" w:rsidRDefault="00CC34FE">
      <w:pPr>
        <w:spacing w:after="180" w:line="340" w:lineRule="auto"/>
        <w:jc w:val="both"/>
        <w:rPr>
          <w:rFonts w:cs="Arial"/>
        </w:rPr>
      </w:pPr>
      <w:r>
        <w:rPr>
          <w:color w:val="1B1B1B"/>
        </w:rPr>
        <w:t>تستشهد الدراسة بأدلة عصبية معتبرة (</w:t>
      </w:r>
      <w:proofErr w:type="spellStart"/>
      <w:r>
        <w:rPr>
          <w:color w:val="1B1B1B"/>
        </w:rPr>
        <w:t>Greene</w:t>
      </w:r>
      <w:proofErr w:type="spellEnd"/>
      <w:r>
        <w:rPr>
          <w:color w:val="1B1B1B"/>
        </w:rPr>
        <w:t xml:space="preserve"> &amp; </w:t>
      </w:r>
      <w:proofErr w:type="spellStart"/>
      <w:r>
        <w:rPr>
          <w:color w:val="1B1B1B"/>
        </w:rPr>
        <w:t>Paxton</w:t>
      </w:r>
      <w:proofErr w:type="spellEnd"/>
      <w:r>
        <w:rPr>
          <w:color w:val="1B1B1B"/>
        </w:rPr>
        <w:t xml:space="preserve">, 2009؛ </w:t>
      </w:r>
      <w:proofErr w:type="spellStart"/>
      <w:r>
        <w:rPr>
          <w:color w:val="1B1B1B"/>
        </w:rPr>
        <w:t>Spence</w:t>
      </w:r>
      <w:proofErr w:type="spellEnd"/>
      <w:r>
        <w:rPr>
          <w:color w:val="1B1B1B"/>
        </w:rPr>
        <w:t xml:space="preserve"> </w:t>
      </w:r>
      <w:proofErr w:type="spellStart"/>
      <w:r>
        <w:rPr>
          <w:color w:val="1B1B1B"/>
        </w:rPr>
        <w:t>et</w:t>
      </w:r>
      <w:proofErr w:type="spellEnd"/>
      <w:r>
        <w:rPr>
          <w:color w:val="1B1B1B"/>
        </w:rPr>
        <w:t xml:space="preserve"> </w:t>
      </w:r>
      <w:proofErr w:type="spellStart"/>
      <w:r>
        <w:rPr>
          <w:color w:val="1B1B1B"/>
        </w:rPr>
        <w:t>al</w:t>
      </w:r>
      <w:proofErr w:type="spellEnd"/>
      <w:r>
        <w:rPr>
          <w:color w:val="1B1B1B"/>
        </w:rPr>
        <w:t xml:space="preserve">., 2001؛ </w:t>
      </w:r>
      <w:proofErr w:type="spellStart"/>
      <w:r>
        <w:rPr>
          <w:color w:val="1B1B1B"/>
        </w:rPr>
        <w:t>Vrij</w:t>
      </w:r>
      <w:proofErr w:type="spellEnd"/>
      <w:r>
        <w:rPr>
          <w:color w:val="1B1B1B"/>
        </w:rPr>
        <w:t xml:space="preserve"> </w:t>
      </w:r>
      <w:proofErr w:type="spellStart"/>
      <w:r>
        <w:rPr>
          <w:color w:val="1B1B1B"/>
        </w:rPr>
        <w:t>et</w:t>
      </w:r>
      <w:proofErr w:type="spellEnd"/>
      <w:r>
        <w:rPr>
          <w:color w:val="1B1B1B"/>
        </w:rPr>
        <w:t xml:space="preserve"> </w:t>
      </w:r>
      <w:proofErr w:type="spellStart"/>
      <w:r>
        <w:rPr>
          <w:color w:val="1B1B1B"/>
        </w:rPr>
        <w:t>al</w:t>
      </w:r>
      <w:proofErr w:type="spellEnd"/>
      <w:r>
        <w:rPr>
          <w:color w:val="1B1B1B"/>
        </w:rPr>
        <w:t>., 2008) لدعم فكرة أن الكذب “أكثر كلفة” عصبياً من الصدق. غير أن الأمانة المنهجية تقتضي التنبيه إلى أن هذه الدراسات تُظهر ارتباطاً بين الكذب وزيادة النشاط الجبهي في سياقات تجريبية محدودة (غرف مختبر، مهام مصطنعة)، لا سببية مطلقة تنسحب بالضرورة على كل صور الكذب في الحياة اليومية أو عبر جميع الثقافات والسياقات. كما أن تفسير هذا التنشيط الزائد بوصفه “دليلاً على أن الصدق هو الحالة الفطرية الافتراضية” هو استنتاج فلسفي-لاهوتي يتجاوز ما تقرره البيانات العصبية بذاتها؛ فالبيانات تصف نمطاً وظيفياً، بينما الحكم على “الطبيعة الافتراضية” للإنسان حكم قيمي-غائي يستمد شرعيته من مصدر معرفي آخر (الوحي والفطرة كما يُفهمان في العقيدة الإسلامية)، لا من التصوير العصبي وحده. وهذا لا يُبطل الاستدلال، لكنه يوجب التمييز الواضح بين ما تثبته البيانات وما يضيفه التأويل الاستخلافي.</w:t>
      </w:r>
    </w:p>
    <w:p w14:paraId="064BC66D" w14:textId="77777777" w:rsidR="00EC28FF" w:rsidRDefault="00CC34FE">
      <w:pPr>
        <w:pStyle w:val="2"/>
        <w:bidi/>
        <w:spacing w:before="260" w:after="140"/>
        <w:jc w:val="right"/>
        <w:rPr>
          <w:rFonts w:cs="Arial"/>
        </w:rPr>
      </w:pPr>
      <w:r>
        <w:rPr>
          <w:b/>
          <w:bCs/>
          <w:color w:val="12665F"/>
          <w:sz w:val="27"/>
          <w:szCs w:val="27"/>
        </w:rPr>
        <w:t>9.3 موقع النموذج من نقد الحداثة العلمانية: حوار مع وائل حلاق</w:t>
      </w:r>
    </w:p>
    <w:p w14:paraId="2408041D" w14:textId="77777777" w:rsidR="00EC28FF" w:rsidRDefault="00CC34FE">
      <w:pPr>
        <w:spacing w:after="180" w:line="340" w:lineRule="auto"/>
        <w:jc w:val="both"/>
        <w:rPr>
          <w:rFonts w:cs="Arial"/>
        </w:rPr>
      </w:pPr>
      <w:r>
        <w:rPr>
          <w:color w:val="1B1B1B"/>
        </w:rPr>
        <w:t>يقدّم وائل حلاق، في نقده للدولة الحديثة وبنيتها الأخلاقية العلمانية (</w:t>
      </w:r>
      <w:proofErr w:type="spellStart"/>
      <w:r>
        <w:rPr>
          <w:color w:val="1B1B1B"/>
        </w:rPr>
        <w:t>Hallaq</w:t>
      </w:r>
      <w:proofErr w:type="spellEnd"/>
      <w:r>
        <w:rPr>
          <w:color w:val="1B1B1B"/>
        </w:rPr>
        <w:t xml:space="preserve">, 2013)، أطروحة مفادها أن المفاهيم الأخلاقية والقانونية الحديثة نشأت داخل بنية معرفية تفصل الأخلاق عن الغائية الدينية، بما يجعل استعارة هذه المفاهيم دون مساءلة نقدية عميقة محفوفة بمخاطر إعادة إنتاج الافتراضات العلمانية ذاتها من حيث لا يُقصَد. وهذا يطرح سؤالاً مشروعاً على النموذج الاستخلافي نفسه: هل استعارة مفردات </w:t>
      </w:r>
      <w:proofErr w:type="spellStart"/>
      <w:r>
        <w:rPr>
          <w:color w:val="1B1B1B"/>
        </w:rPr>
        <w:t>كانط</w:t>
      </w:r>
      <w:proofErr w:type="spellEnd"/>
      <w:r>
        <w:rPr>
          <w:color w:val="1B1B1B"/>
        </w:rPr>
        <w:t xml:space="preserve"> وسارتر </w:t>
      </w:r>
      <w:proofErr w:type="spellStart"/>
      <w:r>
        <w:rPr>
          <w:color w:val="1B1B1B"/>
        </w:rPr>
        <w:t>وهابرماس</w:t>
      </w:r>
      <w:proofErr w:type="spellEnd"/>
      <w:r>
        <w:rPr>
          <w:color w:val="1B1B1B"/>
        </w:rPr>
        <w:t xml:space="preserve"> وفوكو </w:t>
      </w:r>
      <w:proofErr w:type="spellStart"/>
      <w:r>
        <w:rPr>
          <w:color w:val="1B1B1B"/>
        </w:rPr>
        <w:t>وبورديو</w:t>
      </w:r>
      <w:proofErr w:type="spellEnd"/>
      <w:r>
        <w:rPr>
          <w:color w:val="1B1B1B"/>
        </w:rPr>
        <w:t xml:space="preserve"> </w:t>
      </w:r>
      <w:proofErr w:type="spellStart"/>
      <w:r>
        <w:rPr>
          <w:color w:val="1B1B1B"/>
        </w:rPr>
        <w:t>وماكنتاير</w:t>
      </w:r>
      <w:proofErr w:type="spellEnd"/>
      <w:r>
        <w:rPr>
          <w:color w:val="1B1B1B"/>
        </w:rPr>
        <w:t xml:space="preserve"> </w:t>
      </w:r>
      <w:proofErr w:type="spellStart"/>
      <w:r>
        <w:rPr>
          <w:color w:val="1B1B1B"/>
        </w:rPr>
        <w:t>وفرانكل</w:t>
      </w:r>
      <w:proofErr w:type="spellEnd"/>
      <w:r>
        <w:rPr>
          <w:color w:val="1B1B1B"/>
        </w:rPr>
        <w:t xml:space="preserve"> </w:t>
      </w:r>
      <w:proofErr w:type="spellStart"/>
      <w:r>
        <w:rPr>
          <w:color w:val="1B1B1B"/>
        </w:rPr>
        <w:t>وزوبوف</w:t>
      </w:r>
      <w:proofErr w:type="spellEnd"/>
      <w:r>
        <w:rPr>
          <w:color w:val="1B1B1B"/>
        </w:rPr>
        <w:t xml:space="preserve"> — رغم توظيفها نقدياً حواريّاً لا تبعيّاً — تُبقي البنية الاستخلافية متجذرة في غائيتها الإسلامية الأصلية، أم تُدخل إليها خلفيات فلسفية غير متجانسة معها من حيث لا يُنتبَه؟ تجيب هذه الدراسة بأن معيار حلاق نفسه — أي التمسك بالغائية الإسلامية كمرجعية حاكمة للتوظيف لا العكس — هو المعيار الذي التزمت به المقارنات أعلاه: فقد استُدعيت هذه المدارس الغربية كمحاورات نِدّية تُختبَر معها فرضيات النموذج الاستخلافي وتُصقَل حدودها، لا كأصل يُستمد منه التصور الاستخلافي ذاته. غير أن هذا التمييز يبقى، في نهاية المطاف، التزاماً منهجياً يقتضي مراجعة مستمرة، لا حصانة نهائية مكتسبة بمجرد التصريح بالنية.</w:t>
      </w:r>
    </w:p>
    <w:p w14:paraId="62928F12" w14:textId="77777777" w:rsidR="00EC28FF" w:rsidRDefault="00CC34FE">
      <w:pPr>
        <w:pStyle w:val="2"/>
        <w:bidi/>
        <w:spacing w:before="260" w:after="140"/>
        <w:jc w:val="right"/>
        <w:rPr>
          <w:rFonts w:cs="Arial"/>
        </w:rPr>
      </w:pPr>
      <w:r>
        <w:rPr>
          <w:b/>
          <w:bCs/>
          <w:color w:val="12665F"/>
          <w:sz w:val="27"/>
          <w:szCs w:val="27"/>
        </w:rPr>
        <w:t>9.4 نحو أجندة بحثية مستقبلية</w:t>
      </w:r>
    </w:p>
    <w:p w14:paraId="2B878AC5" w14:textId="77777777" w:rsidR="00EC28FF" w:rsidRDefault="00CC34FE">
      <w:pPr>
        <w:spacing w:after="180" w:line="340" w:lineRule="auto"/>
        <w:jc w:val="both"/>
        <w:rPr>
          <w:rFonts w:cs="Arial"/>
        </w:rPr>
      </w:pPr>
      <w:r>
        <w:rPr>
          <w:color w:val="1B1B1B"/>
        </w:rPr>
        <w:t xml:space="preserve">تقترح هذه الدراسة الموسّعة ثلاثة مسارات بحثية مستقبلية لتعميق النموذج وتمحيصه: أولاً، دراسات تجريبية مصممة خصيصاً لاختبار فرضية “العبء المعرفي للكذب” ضمن سياقات ثقافية إسلامية ومجتمعات متعددة، بدل الاكتفاء بالتعميم من عينات غربية محدودة. ثانياً، دراسات إكلينيكية تقيس أثر بروتوكول TLRT كمياً عبر مؤشرات نفسية وفسيولوجية قابلة للقياس (كمستوى الكورتيزول، ومقاييس القلق الوجودي المعيارية) قبل التدخل وبعده. ثالثاً، توسيع الحوار الفلسفي المقارن ليشمل مدارس أخلاقية إسلامية كلاسيكية أخرى (كالفلسفة الأخلاقية عند ابن </w:t>
      </w:r>
      <w:proofErr w:type="spellStart"/>
      <w:r>
        <w:rPr>
          <w:color w:val="1B1B1B"/>
        </w:rPr>
        <w:t>مسكويه</w:t>
      </w:r>
      <w:proofErr w:type="spellEnd"/>
      <w:r>
        <w:rPr>
          <w:color w:val="1B1B1B"/>
        </w:rPr>
        <w:t>، والتصوف السني المتأخر) إلى جانب المدارس الغربية المعاصرة، تعميقاً للحوار النِدّي الذي تسعى إليه هذه الدراسة.</w:t>
      </w:r>
    </w:p>
    <w:p w14:paraId="09E36A42" w14:textId="77777777" w:rsidR="00EC28FF" w:rsidRDefault="00CC34FE">
      <w:pPr>
        <w:pStyle w:val="1"/>
        <w:pBdr>
          <w:bottom w:val="single" w:sz="12" w:space="0" w:color="12665F"/>
        </w:pBdr>
        <w:bidi/>
        <w:spacing w:before="420" w:after="200"/>
        <w:jc w:val="right"/>
        <w:rPr>
          <w:rFonts w:cs="Arial"/>
        </w:rPr>
      </w:pPr>
      <w:r>
        <w:rPr>
          <w:b/>
          <w:bCs/>
          <w:color w:val="0F2A4A"/>
        </w:rPr>
        <w:t>خاتمة: الصدق — شرط الاستخلاف وأساس الحياة الطيبة</w:t>
      </w:r>
    </w:p>
    <w:p w14:paraId="74700C69" w14:textId="77777777" w:rsidR="00EC28FF" w:rsidRDefault="00CC34FE">
      <w:pPr>
        <w:spacing w:after="180" w:line="340" w:lineRule="auto"/>
        <w:jc w:val="both"/>
        <w:rPr>
          <w:rFonts w:cs="Arial"/>
        </w:rPr>
      </w:pPr>
      <w:r>
        <w:rPr>
          <w:color w:val="1B1B1B"/>
        </w:rPr>
        <w:t>في نهاية هذه “الدراسة”، نخلص إلى أن “الكذب” — في “النموذج الاستخلافي” — ليس “مجرد” “خطأ أخلاقي”، بل هو “اعتداء” على “الذات” و“تدمير” لـ“النظام العصبي” و“انحراف” عن “الغاية” “الوجودية”. و“الصدق” — في “المُقابل” — ليس “مجرد” “فضيلة”، بل هو “ضرورة بيولوجية” و“شرط أساسي” لـ“تحقيق” “النفس المطمئنة” و“عمارة الأرض”. إنه — كما “يُعبَّر” عنه — “الطريق” “الأقصر” إلى “السكينة” و“الطمأنينة” و“الرضوان”.</w:t>
      </w:r>
    </w:p>
    <w:p w14:paraId="09991F52" w14:textId="77777777" w:rsidR="00EC28FF" w:rsidRDefault="00CC34FE">
      <w:pPr>
        <w:spacing w:after="180" w:line="340" w:lineRule="auto"/>
        <w:jc w:val="both"/>
        <w:rPr>
          <w:rFonts w:cs="Arial"/>
        </w:rPr>
      </w:pPr>
      <w:r>
        <w:rPr>
          <w:color w:val="1B1B1B"/>
        </w:rPr>
        <w:t xml:space="preserve">وقد سعت هذه الطبعة الموسّعة إلى إثبات أن هذا التصور، رغم جذوره الإيمانية الخالصة، قادر على الدخول في حوار ندّي مثمر مع أرقى ما أنتجته الفلسفة الأخلاقية الغربية الحديثة والمعاصرة — من </w:t>
      </w:r>
      <w:proofErr w:type="spellStart"/>
      <w:r>
        <w:rPr>
          <w:color w:val="1B1B1B"/>
        </w:rPr>
        <w:t>كانط</w:t>
      </w:r>
      <w:proofErr w:type="spellEnd"/>
      <w:r>
        <w:rPr>
          <w:color w:val="1B1B1B"/>
        </w:rPr>
        <w:t xml:space="preserve"> إلى </w:t>
      </w:r>
      <w:proofErr w:type="spellStart"/>
      <w:r>
        <w:rPr>
          <w:color w:val="1B1B1B"/>
        </w:rPr>
        <w:t>فرانكل</w:t>
      </w:r>
      <w:proofErr w:type="spellEnd"/>
      <w:r>
        <w:rPr>
          <w:color w:val="1B1B1B"/>
        </w:rPr>
        <w:t xml:space="preserve"> — ومع أعمق ما أنتجه التراث الإسلامي في تهذيب النفس — من الغزالي إلى المحاسبي — دون أن يذوب في أيّ منهما، بل محافظاً على استقلاليته </w:t>
      </w:r>
      <w:proofErr w:type="spellStart"/>
      <w:r>
        <w:rPr>
          <w:color w:val="1B1B1B"/>
        </w:rPr>
        <w:t>الإبستمولوجية</w:t>
      </w:r>
      <w:proofErr w:type="spellEnd"/>
      <w:r>
        <w:rPr>
          <w:color w:val="1B1B1B"/>
        </w:rPr>
        <w:t xml:space="preserve"> بوصفه إطاراً معرفياً أصيلاً ينظر إلى الإنسان من موقع الاستخلاف لا من موقع التبعية النظرية.</w:t>
      </w:r>
    </w:p>
    <w:p w14:paraId="525333FA" w14:textId="77777777" w:rsidR="00EC28FF" w:rsidRDefault="00CC34FE">
      <w:pPr>
        <w:pBdr>
          <w:top w:val="single" w:sz="16" w:space="0" w:color="B8862B"/>
          <w:left w:val="single" w:sz="16" w:space="0" w:color="B8862B"/>
          <w:bottom w:val="single" w:sz="16" w:space="0" w:color="B8862B"/>
          <w:right w:val="single" w:sz="16" w:space="0" w:color="B8862B"/>
        </w:pBdr>
        <w:shd w:val="clear" w:color="auto" w:fill="FBF6E9"/>
        <w:spacing w:before="300" w:after="60"/>
        <w:jc w:val="center"/>
        <w:rPr>
          <w:rFonts w:cs="Arial"/>
        </w:rPr>
      </w:pPr>
      <w:r>
        <w:rPr>
          <w:b/>
          <w:bCs/>
          <w:color w:val="B8862B"/>
          <w:sz w:val="28"/>
          <w:szCs w:val="28"/>
        </w:rPr>
        <w:t xml:space="preserve">﴿ </w:t>
      </w:r>
      <w:r>
        <w:rPr>
          <w:b/>
          <w:bCs/>
          <w:color w:val="0F2A4A"/>
          <w:sz w:val="28"/>
          <w:szCs w:val="28"/>
        </w:rPr>
        <w:t>‏يَا أَيُّهَا الَّذِينَ آمَنُوا اتَّقُوا اللَّهَ وَكُونُوا مَعَ الصَّادِقِينَ</w:t>
      </w:r>
      <w:r>
        <w:rPr>
          <w:b/>
          <w:bCs/>
          <w:color w:val="B8862B"/>
          <w:sz w:val="28"/>
          <w:szCs w:val="28"/>
        </w:rPr>
        <w:t xml:space="preserve"> ﴾</w:t>
      </w:r>
    </w:p>
    <w:p w14:paraId="5CFDD795" w14:textId="77777777" w:rsidR="00EC28FF" w:rsidRDefault="00CC34FE">
      <w:pPr>
        <w:pBdr>
          <w:left w:val="single" w:sz="16" w:space="0" w:color="B8862B"/>
          <w:bottom w:val="single" w:sz="16" w:space="0" w:color="B8862B"/>
          <w:right w:val="single" w:sz="16" w:space="0" w:color="B8862B"/>
        </w:pBdr>
        <w:shd w:val="clear" w:color="auto" w:fill="FBF6E9"/>
        <w:spacing w:before="40" w:after="300"/>
        <w:jc w:val="center"/>
        <w:rPr>
          <w:rFonts w:cs="Arial"/>
        </w:rPr>
      </w:pPr>
      <w:r>
        <w:rPr>
          <w:i/>
          <w:iCs/>
          <w:color w:val="12665F"/>
          <w:sz w:val="21"/>
          <w:szCs w:val="21"/>
        </w:rPr>
        <w:t>[التوبة: 119]</w:t>
      </w:r>
    </w:p>
    <w:p w14:paraId="11446033" w14:textId="77777777" w:rsidR="00EC28FF" w:rsidRDefault="00CC34FE">
      <w:pPr>
        <w:rPr>
          <w:rFonts w:cs="Arial"/>
        </w:rPr>
      </w:pPr>
      <w:r>
        <w:br w:type="page"/>
      </w:r>
    </w:p>
    <w:p w14:paraId="072B3BAE" w14:textId="77777777" w:rsidR="00EC28FF" w:rsidRDefault="00CC34FE">
      <w:pPr>
        <w:pStyle w:val="1"/>
        <w:pBdr>
          <w:bottom w:val="single" w:sz="12" w:space="0" w:color="12665F"/>
        </w:pBdr>
        <w:bidi/>
        <w:spacing w:before="420" w:after="200"/>
        <w:jc w:val="right"/>
        <w:rPr>
          <w:rFonts w:cs="Arial"/>
        </w:rPr>
      </w:pPr>
      <w:r>
        <w:rPr>
          <w:b/>
          <w:bCs/>
          <w:color w:val="0F2A4A"/>
        </w:rPr>
        <w:t>المراجع والمصادر</w:t>
      </w:r>
    </w:p>
    <w:p w14:paraId="209D29B3" w14:textId="77777777" w:rsidR="00EC28FF" w:rsidRDefault="00CC34FE">
      <w:pPr>
        <w:pBdr>
          <w:right w:val="single" w:sz="24" w:space="0" w:color="B8862B"/>
        </w:pBdr>
        <w:shd w:val="clear" w:color="auto" w:fill="F6ECCF"/>
        <w:spacing w:before="280" w:after="140"/>
        <w:ind w:right="100"/>
        <w:jc w:val="right"/>
        <w:rPr>
          <w:rFonts w:cs="Arial"/>
        </w:rPr>
      </w:pPr>
      <w:r>
        <w:rPr>
          <w:b/>
          <w:bCs/>
          <w:color w:val="0F2A4A"/>
          <w:sz w:val="25"/>
          <w:szCs w:val="25"/>
        </w:rPr>
        <w:t>أولاً: المصادر الأساسية (النموذج الاستخلافي)</w:t>
      </w:r>
    </w:p>
    <w:p w14:paraId="4855874D" w14:textId="77777777" w:rsidR="00EC28FF" w:rsidRDefault="00CC34FE">
      <w:pPr>
        <w:spacing w:after="120" w:line="300" w:lineRule="auto"/>
        <w:jc w:val="right"/>
        <w:rPr>
          <w:rFonts w:cs="Arial"/>
        </w:rPr>
      </w:pPr>
      <w:r>
        <w:rPr>
          <w:color w:val="1B1B1B"/>
          <w:sz w:val="22"/>
          <w:szCs w:val="22"/>
        </w:rPr>
        <w:t>1. الزراع، عبد السلام. (2026). العلاج بحرث المصالحة التحويلية (TLRT): الدليل النظري والإكلينيكي. (الطبعة التجريبية الأولى).</w:t>
      </w:r>
    </w:p>
    <w:p w14:paraId="1434758F" w14:textId="77777777" w:rsidR="00EC28FF" w:rsidRDefault="00CC34FE">
      <w:pPr>
        <w:spacing w:after="120" w:line="300" w:lineRule="auto"/>
        <w:jc w:val="right"/>
        <w:rPr>
          <w:rFonts w:cs="Arial"/>
        </w:rPr>
      </w:pPr>
      <w:r>
        <w:rPr>
          <w:color w:val="1B1B1B"/>
          <w:sz w:val="22"/>
          <w:szCs w:val="22"/>
        </w:rPr>
        <w:t>2. الزراع، عبد السلام. (2026). الفصام الأخلاقي ومصدر الأزمات النفسية: قراءة في ضوء نظرية TLRT.</w:t>
      </w:r>
    </w:p>
    <w:p w14:paraId="3B8EA798" w14:textId="77777777" w:rsidR="00EC28FF" w:rsidRDefault="00CC34FE">
      <w:pPr>
        <w:spacing w:after="120" w:line="300" w:lineRule="auto"/>
        <w:jc w:val="right"/>
        <w:rPr>
          <w:rFonts w:cs="Arial"/>
        </w:rPr>
      </w:pPr>
      <w:r>
        <w:rPr>
          <w:color w:val="1B1B1B"/>
          <w:sz w:val="22"/>
          <w:szCs w:val="22"/>
        </w:rPr>
        <w:t xml:space="preserve">3. الزراع، عبد السلام. (2026). </w:t>
      </w:r>
      <w:proofErr w:type="spellStart"/>
      <w:r>
        <w:rPr>
          <w:color w:val="1B1B1B"/>
          <w:sz w:val="22"/>
          <w:szCs w:val="22"/>
        </w:rPr>
        <w:t>التمثلات</w:t>
      </w:r>
      <w:proofErr w:type="spellEnd"/>
      <w:r>
        <w:rPr>
          <w:color w:val="1B1B1B"/>
          <w:sz w:val="22"/>
          <w:szCs w:val="22"/>
        </w:rPr>
        <w:t xml:space="preserve"> الداخلية للإله: من نظرية </w:t>
      </w:r>
      <w:proofErr w:type="spellStart"/>
      <w:r>
        <w:rPr>
          <w:color w:val="1B1B1B"/>
          <w:sz w:val="22"/>
          <w:szCs w:val="22"/>
        </w:rPr>
        <w:t>ريزوتو</w:t>
      </w:r>
      <w:proofErr w:type="spellEnd"/>
      <w:r>
        <w:rPr>
          <w:color w:val="1B1B1B"/>
          <w:sz w:val="22"/>
          <w:szCs w:val="22"/>
        </w:rPr>
        <w:t xml:space="preserve"> إلى إعادة بناء صورة الله في TLRT.</w:t>
      </w:r>
    </w:p>
    <w:p w14:paraId="6AC05858" w14:textId="77777777" w:rsidR="00EC28FF" w:rsidRDefault="00CC34FE">
      <w:pPr>
        <w:pBdr>
          <w:right w:val="single" w:sz="24" w:space="0" w:color="B8862B"/>
        </w:pBdr>
        <w:shd w:val="clear" w:color="auto" w:fill="F6ECCF"/>
        <w:spacing w:before="280" w:after="140"/>
        <w:ind w:right="100"/>
        <w:jc w:val="right"/>
        <w:rPr>
          <w:rFonts w:cs="Arial"/>
        </w:rPr>
      </w:pPr>
      <w:r>
        <w:rPr>
          <w:b/>
          <w:bCs/>
          <w:color w:val="0F2A4A"/>
          <w:sz w:val="25"/>
          <w:szCs w:val="25"/>
        </w:rPr>
        <w:t>ثانياً: مراجع في علم الأعصاب وعلم النفس المعرفي للكذب</w:t>
      </w:r>
    </w:p>
    <w:p w14:paraId="700A17E9" w14:textId="77777777" w:rsidR="00EC28FF" w:rsidRDefault="00CC34FE">
      <w:pPr>
        <w:bidi w:val="0"/>
        <w:spacing w:after="120" w:line="300" w:lineRule="auto"/>
        <w:rPr>
          <w:rFonts w:cs="Arial"/>
        </w:rPr>
      </w:pPr>
      <w:r>
        <w:rPr>
          <w:rFonts w:ascii="Times New Roman" w:eastAsia="Times New Roman" w:hAnsi="Times New Roman" w:cs="Times New Roman"/>
          <w:color w:val="1B1B1B"/>
          <w:sz w:val="22"/>
          <w:szCs w:val="22"/>
          <w:rtl w:val="0"/>
        </w:rPr>
        <w:t>4. Greene, J. D., &amp; Paxton, J. M. (2009). Patterns of neural activity associated with honest and dishonest moral decisions. Proceedings of the National Academy of Sciences, 106(30), 12506–12511.</w:t>
      </w:r>
    </w:p>
    <w:p w14:paraId="4E442DB8" w14:textId="77777777" w:rsidR="00EC28FF" w:rsidRDefault="00CC34FE">
      <w:pPr>
        <w:bidi w:val="0"/>
        <w:spacing w:after="120" w:line="300" w:lineRule="auto"/>
        <w:rPr>
          <w:rFonts w:cs="Arial"/>
        </w:rPr>
      </w:pPr>
      <w:r>
        <w:rPr>
          <w:rFonts w:ascii="Times New Roman" w:eastAsia="Times New Roman" w:hAnsi="Times New Roman" w:cs="Times New Roman"/>
          <w:color w:val="1B1B1B"/>
          <w:sz w:val="22"/>
          <w:szCs w:val="22"/>
          <w:rtl w:val="0"/>
        </w:rPr>
        <w:t>5. Vrij, A., Fisher, R., Mann, S., &amp; Leal, S. (2008). A cognitive load approach to lie detection. Journal of Investigative Psychology and Offender Profiling, 5(1-2), 39–43.</w:t>
      </w:r>
    </w:p>
    <w:p w14:paraId="289AD139" w14:textId="77777777" w:rsidR="00EC28FF" w:rsidRDefault="00CC34FE">
      <w:pPr>
        <w:bidi w:val="0"/>
        <w:spacing w:after="120" w:line="300" w:lineRule="auto"/>
        <w:rPr>
          <w:rFonts w:cs="Arial"/>
        </w:rPr>
      </w:pPr>
      <w:r>
        <w:rPr>
          <w:rFonts w:ascii="Times New Roman" w:eastAsia="Times New Roman" w:hAnsi="Times New Roman" w:cs="Times New Roman"/>
          <w:color w:val="1B1B1B"/>
          <w:sz w:val="22"/>
          <w:szCs w:val="22"/>
          <w:rtl w:val="0"/>
        </w:rPr>
        <w:t>6. Spence, S. A., et al. (2001). Behavioural and functional anatomical correlates of deception in humans. Neuroreport, 12(13), 2849–2853.</w:t>
      </w:r>
    </w:p>
    <w:p w14:paraId="56594854" w14:textId="77777777" w:rsidR="00EC28FF" w:rsidRDefault="00CC34FE">
      <w:pPr>
        <w:bidi w:val="0"/>
        <w:spacing w:after="120" w:line="300" w:lineRule="auto"/>
        <w:rPr>
          <w:rFonts w:cs="Arial"/>
        </w:rPr>
      </w:pPr>
      <w:r>
        <w:rPr>
          <w:rFonts w:ascii="Times New Roman" w:eastAsia="Times New Roman" w:hAnsi="Times New Roman" w:cs="Times New Roman"/>
          <w:color w:val="1B1B1B"/>
          <w:sz w:val="22"/>
          <w:szCs w:val="22"/>
          <w:rtl w:val="0"/>
        </w:rPr>
        <w:t>7. Damasio, A. (1994). Descartes' Error: Emotion, Reason, and the Human Brain. New York: G. P. Putnam's Sons.</w:t>
      </w:r>
    </w:p>
    <w:p w14:paraId="3A38A970" w14:textId="77777777" w:rsidR="00EC28FF" w:rsidRDefault="00CC34FE">
      <w:pPr>
        <w:bidi w:val="0"/>
        <w:spacing w:after="120" w:line="300" w:lineRule="auto"/>
        <w:rPr>
          <w:rFonts w:cs="Arial"/>
        </w:rPr>
      </w:pPr>
      <w:r>
        <w:rPr>
          <w:rFonts w:ascii="Times New Roman" w:eastAsia="Times New Roman" w:hAnsi="Times New Roman" w:cs="Times New Roman"/>
          <w:color w:val="1B1B1B"/>
          <w:sz w:val="22"/>
          <w:szCs w:val="22"/>
          <w:rtl w:val="0"/>
        </w:rPr>
        <w:t>8. DePaulo, B. M., Kashy, D. A., Kirkendol, S. E., Wyer, M. M., &amp; Epstein, J. A. (1996). Lying in everyday life. Journal of Personality and Social Psychology, 70(5), 979–995.</w:t>
      </w:r>
    </w:p>
    <w:p w14:paraId="2AC90F3F" w14:textId="77777777" w:rsidR="00EC28FF" w:rsidRDefault="00CC34FE">
      <w:pPr>
        <w:bidi w:val="0"/>
        <w:spacing w:after="120" w:line="300" w:lineRule="auto"/>
        <w:rPr>
          <w:rFonts w:cs="Arial"/>
        </w:rPr>
      </w:pPr>
      <w:r>
        <w:rPr>
          <w:rFonts w:ascii="Times New Roman" w:eastAsia="Times New Roman" w:hAnsi="Times New Roman" w:cs="Times New Roman"/>
          <w:color w:val="1B1B1B"/>
          <w:sz w:val="22"/>
          <w:szCs w:val="22"/>
          <w:rtl w:val="0"/>
        </w:rPr>
        <w:t>9. Ekman, P. (2009). Telling Lies: Clues to Deceit in the Marketplace, Politics, and Marriage. New York: W. W. Norton &amp; Company.</w:t>
      </w:r>
    </w:p>
    <w:p w14:paraId="7E5AAA64" w14:textId="77777777" w:rsidR="00EC28FF" w:rsidRDefault="00CC34FE">
      <w:pPr>
        <w:pBdr>
          <w:right w:val="single" w:sz="24" w:space="0" w:color="B8862B"/>
        </w:pBdr>
        <w:shd w:val="clear" w:color="auto" w:fill="F6ECCF"/>
        <w:spacing w:before="280" w:after="140"/>
        <w:ind w:right="100"/>
        <w:jc w:val="right"/>
        <w:rPr>
          <w:rFonts w:cs="Arial"/>
        </w:rPr>
      </w:pPr>
      <w:r>
        <w:rPr>
          <w:b/>
          <w:bCs/>
          <w:color w:val="0F2A4A"/>
          <w:sz w:val="25"/>
          <w:szCs w:val="25"/>
        </w:rPr>
        <w:t>ثالثاً: مراجع في علم النفس الأخلاقي والفلسفة الغربية</w:t>
      </w:r>
    </w:p>
    <w:p w14:paraId="7747BB9B" w14:textId="77777777" w:rsidR="00EC28FF" w:rsidRDefault="00CC34FE">
      <w:pPr>
        <w:bidi w:val="0"/>
        <w:spacing w:after="120" w:line="300" w:lineRule="auto"/>
        <w:rPr>
          <w:rFonts w:cs="Arial"/>
        </w:rPr>
      </w:pPr>
      <w:r>
        <w:rPr>
          <w:rFonts w:ascii="Times New Roman" w:eastAsia="Times New Roman" w:hAnsi="Times New Roman" w:cs="Times New Roman"/>
          <w:color w:val="1B1B1B"/>
          <w:sz w:val="22"/>
          <w:szCs w:val="22"/>
          <w:rtl w:val="0"/>
        </w:rPr>
        <w:t>10. Kant, I. (1785). Groundwork of the Metaphysics of Morals. (M. Gregor, Trans.). Cambridge: Cambridge University Press.</w:t>
      </w:r>
    </w:p>
    <w:p w14:paraId="15F51E20" w14:textId="77777777" w:rsidR="00EC28FF" w:rsidRDefault="00CC34FE">
      <w:pPr>
        <w:bidi w:val="0"/>
        <w:spacing w:after="120" w:line="300" w:lineRule="auto"/>
        <w:rPr>
          <w:rFonts w:cs="Arial"/>
        </w:rPr>
      </w:pPr>
      <w:r>
        <w:rPr>
          <w:rFonts w:ascii="Times New Roman" w:eastAsia="Times New Roman" w:hAnsi="Times New Roman" w:cs="Times New Roman"/>
          <w:color w:val="1B1B1B"/>
          <w:sz w:val="22"/>
          <w:szCs w:val="22"/>
          <w:rtl w:val="0"/>
        </w:rPr>
        <w:t>11. Sartre, J.-P. (1943). L'être et le néant. Paris: Gallimard.</w:t>
      </w:r>
    </w:p>
    <w:p w14:paraId="77916BFE" w14:textId="77777777" w:rsidR="00EC28FF" w:rsidRDefault="00CC34FE">
      <w:pPr>
        <w:bidi w:val="0"/>
        <w:spacing w:after="120" w:line="300" w:lineRule="auto"/>
        <w:rPr>
          <w:rFonts w:cs="Arial"/>
        </w:rPr>
      </w:pPr>
      <w:r>
        <w:rPr>
          <w:rFonts w:ascii="Times New Roman" w:eastAsia="Times New Roman" w:hAnsi="Times New Roman" w:cs="Times New Roman"/>
          <w:color w:val="1B1B1B"/>
          <w:sz w:val="22"/>
          <w:szCs w:val="22"/>
          <w:rtl w:val="0"/>
        </w:rPr>
        <w:t>12. Foucault, M. (2001). Fearless Speech (Discourse and Truth: The Problematization of Parrhesia). Los Angeles: Semiotext(e).</w:t>
      </w:r>
    </w:p>
    <w:p w14:paraId="20E8DC39" w14:textId="77777777" w:rsidR="00EC28FF" w:rsidRDefault="00CC34FE">
      <w:pPr>
        <w:bidi w:val="0"/>
        <w:spacing w:after="120" w:line="300" w:lineRule="auto"/>
        <w:rPr>
          <w:rFonts w:cs="Arial"/>
        </w:rPr>
      </w:pPr>
      <w:r>
        <w:rPr>
          <w:rFonts w:ascii="Times New Roman" w:eastAsia="Times New Roman" w:hAnsi="Times New Roman" w:cs="Times New Roman"/>
          <w:color w:val="1B1B1B"/>
          <w:sz w:val="22"/>
          <w:szCs w:val="22"/>
          <w:rtl w:val="0"/>
        </w:rPr>
        <w:t>13. Habermas, J. (1981). Theorie des kommunikativen Handelns [The Theory of Communicative Action]. Frankfurt: Suhrkamp.</w:t>
      </w:r>
    </w:p>
    <w:p w14:paraId="20552E3B" w14:textId="77777777" w:rsidR="00EC28FF" w:rsidRDefault="00CC34FE">
      <w:pPr>
        <w:bidi w:val="0"/>
        <w:spacing w:after="120" w:line="300" w:lineRule="auto"/>
        <w:rPr>
          <w:rFonts w:cs="Arial"/>
        </w:rPr>
      </w:pPr>
      <w:r>
        <w:rPr>
          <w:rFonts w:ascii="Times New Roman" w:eastAsia="Times New Roman" w:hAnsi="Times New Roman" w:cs="Times New Roman"/>
          <w:color w:val="1B1B1B"/>
          <w:sz w:val="22"/>
          <w:szCs w:val="22"/>
          <w:rtl w:val="0"/>
        </w:rPr>
        <w:t>14. Bourdieu, P. (1991). Language and Symbolic Power. (J. B. Thompson, Ed.). Cambridge: Polity Press.</w:t>
      </w:r>
    </w:p>
    <w:p w14:paraId="7EDB57C2" w14:textId="77777777" w:rsidR="00EC28FF" w:rsidRDefault="00CC34FE">
      <w:pPr>
        <w:bidi w:val="0"/>
        <w:spacing w:after="120" w:line="300" w:lineRule="auto"/>
        <w:rPr>
          <w:rFonts w:cs="Arial"/>
        </w:rPr>
      </w:pPr>
      <w:r>
        <w:rPr>
          <w:rFonts w:ascii="Times New Roman" w:eastAsia="Times New Roman" w:hAnsi="Times New Roman" w:cs="Times New Roman"/>
          <w:color w:val="1B1B1B"/>
          <w:sz w:val="22"/>
          <w:szCs w:val="22"/>
          <w:rtl w:val="0"/>
        </w:rPr>
        <w:t>15. MacIntyre, A. (1981). After Virtue: A Study in Moral Theory. Notre Dame: University of Notre Dame Press.</w:t>
      </w:r>
    </w:p>
    <w:p w14:paraId="3FC2B4DF" w14:textId="77777777" w:rsidR="00EC28FF" w:rsidRDefault="00CC34FE">
      <w:pPr>
        <w:bidi w:val="0"/>
        <w:spacing w:after="120" w:line="300" w:lineRule="auto"/>
        <w:rPr>
          <w:rFonts w:cs="Arial"/>
        </w:rPr>
      </w:pPr>
      <w:r>
        <w:rPr>
          <w:rFonts w:ascii="Times New Roman" w:eastAsia="Times New Roman" w:hAnsi="Times New Roman" w:cs="Times New Roman"/>
          <w:color w:val="1B1B1B"/>
          <w:sz w:val="22"/>
          <w:szCs w:val="22"/>
          <w:rtl w:val="0"/>
        </w:rPr>
        <w:t>16. Frankl, V. E. (1946). Man's Search for Meaning. (Original German: Ein Psycholog erlebt das Konzentrationslager).</w:t>
      </w:r>
    </w:p>
    <w:p w14:paraId="2BA1B18B" w14:textId="77777777" w:rsidR="00EC28FF" w:rsidRDefault="00CC34FE">
      <w:pPr>
        <w:bidi w:val="0"/>
        <w:spacing w:after="120" w:line="300" w:lineRule="auto"/>
        <w:rPr>
          <w:rFonts w:cs="Arial"/>
        </w:rPr>
      </w:pPr>
      <w:r>
        <w:rPr>
          <w:rFonts w:ascii="Times New Roman" w:eastAsia="Times New Roman" w:hAnsi="Times New Roman" w:cs="Times New Roman"/>
          <w:color w:val="1B1B1B"/>
          <w:sz w:val="22"/>
          <w:szCs w:val="22"/>
          <w:rtl w:val="0"/>
        </w:rPr>
        <w:t>17. Zuboff, S. (2019). The Age of Surveillance Capitalism: The Fight for a Human Future at the New Frontier of Power. New York: PublicAffairs.</w:t>
      </w:r>
    </w:p>
    <w:p w14:paraId="7524F5DD" w14:textId="77777777" w:rsidR="00EC28FF" w:rsidRDefault="00CC34FE">
      <w:pPr>
        <w:bidi w:val="0"/>
        <w:spacing w:after="120" w:line="300" w:lineRule="auto"/>
        <w:rPr>
          <w:rFonts w:cs="Arial"/>
        </w:rPr>
      </w:pPr>
      <w:r>
        <w:rPr>
          <w:rFonts w:ascii="Times New Roman" w:eastAsia="Times New Roman" w:hAnsi="Times New Roman" w:cs="Times New Roman"/>
          <w:color w:val="1B1B1B"/>
          <w:sz w:val="22"/>
          <w:szCs w:val="22"/>
          <w:rtl w:val="0"/>
        </w:rPr>
        <w:t>18. Hallaq, W. B. (2013). The Impossible State: Islam, Politics, and Modernity's Moral Predicament. New York: Columbia University Press.</w:t>
      </w:r>
    </w:p>
    <w:p w14:paraId="25F90D5B" w14:textId="77777777" w:rsidR="00EC28FF" w:rsidRDefault="00CC34FE">
      <w:pPr>
        <w:pBdr>
          <w:right w:val="single" w:sz="24" w:space="0" w:color="B8862B"/>
        </w:pBdr>
        <w:shd w:val="clear" w:color="auto" w:fill="F6ECCF"/>
        <w:spacing w:before="280" w:after="140"/>
        <w:ind w:right="100"/>
        <w:jc w:val="right"/>
        <w:rPr>
          <w:rFonts w:cs="Arial"/>
        </w:rPr>
      </w:pPr>
      <w:r>
        <w:rPr>
          <w:b/>
          <w:bCs/>
          <w:color w:val="0F2A4A"/>
          <w:sz w:val="25"/>
          <w:szCs w:val="25"/>
        </w:rPr>
        <w:t>رابعاً: مراجع في التراث الإسلامي</w:t>
      </w:r>
    </w:p>
    <w:p w14:paraId="5E822F74" w14:textId="77777777" w:rsidR="00EC28FF" w:rsidRDefault="00CC34FE">
      <w:pPr>
        <w:spacing w:after="120" w:line="300" w:lineRule="auto"/>
        <w:jc w:val="right"/>
        <w:rPr>
          <w:rFonts w:cs="Arial"/>
        </w:rPr>
      </w:pPr>
      <w:r>
        <w:rPr>
          <w:color w:val="1B1B1B"/>
          <w:sz w:val="22"/>
          <w:szCs w:val="22"/>
        </w:rPr>
        <w:t>19. القرآن الكريم.</w:t>
      </w:r>
    </w:p>
    <w:p w14:paraId="43635559" w14:textId="77777777" w:rsidR="00EC28FF" w:rsidRDefault="00CC34FE">
      <w:pPr>
        <w:spacing w:after="120" w:line="300" w:lineRule="auto"/>
        <w:jc w:val="right"/>
        <w:rPr>
          <w:rFonts w:cs="Arial"/>
        </w:rPr>
      </w:pPr>
      <w:r>
        <w:rPr>
          <w:color w:val="1B1B1B"/>
          <w:sz w:val="22"/>
          <w:szCs w:val="22"/>
        </w:rPr>
        <w:t>20. الغزالي، أبو حامد. (د.ت.). إحياء علوم الدين. بيروت: دار المعرفة.</w:t>
      </w:r>
    </w:p>
    <w:p w14:paraId="54CE19DD" w14:textId="77777777" w:rsidR="00EC28FF" w:rsidRDefault="00CC34FE">
      <w:pPr>
        <w:spacing w:after="120" w:line="300" w:lineRule="auto"/>
        <w:jc w:val="right"/>
        <w:rPr>
          <w:rFonts w:cs="Arial"/>
        </w:rPr>
      </w:pPr>
      <w:r>
        <w:rPr>
          <w:color w:val="1B1B1B"/>
          <w:sz w:val="22"/>
          <w:szCs w:val="22"/>
        </w:rPr>
        <w:t>21. ابن القيم الجوزية. (د.ت.). مدارج السالكين بين منازل إياك نعبد وإياك نستعين. تحقيق: محمد حامد الفقي. بيروت: دار الكتاب العربي.</w:t>
      </w:r>
    </w:p>
    <w:p w14:paraId="01C307A9" w14:textId="77777777" w:rsidR="00EC28FF" w:rsidRDefault="00CC34FE">
      <w:pPr>
        <w:spacing w:after="120" w:line="300" w:lineRule="auto"/>
        <w:jc w:val="right"/>
        <w:rPr>
          <w:rFonts w:cs="Arial"/>
        </w:rPr>
      </w:pPr>
      <w:r>
        <w:rPr>
          <w:color w:val="1B1B1B"/>
          <w:sz w:val="22"/>
          <w:szCs w:val="22"/>
        </w:rPr>
        <w:t>22. المحاسبي، الحارث بن أسد. (د.ت.). الرعاية لحقوق الله. تحقيق: عبد القادر أحمد عطا. بيروت: دار الكتب العلمية.</w:t>
      </w:r>
    </w:p>
    <w:p w14:paraId="32097FBD" w14:textId="77777777" w:rsidR="00EC28FF" w:rsidRDefault="00CC34FE">
      <w:pPr>
        <w:spacing w:after="120" w:line="300" w:lineRule="auto"/>
        <w:jc w:val="right"/>
        <w:rPr>
          <w:rFonts w:cs="Arial"/>
        </w:rPr>
      </w:pPr>
      <w:r>
        <w:rPr>
          <w:color w:val="1B1B1B"/>
          <w:sz w:val="22"/>
          <w:szCs w:val="22"/>
        </w:rPr>
        <w:t>23. ابن خلدون، عبد الرحمن. (د.ت.). مقدمة ابن خلدون. بيروت: دار الفكر.</w:t>
      </w:r>
    </w:p>
    <w:sectPr w:rsidR="00EC28FF">
      <w:headerReference w:type="default" r:id="rId7"/>
      <w:footerReference w:type="default" r:id="rId8"/>
      <w:pgSz w:w="11907" w:h="16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B751C" w14:textId="77777777" w:rsidR="003062C6" w:rsidRDefault="003062C6">
      <w:pPr>
        <w:rPr>
          <w:rFonts w:cs="Arial"/>
        </w:rPr>
      </w:pPr>
      <w:r>
        <w:separator/>
      </w:r>
    </w:p>
  </w:endnote>
  <w:endnote w:type="continuationSeparator" w:id="0">
    <w:p w14:paraId="077EED9E" w14:textId="77777777" w:rsidR="003062C6" w:rsidRDefault="003062C6">
      <w:pPr>
        <w:rPr>
          <w:rFonts w:cs="Aria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52B5" w14:textId="77777777" w:rsidR="00EC28FF" w:rsidRDefault="00CC34FE">
    <w:pPr>
      <w:pBdr>
        <w:top w:val="single" w:sz="6" w:space="0" w:color="B8862B"/>
      </w:pBdr>
      <w:spacing w:before="80"/>
      <w:jc w:val="center"/>
      <w:rPr>
        <w:rFonts w:cs="Arial"/>
      </w:rPr>
    </w:pPr>
    <w:r>
      <w:rPr>
        <w:color w:val="B8862B"/>
        <w:sz w:val="16"/>
        <w:szCs w:val="16"/>
      </w:rPr>
      <w:t xml:space="preserve">عبد السلام الزراع  •  </w:t>
    </w:r>
    <w:r>
      <w:rPr>
        <w:color w:val="0F2A4A"/>
        <w:sz w:val="16"/>
        <w:szCs w:val="16"/>
      </w:rPr>
      <w:fldChar w:fldCharType="begin"/>
    </w:r>
    <w:r>
      <w:rPr>
        <w:color w:val="0F2A4A"/>
        <w:sz w:val="16"/>
        <w:szCs w:val="16"/>
      </w:rPr>
      <w:instrText>PAGE</w:instrText>
    </w:r>
    <w:r>
      <w:rPr>
        <w:color w:val="0F2A4A"/>
        <w:sz w:val="16"/>
        <w:szCs w:val="16"/>
      </w:rPr>
      <w:fldChar w:fldCharType="separate"/>
    </w:r>
    <w:r>
      <w:rPr>
        <w:color w:val="0F2A4A"/>
        <w:sz w:val="16"/>
        <w:szCs w:val="16"/>
      </w:rPr>
      <w:fldChar w:fldCharType="end"/>
    </w:r>
    <w:r>
      <w:rPr>
        <w:color w:val="0F2A4A"/>
        <w:sz w:val="16"/>
        <w:szCs w:val="16"/>
      </w:rPr>
      <w:t xml:space="preserve"> / </w:t>
    </w:r>
    <w:r>
      <w:rPr>
        <w:color w:val="0F2A4A"/>
        <w:sz w:val="16"/>
        <w:szCs w:val="16"/>
      </w:rPr>
      <w:fldChar w:fldCharType="begin"/>
    </w:r>
    <w:r>
      <w:rPr>
        <w:color w:val="0F2A4A"/>
        <w:sz w:val="16"/>
        <w:szCs w:val="16"/>
      </w:rPr>
      <w:instrText>NUMPAGES</w:instrText>
    </w:r>
    <w:r>
      <w:rPr>
        <w:color w:val="0F2A4A"/>
        <w:sz w:val="16"/>
        <w:szCs w:val="16"/>
      </w:rPr>
      <w:fldChar w:fldCharType="separate"/>
    </w:r>
    <w:r>
      <w:rPr>
        <w:color w:val="0F2A4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2E043" w14:textId="77777777" w:rsidR="003062C6" w:rsidRDefault="003062C6">
      <w:pPr>
        <w:rPr>
          <w:rFonts w:cs="Arial"/>
        </w:rPr>
      </w:pPr>
      <w:r>
        <w:separator/>
      </w:r>
    </w:p>
  </w:footnote>
  <w:footnote w:type="continuationSeparator" w:id="0">
    <w:p w14:paraId="46C7460F" w14:textId="77777777" w:rsidR="003062C6" w:rsidRDefault="003062C6">
      <w:pPr>
        <w:rPr>
          <w:rFonts w:cs="Aria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8683" w14:textId="77777777" w:rsidR="00EC28FF" w:rsidRDefault="00CC34FE">
    <w:pPr>
      <w:pBdr>
        <w:bottom w:val="single" w:sz="6" w:space="0" w:color="B8862B"/>
      </w:pBdr>
      <w:spacing w:after="80"/>
      <w:jc w:val="center"/>
      <w:rPr>
        <w:rFonts w:cs="Arial"/>
      </w:rPr>
    </w:pPr>
    <w:r>
      <w:rPr>
        <w:i/>
        <w:iCs/>
        <w:color w:val="12665F"/>
        <w:sz w:val="16"/>
        <w:szCs w:val="16"/>
      </w:rPr>
      <w:t>علم النفس الاستخلافي — دراسة في أنطولوجيا الكذب وفسيولوجيا الزيف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35DF7"/>
    <w:multiLevelType w:val="hybridMultilevel"/>
    <w:tmpl w:val="FFFFFFFF"/>
    <w:lvl w:ilvl="0" w:tplc="4076448A">
      <w:start w:val="1"/>
      <w:numFmt w:val="bullet"/>
      <w:lvlText w:val="✦"/>
      <w:lvlJc w:val="right"/>
      <w:pPr>
        <w:ind w:right="420" w:hanging="260"/>
      </w:pPr>
      <w:rPr>
        <w:rFonts w:ascii="Traditional Arabic" w:eastAsia="Traditional Arabic" w:hAnsi="Traditional Arabic" w:cs="Traditional Arabic"/>
        <w:color w:val="B8862B"/>
      </w:rPr>
    </w:lvl>
    <w:lvl w:ilvl="1" w:tplc="CB946C92">
      <w:numFmt w:val="decimal"/>
      <w:lvlText w:val=""/>
      <w:lvlJc w:val="left"/>
    </w:lvl>
    <w:lvl w:ilvl="2" w:tplc="804C4474">
      <w:numFmt w:val="decimal"/>
      <w:lvlText w:val=""/>
      <w:lvlJc w:val="left"/>
    </w:lvl>
    <w:lvl w:ilvl="3" w:tplc="9AC021BE">
      <w:numFmt w:val="decimal"/>
      <w:lvlText w:val=""/>
      <w:lvlJc w:val="left"/>
    </w:lvl>
    <w:lvl w:ilvl="4" w:tplc="C2A4BA3C">
      <w:numFmt w:val="decimal"/>
      <w:lvlText w:val=""/>
      <w:lvlJc w:val="left"/>
    </w:lvl>
    <w:lvl w:ilvl="5" w:tplc="FF9CB36A">
      <w:numFmt w:val="decimal"/>
      <w:lvlText w:val=""/>
      <w:lvlJc w:val="left"/>
    </w:lvl>
    <w:lvl w:ilvl="6" w:tplc="5ED4432C">
      <w:numFmt w:val="decimal"/>
      <w:lvlText w:val=""/>
      <w:lvlJc w:val="left"/>
    </w:lvl>
    <w:lvl w:ilvl="7" w:tplc="528C4F78">
      <w:numFmt w:val="decimal"/>
      <w:lvlText w:val=""/>
      <w:lvlJc w:val="left"/>
    </w:lvl>
    <w:lvl w:ilvl="8" w:tplc="030083EE">
      <w:numFmt w:val="decimal"/>
      <w:lvlText w:val=""/>
      <w:lvlJc w:val="left"/>
    </w:lvl>
  </w:abstractNum>
  <w:abstractNum w:abstractNumId="1" w15:restartNumberingAfterBreak="0">
    <w:nsid w:val="68A72853"/>
    <w:multiLevelType w:val="hybridMultilevel"/>
    <w:tmpl w:val="FFFFFFFF"/>
    <w:lvl w:ilvl="0" w:tplc="54AE1D7A">
      <w:start w:val="1"/>
      <w:numFmt w:val="bullet"/>
      <w:lvlText w:val="●"/>
      <w:lvlJc w:val="left"/>
      <w:pPr>
        <w:ind w:left="720" w:hanging="360"/>
      </w:pPr>
    </w:lvl>
    <w:lvl w:ilvl="1" w:tplc="235E19FA">
      <w:start w:val="1"/>
      <w:numFmt w:val="bullet"/>
      <w:lvlText w:val="○"/>
      <w:lvlJc w:val="left"/>
      <w:pPr>
        <w:ind w:left="1440" w:hanging="360"/>
      </w:pPr>
    </w:lvl>
    <w:lvl w:ilvl="2" w:tplc="EF482D2C">
      <w:start w:val="1"/>
      <w:numFmt w:val="bullet"/>
      <w:lvlText w:val="■"/>
      <w:lvlJc w:val="left"/>
      <w:pPr>
        <w:ind w:left="2160" w:hanging="360"/>
      </w:pPr>
    </w:lvl>
    <w:lvl w:ilvl="3" w:tplc="5412891A">
      <w:start w:val="1"/>
      <w:numFmt w:val="bullet"/>
      <w:lvlText w:val="●"/>
      <w:lvlJc w:val="left"/>
      <w:pPr>
        <w:ind w:left="2880" w:hanging="360"/>
      </w:pPr>
    </w:lvl>
    <w:lvl w:ilvl="4" w:tplc="4F223718">
      <w:start w:val="1"/>
      <w:numFmt w:val="bullet"/>
      <w:lvlText w:val="○"/>
      <w:lvlJc w:val="left"/>
      <w:pPr>
        <w:ind w:left="3600" w:hanging="360"/>
      </w:pPr>
    </w:lvl>
    <w:lvl w:ilvl="5" w:tplc="EBC20A94">
      <w:start w:val="1"/>
      <w:numFmt w:val="bullet"/>
      <w:lvlText w:val="■"/>
      <w:lvlJc w:val="left"/>
      <w:pPr>
        <w:ind w:left="4320" w:hanging="360"/>
      </w:pPr>
    </w:lvl>
    <w:lvl w:ilvl="6" w:tplc="4BD6DB50">
      <w:start w:val="1"/>
      <w:numFmt w:val="bullet"/>
      <w:lvlText w:val="●"/>
      <w:lvlJc w:val="left"/>
      <w:pPr>
        <w:ind w:left="5040" w:hanging="360"/>
      </w:pPr>
    </w:lvl>
    <w:lvl w:ilvl="7" w:tplc="44782688">
      <w:start w:val="1"/>
      <w:numFmt w:val="bullet"/>
      <w:lvlText w:val="●"/>
      <w:lvlJc w:val="left"/>
      <w:pPr>
        <w:ind w:left="5760" w:hanging="360"/>
      </w:pPr>
    </w:lvl>
    <w:lvl w:ilvl="8" w:tplc="B46C1A14">
      <w:start w:val="1"/>
      <w:numFmt w:val="bullet"/>
      <w:lvlText w:val="●"/>
      <w:lvlJc w:val="left"/>
      <w:pPr>
        <w:ind w:left="6480" w:hanging="360"/>
      </w:pPr>
    </w:lvl>
  </w:abstractNum>
  <w:num w:numId="1" w16cid:durableId="171452197">
    <w:abstractNumId w:val="1"/>
    <w:lvlOverride w:ilvl="0">
      <w:startOverride w:val="1"/>
    </w:lvlOverride>
  </w:num>
  <w:num w:numId="2" w16cid:durableId="36326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8FF"/>
    <w:rsid w:val="0009201A"/>
    <w:rsid w:val="003062C6"/>
    <w:rsid w:val="00861AFC"/>
    <w:rsid w:val="00CC34FE"/>
    <w:rsid w:val="00E062A5"/>
    <w:rsid w:val="00EC28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240470C"/>
  <w15:docId w15:val="{A9D481F2-1393-F84B-8901-F5146EB8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4583</Words>
  <Characters>26129</Characters>
  <Application>Microsoft Office Word</Application>
  <DocSecurity>0</DocSecurity>
  <Lines>217</Lines>
  <Paragraphs>61</Paragraphs>
  <ScaleCrop>false</ScaleCrop>
  <Company/>
  <LinksUpToDate>false</LinksUpToDate>
  <CharactersWithSpaces>30651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3</cp:revision>
  <dcterms:created xsi:type="dcterms:W3CDTF">2026-07-28T20:23:00Z</dcterms:created>
  <dcterms:modified xsi:type="dcterms:W3CDTF">2026-07-29T15:59:00Z</dcterms:modified>
</cp:coreProperties>
</file>