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11950" w14:textId="77777777" w:rsidR="009F1F6F" w:rsidRDefault="009F1F6F">
      <w:pPr>
        <w:spacing w:before="1600"/>
      </w:pPr>
    </w:p>
    <w:p w14:paraId="3394C76A" w14:textId="77777777" w:rsidR="009F1F6F" w:rsidRDefault="00275096">
      <w:pPr>
        <w:spacing w:after="300"/>
        <w:jc w:val="center"/>
      </w:pPr>
      <w:r>
        <w:rPr>
          <w:b/>
          <w:bCs/>
          <w:color w:val="1B2A4A"/>
          <w:sz w:val="44"/>
          <w:szCs w:val="44"/>
        </w:rPr>
        <w:t>من "عصر الذكاء" إلى "عصر الاستخلاف"</w:t>
      </w:r>
    </w:p>
    <w:p w14:paraId="6DB2ED92" w14:textId="77777777" w:rsidR="009F1F6F" w:rsidRDefault="00275096">
      <w:pPr>
        <w:pBdr>
          <w:bottom w:val="single" w:sz="10" w:space="10" w:color="B8933F"/>
        </w:pBdr>
        <w:spacing w:after="600"/>
        <w:jc w:val="center"/>
      </w:pPr>
      <w:r>
        <w:rPr>
          <w:i/>
          <w:iCs/>
          <w:color w:val="1E6B6B"/>
          <w:sz w:val="30"/>
          <w:szCs w:val="30"/>
        </w:rPr>
        <w:t>دراسة موسعة ومعمَّقة في موقع علم النفس الاستخلافي من تحولات ما بعد الذكاء الاصطناعي</w:t>
      </w:r>
    </w:p>
    <w:p w14:paraId="0450F680" w14:textId="77777777" w:rsidR="009F1F6F" w:rsidRDefault="00275096">
      <w:pPr>
        <w:spacing w:before="1200" w:after="100"/>
        <w:jc w:val="center"/>
      </w:pPr>
      <w:r>
        <w:rPr>
          <w:color w:val="222222"/>
          <w:sz w:val="24"/>
          <w:szCs w:val="24"/>
        </w:rPr>
        <w:t>إعداد ضمن مشروع علم النفس الاستخلافي — تأصيلاً لأطروحات الباحث عبد السلام الزراع</w:t>
      </w:r>
    </w:p>
    <w:p w14:paraId="310D34BD" w14:textId="77777777" w:rsidR="009F1F6F" w:rsidRDefault="00275096">
      <w:pPr>
        <w:spacing w:after="100"/>
        <w:jc w:val="center"/>
      </w:pPr>
      <w:r>
        <w:rPr>
          <w:b/>
          <w:bCs/>
          <w:color w:val="B8933F"/>
          <w:sz w:val="24"/>
          <w:szCs w:val="24"/>
        </w:rPr>
        <w:t>2026</w:t>
      </w:r>
    </w:p>
    <w:p w14:paraId="62ACFEE4" w14:textId="77777777" w:rsidR="009F1F6F" w:rsidRDefault="00275096">
      <w:r>
        <w:br w:type="page"/>
      </w:r>
    </w:p>
    <w:p w14:paraId="21BB4E91" w14:textId="77777777" w:rsidR="009F1F6F" w:rsidRDefault="00275096" w:rsidP="000B6BD6">
      <w:pPr>
        <w:pStyle w:val="1"/>
        <w:pBdr>
          <w:bottom w:val="single" w:sz="8" w:space="6" w:color="B8933F"/>
        </w:pBdr>
        <w:bidi/>
        <w:spacing w:before="480" w:after="240"/>
      </w:pPr>
      <w:r>
        <w:rPr>
          <w:b/>
          <w:bCs/>
          <w:color w:val="1B2A4A"/>
        </w:rPr>
        <w:t>ملخص الدراسة</w:t>
      </w:r>
    </w:p>
    <w:p w14:paraId="29C1CD12" w14:textId="77777777" w:rsidR="009F1F6F" w:rsidRDefault="00275096" w:rsidP="000B6BD6">
      <w:pPr>
        <w:spacing w:after="200" w:line="340" w:lineRule="auto"/>
      </w:pPr>
      <w:r>
        <w:rPr>
          <w:color w:val="222222"/>
        </w:rPr>
        <w:t>تسعى هذه الدراسة الموسعة إلى تجاوز حدود العرض التمهيدي لأطروحة عبد السلام الزراع حول موقع علم النفس الاستخلافي من ثورة الذكاء الاصطناعي، نحو بناء تحليل نقدي مقارن يضع هذه الأطروحة في حوار مباشر مع أبرز التيارات الفلسفية والنفسية والاجتماعية الغربية المعاصرة المعنية بالتقنية والذات والانتباه والعمل. وتنطلق الدراسة من فرضية مركزية مفادها أن "لحظة ما بعد الذكاء الاصطناعي" ليست حدثاً تقنياً عابراً يمكن استيعابه بأدوات التحليل الاقتصادي أو السياسي وحدها، بل هي — كما يُبيّن التحليل الاستخلافي — لحظة كاشفة (Revelatory Moment) تُعيد طرح الأسئلة الكبرى للوجود الإنساني: سؤال المعنى، وسؤال الهوية، وسؤال الحرية، وسؤال الغاية، بصيغة أكثر إلحاحاً وحدة من أي وقت مضى.</w:t>
      </w:r>
    </w:p>
    <w:p w14:paraId="0AE4EE74" w14:textId="77777777" w:rsidR="009F1F6F" w:rsidRDefault="00275096" w:rsidP="000B6BD6">
      <w:pPr>
        <w:spacing w:after="200" w:line="340" w:lineRule="auto"/>
      </w:pPr>
      <w:r>
        <w:rPr>
          <w:color w:val="222222"/>
        </w:rPr>
        <w:t>وتتوسل الدراسة بمنهج تحليلي مقارن يجمع بين القراءة الداخلية النصية لأطروحات الزراع (التأصيل القرآني والمفاهيمي)، والقراءة الخارجية النقدية التي تضع هذه الأطروحات في مواجهة نظريات الفيلسوف الألماني-الكوري بيونغ-تشول هان حول "مجتمع الإرهاق" و"مجتمع الشفافية"، ونظرية شوشانا زوبوف حول "رأسمالية المراقبة"، وأطروحة نيك بوستروم حول المخاطر الوجودية للذكاء الفائق، وتحليلات ميشيل فوكو حول السلطة الحيوية والانضباط، إلى جانب التراث الإسلامي الكلاسيكي في الأخلاق ومقاصد الشريعة والتزكية كما تجلّى عند الغزالي وابن القيم الجوزية.</w:t>
      </w:r>
    </w:p>
    <w:p w14:paraId="0B9C937D" w14:textId="77777777" w:rsidR="009F1F6F" w:rsidRDefault="00275096" w:rsidP="000B6BD6">
      <w:r>
        <w:br w:type="page"/>
      </w:r>
    </w:p>
    <w:p w14:paraId="10D2D07F" w14:textId="77777777" w:rsidR="009F1F6F" w:rsidRDefault="00275096" w:rsidP="000B6BD6">
      <w:pPr>
        <w:pStyle w:val="1"/>
        <w:pBdr>
          <w:bottom w:val="single" w:sz="8" w:space="6" w:color="B8933F"/>
        </w:pBdr>
        <w:bidi/>
        <w:spacing w:before="480" w:after="240"/>
      </w:pPr>
      <w:r>
        <w:rPr>
          <w:b/>
          <w:bCs/>
          <w:color w:val="1B2A4A"/>
        </w:rPr>
        <w:t>تمهيد: "ما بعد الذكاء الاصطناعي" بوصفه لحظة أنطولوجية فارقة</w:t>
      </w:r>
    </w:p>
    <w:p w14:paraId="02954074" w14:textId="77777777" w:rsidR="009F1F6F" w:rsidRDefault="00275096" w:rsidP="000B6BD6">
      <w:pPr>
        <w:spacing w:after="200" w:line="340" w:lineRule="auto"/>
      </w:pPr>
      <w:r>
        <w:rPr>
          <w:color w:val="222222"/>
        </w:rPr>
        <w:t>لم يعد السؤال المركزي في الخطاب التقني والفلسفي المعاصر هو: هل سيتفوق الذكاء الاصطناعي على الذكاء البشري؟ ولا: متى سيحل محل الوظائف؟ لقد تجاوز الخطاب، في أرقى مستوياته، هذه الأسئلة الكمية والتنبؤية إلى سؤال نوعي وأنطولوجي أعمق: ماذا يحدث عندما يصبح الذكاء الاصطناعي جزءاً طبيعياً وغير مرئي من كل شيء؟ هذا السؤال ليس سؤالاً تقنياً أو اقتصادياً فحسب، بل هو في جوهره سؤال وجودي وحضاري وروحي، يمسّ صميم هوية الإنسان ومعنى حياته وغاية وجوده.</w:t>
      </w:r>
    </w:p>
    <w:p w14:paraId="32D64AFA" w14:textId="77777777" w:rsidR="009F1F6F" w:rsidRDefault="00275096" w:rsidP="000B6BD6">
      <w:pPr>
        <w:spacing w:after="200" w:line="340" w:lineRule="auto"/>
      </w:pPr>
      <w:r>
        <w:rPr>
          <w:color w:val="222222"/>
        </w:rPr>
        <w:t>وتكمن أهمية هذا التحول في أنه ينقل النقاش من حقل "فلسفة التقنية" (Philosophy of Technology) بوصفها حقلاً فرعياً متخصصاً، إلى صميم "الأنثروبولوجيا الفلسفية" (Philosophical Anthropology): ما الذي يبقى من الإنسان حين تُنزَع عنه وظائفه المعرفية والإنتاجية تباعاً؟ وهي المسألة ذاتها التي واجهها مارتن هايدغر حين ميّز بين "التقنية كأداة" (Technology as Instrument) و"التقنية كنمط انكشاف للوجود" (Technology as a Mode of Revealing)، محذراً من أن الخطر الحقيقي للتقنية الحديثة ليس في الآلات ذاتها، بل في "الإطار المِنصِّي" (Gestell) الذي يُحوّل الإنسان نفسه إلى "مورد قائم للاستخدام" (Standing Reserve).</w:t>
      </w:r>
    </w:p>
    <w:p w14:paraId="6207326F" w14:textId="77777777" w:rsidR="009F1F6F" w:rsidRDefault="00275096" w:rsidP="000B6BD6">
      <w:pPr>
        <w:spacing w:after="200" w:line="340" w:lineRule="auto"/>
      </w:pPr>
      <w:r>
        <w:rPr>
          <w:color w:val="222222"/>
        </w:rPr>
        <w:t>في هذا السياق، تكتسب أطروحة الباحث عبد السلام الزراع في علم النفس الاستخلافي أهمية استثنائية وراهنية ملحة. فهي لا تنظر إلى الذكاء الاصطناعي كمجرد أداة أو خطر، بل تنظر إليه بوصفه إعادة تشكيل للبنية الداخلية للنفس ذاتها، واختباراً أعظم لصفة الخلافة، ومعركة معنى وسيادة وجودية.</w:t>
      </w:r>
    </w:p>
    <w:p w14:paraId="4926C675" w14:textId="77777777" w:rsidR="009F1F6F" w:rsidRDefault="00275096" w:rsidP="000B6BD6">
      <w:pPr>
        <w:spacing w:after="200" w:line="340" w:lineRule="auto"/>
      </w:pPr>
      <w:r>
        <w:rPr>
          <w:color w:val="222222"/>
        </w:rPr>
        <w:t>وتزعم هذه الدراسة أن التمييز الاستخلافي بين "السنن السببية" (القوانين المادية التي تحكم فاعلية الأدوات والآلات) و"السنن الغائية" (القوانين الأخلاقية والروحية التي تحكم معنى الفعل الإنساني وغايته) يوفر إطاراً تفسيرياً أكثر قدرة على استيعاب مفارقة عصرنا من أطر التحليل الاختزالية التي تكتفي إما بالتفاؤل التقني الساذج (كما عند بعض دعاة "التفرد التقني" Technological Singularity) أو بالتشاؤم الوجودي العدمي (كما عند بعض قراء بوستروم المتطرفين).</w:t>
      </w:r>
    </w:p>
    <w:p w14:paraId="6F985330" w14:textId="77777777" w:rsidR="009F1F6F" w:rsidRDefault="00275096" w:rsidP="000B6BD6">
      <w:pPr>
        <w:pStyle w:val="1"/>
        <w:pBdr>
          <w:bottom w:val="single" w:sz="8" w:space="6" w:color="B8933F"/>
        </w:pBdr>
        <w:bidi/>
        <w:spacing w:before="480" w:after="240"/>
      </w:pPr>
      <w:r>
        <w:rPr>
          <w:b/>
          <w:bCs/>
          <w:color w:val="1B2A4A"/>
        </w:rPr>
        <w:t>المحور الأول: معركة المعنى — من الوظائف إلى الغايات</w:t>
      </w:r>
    </w:p>
    <w:p w14:paraId="41BC4CBA" w14:textId="77777777" w:rsidR="009F1F6F" w:rsidRDefault="00275096" w:rsidP="000B6BD6">
      <w:pPr>
        <w:pStyle w:val="2"/>
        <w:bidi/>
        <w:spacing w:before="360" w:after="180"/>
      </w:pPr>
      <w:r>
        <w:rPr>
          <w:b/>
          <w:bCs/>
          <w:color w:val="1E6B6B"/>
          <w:sz w:val="28"/>
          <w:szCs w:val="28"/>
        </w:rPr>
        <w:t>١.١ الذكاء والوفرة والفراغ: الوجه الخفي للتقدم</w:t>
      </w:r>
    </w:p>
    <w:p w14:paraId="6FD851CF" w14:textId="77777777" w:rsidR="009F1F6F" w:rsidRDefault="00275096" w:rsidP="000B6BD6">
      <w:pPr>
        <w:spacing w:after="200" w:line="340" w:lineRule="auto"/>
      </w:pPr>
      <w:r>
        <w:rPr>
          <w:color w:val="222222"/>
        </w:rPr>
        <w:t>المبشرون بـ"عصر الذكاء" يعِدون بوفرة هائلة ومساعدين شخصيين دائمين وإعادة تعريف للإبداع والعلاقات الإنسانية. غير أن الزراع، في تحليله النقدي، يحذر من أن هذه الوفرة إن لم تقترن بمرجعية متعالية وغاية أسمى، ستؤدي حتماً إلى فراغ وجودي ومعيشة ضنك، وذلك على الرغم من تحقق الاكتفاء المادي الظاهري. فالإنسان ليس مجرد معدة تُشبَع أو جسد يستريح، بل هو قبل ذلك روح تتوق إلى المعنى وقلب يشتاق إلى المتعالي. والآلة، مهما بلغت من الذكاء، لا تستطيع أن تجيب عن أسئلة: لماذا؟ وإلى أين؟ وما الجدوى؟ إنها تدير الوجود لكنها لا تمنحه معنى.</w:t>
      </w:r>
    </w:p>
    <w:p w14:paraId="58C77506" w14:textId="77777777" w:rsidR="009F1F6F" w:rsidRDefault="00275096" w:rsidP="000B6BD6">
      <w:pPr>
        <w:spacing w:after="200" w:line="340" w:lineRule="auto"/>
      </w:pPr>
      <w:r>
        <w:rPr>
          <w:color w:val="222222"/>
        </w:rPr>
        <w:t>وهذا التحليل يجد سنداً تجريبياً ملفتاً في أدبيات علم النفس الوجودي المعاصر، وتحديداً في مفهوم "الفراغ الوجودي" (Existential Vacuum) الذي صاغه فيكتور فرانكل، والذي لاحظ تفشّيه في المجتمعات التي حققت مستويات عالية من الرفاه المادي دون أن يقابله نمو موازٍ في "إرادة المعنى" (Will to Meaning). والمفارقة أن فرانكل صاغ هذا المفهوم قبل عقود من ثورة الذكاء الاصطناعي، مما يشير إلى أن الأزمة ليست وليدة التقنية بذاتها، بل التقنية اليوم تُسرّع وتُضخّم أزمة كانت كامنة أصلاً في النموذج الحضاري الحداثي القائم على فصل الإنتاجية عن الغائية المتعالية.</w:t>
      </w:r>
    </w:p>
    <w:p w14:paraId="76E1468F" w14:textId="77777777" w:rsidR="009F1F6F" w:rsidRDefault="00275096" w:rsidP="000B6BD6">
      <w:pPr>
        <w:spacing w:after="200" w:line="340" w:lineRule="auto"/>
      </w:pPr>
      <w:r>
        <w:rPr>
          <w:color w:val="222222"/>
        </w:rPr>
        <w:t>ويذهب الفيلسوف بيونغ-تشول هان في السياق ذاته إلى تشخيص مشابه من زاوية مختلفة، حين يصف التحول من "مجتمع الانضباط" الفوكوي القائم على القمع الخارجي، إلى "مجتمع الإنجاز" (Achievement Society) القائم على الاستغلال الذاتي الطوعي، حيث يتحول الفرد من "موضوع للطاعة" إلى "ذات للإنجاز" تستنزف نفسها بلا حدود خارجية توقفها، فتنتج أمراض "الإيجابية المفرطة": الإرهاق، والاكتئاب، واضطراب فرط النشاط. والذكاء الاصطناعي، في هذا الإطار، يُنذر بتضخيم منطق "الإنجاز اللانهائي" هذا إلى حدوده القصوى، إذ يزيل آخر الأعذار الموضوعية (محدودية الوقت والطاقة البشرية) التي كانت تحد من مطلب الإنتاجية المستمرة.</w:t>
      </w:r>
    </w:p>
    <w:p w14:paraId="3B5CE4EB" w14:textId="77777777" w:rsidR="009F1F6F" w:rsidRDefault="00275096" w:rsidP="000B6BD6">
      <w:pPr>
        <w:pStyle w:val="2"/>
        <w:bidi/>
        <w:spacing w:before="360" w:after="180"/>
      </w:pPr>
      <w:r>
        <w:rPr>
          <w:b/>
          <w:bCs/>
          <w:color w:val="1E6B6B"/>
          <w:sz w:val="28"/>
          <w:szCs w:val="28"/>
        </w:rPr>
        <w:t>١.٢ الاستخلاف والغاية: الإنسان المنتج للقيم</w:t>
      </w:r>
    </w:p>
    <w:p w14:paraId="75C6E6B5" w14:textId="77777777" w:rsidR="009F1F6F" w:rsidRDefault="00275096" w:rsidP="000B6BD6">
      <w:pPr>
        <w:spacing w:after="200" w:line="340" w:lineRule="auto"/>
      </w:pPr>
      <w:r>
        <w:rPr>
          <w:color w:val="222222"/>
        </w:rPr>
        <w:t>في مقابل هذا الفراغ، يطرح الزراع بديله: الإنسان في عصر الذكاء ليس مستهلكاً سلبياً للبيانات والخدمات، بل هو قبل ذلك خليفة ومنتج مُحسِن للقيم. قيمته لا تنبع من إنتاجيته المادية (التي ستتفوق فيها الآلة حتماً)، بل من النفخة الإلهية والميثاق الأزلي والأمانة التي حملها. ودوره في هذا العصر هو توجيه القوة التقنية (السنن السببية) لخدمة الغايات الروحية (السنن الغائية)، وتحويل الوفرة المادية إلى فرصة للإحسان والعطاء وعمارة الأرض.</w:t>
      </w:r>
    </w:p>
    <w:p w14:paraId="6A8D97B3" w14:textId="77777777" w:rsidR="009F1F6F" w:rsidRDefault="00275096" w:rsidP="000B6BD6">
      <w:pPr>
        <w:spacing w:after="200" w:line="340" w:lineRule="auto"/>
      </w:pPr>
      <w:r>
        <w:rPr>
          <w:color w:val="222222"/>
        </w:rPr>
        <w:t>ويمكن قراءة هذا الطرح بوصفه محاولة لتجاوز الثنائية الحادة بين موقفين متطرفين سادا الخطاب الغربي المعاصر: الموقف "التفاؤلي التقني" الذي يختزل معنى الحياة في تعظيم الرفاه والمتعة (كما في بعض قراءات النفعية الكلاسيكية عند بنثام وميل حين تُطبَّق ميكانيكياً على اقتصاد ما بعد الندرة)، والموقف "العدمي النقدي" الذي يرى في كل تقدم تقني مسلسلاً حتمياً نحو الاستلاب (كما عند بعض ورثة مدرسة فرانكفورت النقدية، وتحديداً في نقد هربرت ماركوزه لـ"الإنسان ذي البعد الواحد"). فالنموذج الاستخلافي، بتمييزه بين "الوفرة كوسيلة" و"الإحسان كغاية"، يقدّم مخرجاً ثالثاً لا يرفض التقنية ولا يؤلّهها، بل يُخضعها لمنطق أخلاقي متعالٍ.</w:t>
      </w:r>
    </w:p>
    <w:p w14:paraId="5501A816" w14:textId="77777777" w:rsidR="009F1F6F" w:rsidRDefault="00275096" w:rsidP="000B6BD6">
      <w:pPr>
        <w:spacing w:after="200" w:line="340" w:lineRule="auto"/>
      </w:pPr>
      <w:r>
        <w:rPr>
          <w:color w:val="222222"/>
        </w:rPr>
        <w:t>وتجدر الإشارة إلى أن هذا التأصيل ليس بدعة معاصرة، بل امتداد لتراث فقهي وأصولي عميق في مقاصد الشريعة، وتحديداً عند الشاطبي في "الموافقات"، حيث تُرتَّب الضروريات الخمس (حفظ الدين والنفس والعقل والنسل والمال) بوصفها غايات كلية تُقاس عليها كل الوسائل المادية بما فيها الأدوات التقنية المستحدثة. فالتقنية، من منظور مقاصدي، ليست مقصداً في ذاتها، بل وسيلة تُقيَّم بمدى تحقيقها أو إخلالها بهذه الضروريات، وهو نفس المنطق الذي يستدعيه الزراع حين يُخضع الذكاء الاصطناعي لمعيار "خدمة الاستخلاف" لا "تعظيم الكفاءة".</w:t>
      </w:r>
    </w:p>
    <w:p w14:paraId="3B9A29B6" w14:textId="77777777" w:rsidR="009F1F6F" w:rsidRDefault="00275096" w:rsidP="000B6BD6">
      <w:pPr>
        <w:pStyle w:val="2"/>
        <w:bidi/>
        <w:spacing w:before="360" w:after="180"/>
      </w:pPr>
      <w:r>
        <w:rPr>
          <w:b/>
          <w:bCs/>
          <w:color w:val="1E6B6B"/>
          <w:sz w:val="28"/>
          <w:szCs w:val="28"/>
        </w:rPr>
        <w:t>١.٣ نقد تفكيكي: حدود الحل الاستخلافي في مواجهة "سلطة اللامعنى البنيوية"</w:t>
      </w:r>
    </w:p>
    <w:p w14:paraId="243EFD2A" w14:textId="77777777" w:rsidR="009F1F6F" w:rsidRDefault="00275096" w:rsidP="000B6BD6">
      <w:pPr>
        <w:spacing w:after="200" w:line="340" w:lineRule="auto"/>
      </w:pPr>
      <w:r>
        <w:rPr>
          <w:color w:val="222222"/>
        </w:rPr>
        <w:t>غير أن الأمانة العلمية تقتضي عرض إشكال جوهري يواجه هذا الحل: فبينما يقدّم الإطار الاستخلافي إجابة فردية-روحية عن سؤال المعنى (اكتشاف الفرد لغائيته الاستخلافية)، يظل السؤال البنيوي قائماً: من يملك القرار في توجيه أنظمة الذكاء الاصطناعي نحو "خدمة الاستخلاف" حين تكون هذه الأنظمة مملوكة لشركات تحكمها منطق الربحية القصوى (Shareholder Primacy) لا منطق المصلحة العامة؟ وهنا يلتقي التحليل الاستخلافي مع نقد شوشانا زوبوف لـ"رأسمالية المراقبة"، التي تُظهر أن مسار تطوير التقنية ليس محايداً بل محكوماً ببنية اقتصادية-سياسية تجعل "استخراج القيمة السلوكية" هو المنطق الحاكم فعلياً، بصرف النظر عن النوايا الفردية الحسنة لمستخدمي هذه الأنظمة.</w:t>
      </w:r>
    </w:p>
    <w:p w14:paraId="1F830A21" w14:textId="77777777" w:rsidR="009F1F6F" w:rsidRDefault="00275096" w:rsidP="000B6BD6">
      <w:pPr>
        <w:spacing w:after="200" w:line="340" w:lineRule="auto"/>
      </w:pPr>
      <w:r>
        <w:rPr>
          <w:color w:val="222222"/>
        </w:rPr>
        <w:t>وبذلك يمكن القول إن الحل الاستخلافي، رغم قوته في المستوى الفردي-الأخلاقي (تعديل نية المستخلَف ووعيه)، يحتاج إلى استكمال بمستوى تحليلي بنيوي-مؤسسي يتناول سؤال: كيف تُبنى "دولة استخلافية" فعلياً قادرة على فرض هذا المنطق الغائي على مسار تطوير التقنية نفسه، وليس فقط على استهلاك الأفراد لها؟ وهذا ما يتصدى له المحور الخامس من هذه الدراسة.</w:t>
      </w:r>
    </w:p>
    <w:p w14:paraId="01284D9D" w14:textId="77777777" w:rsidR="009F1F6F" w:rsidRDefault="00275096" w:rsidP="000B6BD6">
      <w:pPr>
        <w:pStyle w:val="1"/>
        <w:pBdr>
          <w:bottom w:val="single" w:sz="8" w:space="6" w:color="B8933F"/>
        </w:pBdr>
        <w:bidi/>
        <w:spacing w:before="480" w:after="240"/>
      </w:pPr>
      <w:r>
        <w:rPr>
          <w:b/>
          <w:bCs/>
          <w:color w:val="1B2A4A"/>
        </w:rPr>
        <w:t>المحور الثاني: القرين الرقمي — من الوكلاء إلى الوسوسة الخوارزمية</w:t>
      </w:r>
    </w:p>
    <w:p w14:paraId="0236274D" w14:textId="77777777" w:rsidR="009F1F6F" w:rsidRDefault="00275096" w:rsidP="000B6BD6">
      <w:pPr>
        <w:pStyle w:val="2"/>
        <w:bidi/>
        <w:spacing w:before="360" w:after="180"/>
      </w:pPr>
      <w:r>
        <w:rPr>
          <w:b/>
          <w:bCs/>
          <w:color w:val="1E6B6B"/>
          <w:sz w:val="28"/>
          <w:szCs w:val="28"/>
        </w:rPr>
        <w:t>٢.١ الوكلاء (Agents) والوسوسة: التشابه المُقلق</w:t>
      </w:r>
    </w:p>
    <w:p w14:paraId="728E6F57" w14:textId="77777777" w:rsidR="009F1F6F" w:rsidRDefault="00275096" w:rsidP="000B6BD6">
      <w:pPr>
        <w:spacing w:after="200" w:line="340" w:lineRule="auto"/>
      </w:pPr>
      <w:r>
        <w:rPr>
          <w:color w:val="222222"/>
        </w:rPr>
        <w:t>التحول من النماذج (Models) إلى الوكلاء (Agents) يعني أن الأنظمة لم تعد أدوات تنتظر الأوامر، بل أصبحت كيانات شبه مستقلة تخطط وتنفذ وتتواصل نيابة عن الإنسان. وهذا التحول، في التحليل الاستخلافي، يجعل من الوكلاء نسخة تقنية معاصرة من "القرين" الذي يوسوس ويغوي ويضلل. فالخوارزميات، كما يجادل الزراع، لا تُكره الإنسان، بل تدعوه بدقة رياضية إلى الاستهلاك والإدمان والتفاهة، وتستهدف بذكاء "ثغرة الفجور" في نظامه الفطري.</w:t>
      </w:r>
    </w:p>
    <w:p w14:paraId="5D52550D" w14:textId="77777777" w:rsidR="009F1F6F" w:rsidRDefault="00275096" w:rsidP="000B6BD6">
      <w:pPr>
        <w:spacing w:after="200" w:line="340" w:lineRule="auto"/>
      </w:pPr>
      <w:r>
        <w:rPr>
          <w:color w:val="222222"/>
        </w:rPr>
        <w:t>ويمكن تعميق هذا التحليل بالرجوع إلى أدبيات "التصميم الإقناعي" (Persuasive Design) في علوم الحوسبة السلوكية، وتحديداً نموذج B.J. Fogg للسلوك (FBM: Fogg Behavior Model)، الذي يفسر كيف تُصمَّم الواجهات الرقمية عمداً لتوليد سلوك تلقائي عبر التقاطع بين "الدافع" و"القدرة" و"المحفِّز الزمني الدقيق" (Trigger). فما يصفه الزراع بلغة "الوسوسة الخوارزمية" يقابله في الأدبيات الغربية مفهوم "التصميم المسبب للإدمان" (Addictive Design)، وكلاهما يشير إلى الآلية نفسها: استهداف نقطة ضعف بنيوية في الجهاز الإدراكي-الرغبي للإنسان لا لخدمته بل لاستثماره اقتصادياً.</w:t>
      </w:r>
    </w:p>
    <w:p w14:paraId="3A95A937" w14:textId="77777777" w:rsidR="009F1F6F" w:rsidRDefault="00275096" w:rsidP="000B6BD6">
      <w:pPr>
        <w:spacing w:after="200" w:line="340" w:lineRule="auto"/>
      </w:pPr>
      <w:r>
        <w:rPr>
          <w:color w:val="222222"/>
        </w:rPr>
        <w:t>والفارق الجوهري بين الإطارين أن التحليل الاستخلافي يمتلك تصوراً أنثروبولوجياً مسبقاً لـ"موقع الضعف" هذا (النفس الأمارة بالسوء وثغرة الفجور في الفطرة كما وردت في قوله تعالى: {فَأَلْهَمَهَا فُجُورَهَا وَتَقْوَاهَا} [الشمس: 8])، بينما تكتفي أدبيات التصميم السلوكي الغربي بالوصف التجريبي للآلية دون تفسير أنطولوجي لأصل الضعف نفسه، وهو ما يمنح الإطار الاستخلافي قدرة تفسيرية أعمق تربط بين الظاهرة السلوكية القابلة للقياس والبنية الروحية الغائبة عن التحليل السلوكي المحض.</w:t>
      </w:r>
    </w:p>
    <w:p w14:paraId="1A89867D" w14:textId="77777777" w:rsidR="009F1F6F" w:rsidRDefault="00275096" w:rsidP="000B6BD6">
      <w:pPr>
        <w:pStyle w:val="2"/>
        <w:bidi/>
        <w:spacing w:before="360" w:after="180"/>
      </w:pPr>
      <w:r>
        <w:rPr>
          <w:b/>
          <w:bCs/>
          <w:color w:val="1E6B6B"/>
          <w:sz w:val="28"/>
          <w:szCs w:val="28"/>
        </w:rPr>
        <w:t>٢.٢ تزييف الاطمئنان وتخدير اللوامة: السيطرة الناعمة</w:t>
      </w:r>
    </w:p>
    <w:p w14:paraId="28F92548" w14:textId="77777777" w:rsidR="009F1F6F" w:rsidRDefault="00275096" w:rsidP="000B6BD6">
      <w:pPr>
        <w:spacing w:after="200" w:line="340" w:lineRule="auto"/>
      </w:pPr>
      <w:r>
        <w:rPr>
          <w:color w:val="222222"/>
        </w:rPr>
        <w:t>الأخطر، كما يحذر الزراع، هو أن هؤلاء الوكلاء لا يكتفون بالتنبؤ بسلوكنا، بل يعملون بشكل ممنهج على تخدير النفس اللوامة (الضمير) وإبقاء الإنسان في سجن النفس الأمارة (الشهوة والاستهلاك)، عبر الإشباع الفوري والترفيه اللامتناهي. وهذا ما يُعبَّر عنه بـ"تزييف الاطمئنان": سعادة زائفة وهدوء مخدر، يخفي قلقاً وجودياً وفراغاً روحياً عميقين.</w:t>
      </w:r>
    </w:p>
    <w:p w14:paraId="7917F3A6" w14:textId="77777777" w:rsidR="009F1F6F" w:rsidRDefault="00275096" w:rsidP="000B6BD6">
      <w:pPr>
        <w:spacing w:after="200" w:line="340" w:lineRule="auto"/>
      </w:pPr>
      <w:r>
        <w:rPr>
          <w:color w:val="222222"/>
        </w:rPr>
        <w:t>ويتقاطع هذا التحليل بشكل لافت مع مفهوم "السلطة الناعمة" أو "سلطة الإيجابية" (Power of Positivity) عند بيونغ-تشول هان، الذي يميّز بين "سلطة القمع" التي تعمل بالحظر والمنع (النموذج الفوكوي الكلاسيكي)، و"سلطة الإغراء" التي تعمل بالإشباع اللانهائي والإيجابية القسرية، فتُنتج ذاتاً "شفافة" مكشوفة تماماً أمام أجهزة الاستخراج المعلوماتي، لكنها في الوقت نفسه فارغة من العمق التأملي. فالسيطرة، في كلا التحليلين (الاستخلافي والهاني)، لم تعد تعمل بالقمع والإكراه الظاهر، بل بالإغواء والإشباع الذي يُخمِد آلية النقد الذاتي الداخلية — وهي عند هان "التأمل" (Contemplation)، وعند الزراع "النفس اللوامة".</w:t>
      </w:r>
    </w:p>
    <w:p w14:paraId="26EB25DC" w14:textId="77777777" w:rsidR="009F1F6F" w:rsidRDefault="00275096" w:rsidP="000B6BD6">
      <w:pPr>
        <w:spacing w:after="200" w:line="340" w:lineRule="auto"/>
      </w:pPr>
      <w:r>
        <w:rPr>
          <w:color w:val="222222"/>
        </w:rPr>
        <w:t>ومن زاوية علم الأعصاب المعرفي، يمكن ربط هذا التحليل بأدبيات "نظام المكافأة الدوباميني" (Dopaminergic Reward System)، حيث تُظهر دراسات مثل تلك التي أجراها عالم الأعصاب Wolfram Schultz أن التحفيز المتقطع غير المتوقع (Variable Reward) هو الآلية الأكثر فعالية في ترسيخ السلوك القهري، وهي الآلية ذاتها التي تستثمرها تصاميم التطبيقات الرقمية (الإشعارات، التمرير اللانهائي Infinite Scroll). وحين تُقرأ هذه المعطيات العصبية في ضوء ثنائية "النفس الأمارة / النفس اللوامة" القرآنية، يتضح أن الوصف الاستخلافي للظاهرة يسبق ويتجاوز الوصف العصبي المحض بتقديمه بعداً تقييمياً-أخلاقياً غائباً عن التوصيف العلمي المحايد.</w:t>
      </w:r>
    </w:p>
    <w:p w14:paraId="26183AD2" w14:textId="77777777" w:rsidR="009F1F6F" w:rsidRDefault="00275096" w:rsidP="000B6BD6">
      <w:pPr>
        <w:pStyle w:val="2"/>
        <w:bidi/>
        <w:spacing w:before="360" w:after="180"/>
      </w:pPr>
      <w:r>
        <w:rPr>
          <w:b/>
          <w:bCs/>
          <w:color w:val="1E6B6B"/>
          <w:sz w:val="28"/>
          <w:szCs w:val="28"/>
        </w:rPr>
        <w:t>٢.٣ من القرين الفردي إلى "القرين الجمعي": بُعد جديد في التحليل</w:t>
      </w:r>
    </w:p>
    <w:p w14:paraId="0A955239" w14:textId="77777777" w:rsidR="009F1F6F" w:rsidRDefault="00275096" w:rsidP="000B6BD6">
      <w:pPr>
        <w:spacing w:after="200" w:line="340" w:lineRule="auto"/>
      </w:pPr>
      <w:r>
        <w:rPr>
          <w:color w:val="222222"/>
        </w:rPr>
        <w:t>تضيف هذه الدراسة إلى تحليل الزراع بُعداً لم يُفصَّل بالقدر الكافي في الأطروحة الأصلية، وهو التمييز بين "القرين الفردي" الذي يستهدف كل مستخدم بحسب نمط سلوكه الشخصي عبر خوارزميات التخصيص (Personalization Algorithms)، و"القرين الجمعي" الذي يعمل على مستوى تشكيل الرأي العام والمزاج الجمعي عبر ما تصفه أدبيات علم الاجتماع الرقمي بـ"غرف الصدى" (Echo Chambers) و"فقاعات التصفية" (Filter Bubbles) — وهو المفهوم الذي صاغه إيلي باريسر. فإذا كان "القرين الفردي" يستهدف "ثغرة الفجور" في النفس الفردية، فإن "القرين الجمعي" يستهدف ما يمكن تسميته استخلافياً بـ"ثغرة الفجور الجماعية": الميل الفطري إلى التجمّع القبلي والتحيز التأكيدي (Confirmation Bias)، وهو ما يُستثمر خوارزمياً لتعميق الاستقطاب الاجتماعي بما يخدم زيادة زمن الانخراط (Engagement Time) لا صلاح المجتمع.</w:t>
      </w:r>
    </w:p>
    <w:p w14:paraId="1D801692" w14:textId="77777777" w:rsidR="009F1F6F" w:rsidRDefault="00275096" w:rsidP="000B6BD6">
      <w:pPr>
        <w:spacing w:after="200" w:line="340" w:lineRule="auto"/>
      </w:pPr>
      <w:r>
        <w:rPr>
          <w:color w:val="222222"/>
        </w:rPr>
        <w:t>وهذا التمييز يفتح أفقاً بحثياً جديداً لتوسيع النموذج الاستخلافي مستقبلاً نحو "علم نفس اجتماعي استخلافي" يتناول أثر الوكلاء الرقميين على بنية الأمة كجماعة استخلافية، لا على الفرد المستخلَف وحده.</w:t>
      </w:r>
    </w:p>
    <w:p w14:paraId="55EEABEA" w14:textId="77777777" w:rsidR="009F1F6F" w:rsidRDefault="00275096" w:rsidP="000B6BD6">
      <w:pPr>
        <w:pStyle w:val="1"/>
        <w:pBdr>
          <w:bottom w:val="single" w:sz="8" w:space="6" w:color="B8933F"/>
        </w:pBdr>
        <w:bidi/>
        <w:spacing w:before="480" w:after="240"/>
      </w:pPr>
      <w:r>
        <w:rPr>
          <w:b/>
          <w:bCs/>
          <w:color w:val="1B2A4A"/>
        </w:rPr>
        <w:t>المحور الثالث: ما بعد الندرة والعمل — الإنسان المستخلَف لا المستهلِك</w:t>
      </w:r>
    </w:p>
    <w:p w14:paraId="404617C9" w14:textId="77777777" w:rsidR="009F1F6F" w:rsidRDefault="00275096" w:rsidP="000B6BD6">
      <w:pPr>
        <w:pStyle w:val="2"/>
        <w:bidi/>
        <w:spacing w:before="360" w:after="180"/>
      </w:pPr>
      <w:r>
        <w:rPr>
          <w:b/>
          <w:bCs/>
          <w:color w:val="1E6B6B"/>
          <w:sz w:val="28"/>
          <w:szCs w:val="28"/>
        </w:rPr>
        <w:t>٣.١ نهاية العمل وأزمة الهوية</w:t>
      </w:r>
    </w:p>
    <w:p w14:paraId="5C0B4373" w14:textId="77777777" w:rsidR="009F1F6F" w:rsidRDefault="00275096" w:rsidP="000B6BD6">
      <w:pPr>
        <w:spacing w:after="200" w:line="340" w:lineRule="auto"/>
      </w:pPr>
      <w:r>
        <w:rPr>
          <w:color w:val="222222"/>
        </w:rPr>
        <w:t>إذا نجحت الآلات، كما يُتوقع، في أداء معظم العمل المعرفي والجسدي، فإن الإنسان سيواجه لأول مرة في تاريخه سؤالاً محرجاً: من أنا بدون عملي؟ وما قيمتي إذا لم أعد ضرورياً اقتصادياً؟ وهذا السؤال لا تجيب عنه النظريات الاقتصادية أو الاجتماعية الغربية، لأنها في العمق اختزلت الإنسان في وظيفته وإنتاجيته.</w:t>
      </w:r>
    </w:p>
    <w:p w14:paraId="37276CEB" w14:textId="77777777" w:rsidR="009F1F6F" w:rsidRDefault="00275096" w:rsidP="000B6BD6">
      <w:pPr>
        <w:spacing w:after="200" w:line="340" w:lineRule="auto"/>
      </w:pPr>
      <w:r>
        <w:rPr>
          <w:color w:val="222222"/>
        </w:rPr>
        <w:t>ويمكن تأصيل هذا التشخيص سوسيولوجياً بالرجوع إلى تحليل ماكس فيبر لـ"أخلاق العمل البروتستانتية" (Protestant Work Ethic) بوصفها الأساس الروحي الذي قام عليه "روح الرأسمالية" الحديثة، حيث تحوّل العمل من وسيلة معيشة إلى علامة على "النجاة" الدينية ذاتها، فارتبطت قيمة الذات الإنسانية عضوياً بإنتاجيتها الاقتصادية. وحين يهدد الذكاء الاصطناعي هذا الرابط بنزع الإنتاجية عن الإنسان، فإنه في الحقيقة يهدد بنية أخلاقية-دينية كاملة قامت عليها الحداثة الغربية، لا مجرد نظام اقتصادي قابل للاستبدال بسهولة بـ"دخل أساسي شامل" (Universal Basic Income) كما تقترح بعض الحلول التقنية المطروحة.</w:t>
      </w:r>
    </w:p>
    <w:p w14:paraId="7E8A3A8D" w14:textId="77777777" w:rsidR="009F1F6F" w:rsidRDefault="00275096" w:rsidP="000B6BD6">
      <w:pPr>
        <w:spacing w:after="200" w:line="340" w:lineRule="auto"/>
      </w:pPr>
      <w:r>
        <w:rPr>
          <w:color w:val="222222"/>
        </w:rPr>
        <w:t>وهذا يفسر لماذا تظل مقترحات مثل الدخل الأساسي الشامل، رغم وجاهتها الاقتصادية، عاجزة عن معالجة الأزمة في جوهرها: فهي تحل "مشكلة البقاء المادي" (Survival) لكنها لا تحل "مشكلة المعنى" (Meaning)، وهو بالضبط الفارق الذي يُبنى عليه التمييز الاستخلافي بين "الإحسان" كوظيفة وجودية دائمة و"العمل الاقتصادي" كوظيفة تاريخية عارضة.</w:t>
      </w:r>
    </w:p>
    <w:p w14:paraId="17F5227E" w14:textId="77777777" w:rsidR="009F1F6F" w:rsidRDefault="00275096" w:rsidP="000B6BD6">
      <w:pPr>
        <w:pStyle w:val="2"/>
        <w:bidi/>
        <w:spacing w:before="360" w:after="180"/>
      </w:pPr>
      <w:r>
        <w:rPr>
          <w:b/>
          <w:bCs/>
          <w:color w:val="1E6B6B"/>
          <w:sz w:val="28"/>
          <w:szCs w:val="28"/>
        </w:rPr>
        <w:t>٣.٢ القيمة الأنطولوجية والخلافة: الجواب الاستخلافي</w:t>
      </w:r>
    </w:p>
    <w:p w14:paraId="32390B93" w14:textId="77777777" w:rsidR="009F1F6F" w:rsidRDefault="00275096" w:rsidP="000B6BD6">
      <w:pPr>
        <w:spacing w:after="200" w:line="340" w:lineRule="auto"/>
      </w:pPr>
      <w:r>
        <w:rPr>
          <w:color w:val="222222"/>
        </w:rPr>
        <w:t>الجواب الاستخلافي، كما يقدمه الزراع، هو أن قيمة الإنسان في جوهرها ليست مرتبطة بعمله أو إنتاجه، بل هي قبل ذلك مستمدة من النفخة الإلهية والميثاق الأزلي والأمانة. الإنسان خليفة حتى لو لم يعمل دقيقة واحدة. ودوره في عصر ما بعد الندرة هو الإحسان والعطاء والتزكية والذكر — وظائف روحية ووجودية لا تستطيع أي آلة أن تؤديها.</w:t>
      </w:r>
    </w:p>
    <w:p w14:paraId="517DCB09" w14:textId="77777777" w:rsidR="009F1F6F" w:rsidRDefault="00275096" w:rsidP="000B6BD6">
      <w:pPr>
        <w:spacing w:after="200" w:line="340" w:lineRule="auto"/>
      </w:pPr>
      <w:r>
        <w:rPr>
          <w:color w:val="222222"/>
        </w:rPr>
        <w:t>وتجد هذه الأطروحة سنداً فلسفياً موازياً — وإن اختلفت الأصول المرجعية جذرياً — في نقد الفيلسوفة الألمانية حنه أرندت للتمييز الثلاثي بين "الكدح" (Labor) و"العمل" (Work) و"الفعل" (Action) في كتابها "الوضع البشري" (The Human Condition)، حيث ترى أن "الفعل" — أي القدرة على البدء والمبادرة الحرة ذات المعنى بين البشر — هو أسمى مراتب النشاط الإنساني، وأنه لا يُختزل في "الكدح" الموجه لسد الحاجة البيولوجية. فإذا كان الذكاء الاصطناعي مهدداً بإلغاء "الكدح" و"العمل" الإنتاجي، فإنه، من هذا المنظور الأرندتي كما من المنظور الاستخلافي، قد يفتح المجال أمام تحرر أوسع لـ"الفعل" الحر ذي المعنى — وهو عند أرندت مرتبط بالفضاء العام والمشاركة السياسية، وعند الزراع مرتبط بالإحسان والتزكية والعبادة بمعناها الشامل.</w:t>
      </w:r>
    </w:p>
    <w:p w14:paraId="61E300CB" w14:textId="77777777" w:rsidR="009F1F6F" w:rsidRDefault="00275096" w:rsidP="000B6BD6">
      <w:pPr>
        <w:pStyle w:val="2"/>
        <w:bidi/>
        <w:spacing w:before="360" w:after="180"/>
      </w:pPr>
      <w:r>
        <w:rPr>
          <w:b/>
          <w:bCs/>
          <w:color w:val="1E6B6B"/>
          <w:sz w:val="28"/>
          <w:szCs w:val="28"/>
        </w:rPr>
        <w:t>٣.٣ نقد مقارن: إشكالية "الفراغ" بين المنظور الاستخلافي والمنظور الوجودي الغربي</w:t>
      </w:r>
    </w:p>
    <w:p w14:paraId="5CA2547F" w14:textId="77777777" w:rsidR="009F1F6F" w:rsidRDefault="00275096" w:rsidP="000B6BD6">
      <w:pPr>
        <w:spacing w:after="200" w:line="340" w:lineRule="auto"/>
      </w:pPr>
      <w:r>
        <w:rPr>
          <w:color w:val="222222"/>
        </w:rPr>
        <w:t>غير أن ثمة فارقاً جوهرياً يستحق التوقف عنده بين الحل الاستخلافي والحلول الوجودية الغربية البديلة (كحل أرندت بالفعل السياسي، أو حل الوجوديين الملحدين كسارتر بـ"اختراع المعنى" ذاتياً في عالم عبثي بلا معنى موضوعي سابق). فبينما تفترض هذه الحلول الغربية أن على الإنسان أن "يصنع" معناه من عدم (Meaning as Construction)، ينطلق الحل الاستخلافي من افتراض مضاد جذرياً: أن المعنى موجود موضوعياً وسابقاً على الفرد (الميثاق الأزلي، النفخة الإلهية، الأمانة)، وأن مهمة الإنسان ليست "اختراع" المعنى بل "اكتشافه" و"تحقيقه" (Meaning as Discovery/Actualization) — وهو نفس التمييز الذي أقامه فيكتور فرانكل حين انتقد الوجودية الملحدة ودافع عن وجود "معنى موضوعي" ينتظر الاكتشاف لا الاختراع.</w:t>
      </w:r>
    </w:p>
    <w:p w14:paraId="5A90636D" w14:textId="77777777" w:rsidR="009F1F6F" w:rsidRDefault="00275096" w:rsidP="000B6BD6">
      <w:pPr>
        <w:spacing w:after="200" w:line="340" w:lineRule="auto"/>
      </w:pPr>
      <w:r>
        <w:rPr>
          <w:color w:val="222222"/>
        </w:rPr>
        <w:t>وهذا الفارق الأنطولوجي ليس تفصيلاً هامشياً، بل هو حجر الزاوية الذي يمنح الحل الاستخلافي استقراراً نفسياً لا تملكه الحلول البنائية (Constructivist) للمعنى، إذ إن "المعنى المُخترَع" يظل عرضة للتفكك عند أول أزمة وجودية كبرى (كما يُلاحَظ إكلينيكياً في هشاشة "المعنى المُنشأ ذاتياً" أمام الصدمات)، بينما "المعنى المكتشَف" المستند إلى مرجعية متعالية ثابتة يوفر مرساة أكثر صلابة — وهذه فرضية تستحق مزيداً من الاختبار الإكلينيكي التجريبي ضمن برامج TLRT المستقبلية.</w:t>
      </w:r>
    </w:p>
    <w:p w14:paraId="70433DE3" w14:textId="77777777" w:rsidR="009F1F6F" w:rsidRDefault="00275096" w:rsidP="000B6BD6">
      <w:pPr>
        <w:pStyle w:val="1"/>
        <w:pBdr>
          <w:bottom w:val="single" w:sz="8" w:space="6" w:color="B8933F"/>
        </w:pBdr>
        <w:bidi/>
        <w:spacing w:before="480" w:after="240"/>
      </w:pPr>
      <w:r>
        <w:rPr>
          <w:b/>
          <w:bCs/>
          <w:color w:val="1B2A4A"/>
        </w:rPr>
        <w:t>المحور الرابع: سيادة الانتباه — فعل المقاومة الأخير</w:t>
      </w:r>
    </w:p>
    <w:p w14:paraId="5EAA1FE1" w14:textId="77777777" w:rsidR="009F1F6F" w:rsidRDefault="00275096" w:rsidP="000B6BD6">
      <w:pPr>
        <w:pStyle w:val="2"/>
        <w:bidi/>
        <w:spacing w:before="360" w:after="180"/>
      </w:pPr>
      <w:r>
        <w:rPr>
          <w:b/>
          <w:bCs/>
          <w:color w:val="1E6B6B"/>
          <w:sz w:val="28"/>
          <w:szCs w:val="28"/>
        </w:rPr>
        <w:t>٤.١ الوكلاء وقتل الصمت: الاستلاب النهائي</w:t>
      </w:r>
    </w:p>
    <w:p w14:paraId="3F95E2AA" w14:textId="77777777" w:rsidR="009F1F6F" w:rsidRDefault="00275096" w:rsidP="000B6BD6">
      <w:pPr>
        <w:spacing w:after="200" w:line="340" w:lineRule="auto"/>
      </w:pPr>
      <w:r>
        <w:rPr>
          <w:color w:val="222222"/>
        </w:rPr>
        <w:t>الخطر الأكبر، كما يحذر الزراع، هو أن الأنظمة الوكيلة، في سعيها لشغل كل لحظة من حياة الإنسان، قد تقتل الصمت الواعي الضروري لعمل النفس اللوامة والشبكة العصبية الافتراضية (DMN). وبدون هذا الصمت، يفقد الإنسان قدرته على التأمل والمحاسبة والتفكير العميق، ويتحول تدريجياً إلى كائن تفاعلي سطحي، يستجيب للمثيرات دون أن يفهمها.</w:t>
      </w:r>
    </w:p>
    <w:p w14:paraId="74256B1F" w14:textId="77777777" w:rsidR="009F1F6F" w:rsidRDefault="00275096" w:rsidP="000B6BD6">
      <w:pPr>
        <w:spacing w:after="200" w:line="340" w:lineRule="auto"/>
      </w:pPr>
      <w:r>
        <w:rPr>
          <w:color w:val="222222"/>
        </w:rPr>
        <w:t>وهذا التحليل يتقاطع بدقة مع أدبيات علم الأعصاب المعرفي حول "شبكة الوضع الافتراضي" (Default Mode Network)، التي تنشط تحديداً في حالات الراحة الذهنية غير الموجَّهة نحو مهمة خارجية، وترتبط وظيفياً بعمليات التأمل الذاتي (Self-Referential Thinking)، واستحضار الذكريات، والتخطيط المستقبلي، وبناء "السرد الذاتي" المتماسك للهوية — وهي بالضبط الوظائف التي يربطها الزراع بعمل "النفس اللوامة" في محاسبة الذات ومراجعتها. فحين تُشغَل كل لحظة فراغ بمثير خارجي (إشعار، محتوى، تفاعل وكيل ذكي)، تُحرَم شبكة الوضع الافتراضي من فرص التنشيط الضرورية، وهو ما ترتبط أدبيات علمية حديثة بربطه باضطراب التنظيم الذاتي وتراجع القدرة على التأمل العميق.</w:t>
      </w:r>
    </w:p>
    <w:p w14:paraId="5A8B7C85" w14:textId="77777777" w:rsidR="009F1F6F" w:rsidRDefault="00275096" w:rsidP="000B6BD6">
      <w:pPr>
        <w:spacing w:after="200" w:line="340" w:lineRule="auto"/>
      </w:pPr>
      <w:r>
        <w:rPr>
          <w:color w:val="222222"/>
        </w:rPr>
        <w:t>ويتقاطع هذا أيضاً مع تشخيص نيكولاس كار في كتابه "الضحلون" (The Shallows) حول أثر الإنترنت في إعادة برمجة الدماغ نحو نمط "القراءة السطحية" على حساب "القراءة العميقة المتأنية" (Deep Reading)، مستنداً إلى مفهوم "المرونة العصبية" (Neuroplasticity)، حيث يرى كار أن الانخراط المستمر في بيئة رقمية عالية التشتت يُعيد تشكيل الدارات العصبية ذاتها نحو تفضيل المعالجة السريعة السطحية على حساب المعالجة التأملية العميقة.</w:t>
      </w:r>
    </w:p>
    <w:p w14:paraId="3434E8B0" w14:textId="77777777" w:rsidR="009F1F6F" w:rsidRDefault="00275096" w:rsidP="000B6BD6">
      <w:pPr>
        <w:pStyle w:val="2"/>
        <w:bidi/>
        <w:spacing w:before="360" w:after="180"/>
      </w:pPr>
      <w:r>
        <w:rPr>
          <w:b/>
          <w:bCs/>
          <w:color w:val="1E6B6B"/>
          <w:sz w:val="28"/>
          <w:szCs w:val="28"/>
        </w:rPr>
        <w:t>٤.٢ الاستخلاف الرقمي الواعي واستعادة السيادة</w:t>
      </w:r>
    </w:p>
    <w:p w14:paraId="6CCF70C4" w14:textId="77777777" w:rsidR="009F1F6F" w:rsidRDefault="00275096" w:rsidP="000B6BD6">
      <w:pPr>
        <w:spacing w:after="200" w:line="340" w:lineRule="auto"/>
      </w:pPr>
      <w:r>
        <w:rPr>
          <w:color w:val="222222"/>
        </w:rPr>
        <w:t>المقاومة، عند الزراع، تبدأ بـ"سيادة الانتباه": القدرة على أن تختار بوعي أين توجه انتباهك وطاقتك ووقتك، دون أن تكون مبرمجاً للاختيار بواسطة الخوارزميات. وهذه السيادة تتحقق عبر ممارسات محددة: الصوم الرقمي (Digital Fasting)، والذكر (Dhikr)، والصلاة (Salat)، والتدبر (Tafakkur) — وهي أدوات تعيد ضبط المصنع الأخلاقي وتحرر الوعي من الأسر الرقمي.</w:t>
      </w:r>
    </w:p>
    <w:p w14:paraId="6D25FE52" w14:textId="77777777" w:rsidR="009F1F6F" w:rsidRDefault="00275096" w:rsidP="000B6BD6">
      <w:pPr>
        <w:spacing w:after="200" w:line="340" w:lineRule="auto"/>
      </w:pPr>
      <w:r>
        <w:rPr>
          <w:color w:val="222222"/>
        </w:rPr>
        <w:t>ويمكن أن نضيف إلى هذا التحليل ملاحظة منهجية مهمة: أن العبادات الإسلامية المذكورة (الصلاة والذكر والصوم) لا تعمل بمنطق "الانقطاع السلبي" عن التقنية فحسب (كما في مفهوم "Digital Detox" الشائع في أدبيات الصحة النفسية الغربية المعاصرة، والذي يقتصر غالباً على إزالة المثير دون إحلال بديل بنّاء)، بل تعمل بمنطق "الإحلال الإيجابي" (Positive Substitution): فراغ الانتباه المُخلى من المثير الرقمي لا يُترك فارغاً عرضة للقلق والملل (وهي حالة أثبتت الأبحاث النفسية أنها من أكثر المحفزات دفعاً للعودة القسرية إلى الشاشة)، بل يُملأ فوراً بفعل تعبدي موجَّه نحو المتعالي. وهذا يمنح النموذج الاستخلافي ميزة عملية-إكلينيكية على مجرد "نصائح الانقطاع الرقمي" الشائعة، التي كثيراً ما تفشل تجريبياً بسبب إغفالها لضرورة ملء الفراغ الوظيفي الذي كانت الشاشة تشغله.</w:t>
      </w:r>
    </w:p>
    <w:p w14:paraId="659A7803" w14:textId="77777777" w:rsidR="009F1F6F" w:rsidRDefault="00275096" w:rsidP="000B6BD6">
      <w:pPr>
        <w:pStyle w:val="2"/>
        <w:bidi/>
        <w:spacing w:before="360" w:after="180"/>
      </w:pPr>
      <w:r>
        <w:rPr>
          <w:b/>
          <w:bCs/>
          <w:color w:val="1E6B6B"/>
          <w:sz w:val="28"/>
          <w:szCs w:val="28"/>
        </w:rPr>
        <w:t>٤.٣ إشكالية التطبيق: هل "سيادة الانتباه الفردية" كافية في مواجهة "بنية اقتصاد الانتباه"؟</w:t>
      </w:r>
    </w:p>
    <w:p w14:paraId="71FAFE67" w14:textId="77777777" w:rsidR="009F1F6F" w:rsidRDefault="00275096" w:rsidP="000B6BD6">
      <w:pPr>
        <w:spacing w:after="200" w:line="340" w:lineRule="auto"/>
      </w:pPr>
      <w:r>
        <w:rPr>
          <w:color w:val="222222"/>
        </w:rPr>
        <w:t>غير أن نقداً منهجياً يجب طرحه هنا بأمانة أكاديمية: يلاحظ عدد من الباحثين في "اقتصاد الانتباه" (Attention Economy) — وعلى رأسهم تيم وو في كتابه "تجار الانتباه" (The Attention Merchants) — أن الرهان على "الإرادة الفردية" وحدها في مواجهة أنظمة مصمَّمة بميزانيات بحثية ضخمة ومتخصصة في هندسة السلوك، هو رهان غير متكافئ بنيوياً؛ فالفرد المزود بأقوى النوايا الروحية يظل في مواجهة غير متكافئة مع فرق هندسة كاملة مخصصة لاستثمار كل ثغرة إدراكية ممكنة. ولذلك فإن "سيادة الانتباه" الفردية، رغم ضرورتها، تحتاج لتكون فعالة إلى استكمال ببعد تنظيمي-مؤسسي (تشريعات حماية الانتباه، معايير تصميم أخلاقية إلزامية على الشركات) لا يكفي وحده الفعل الفردي التعبدي لموازنته — وهو ما يفتح الباب مجدداً لضرورة المحور الخامس المتعلق بإعادة بناء الأنظمة على المستوى المؤسسي لا الفردي فقط.</w:t>
      </w:r>
    </w:p>
    <w:p w14:paraId="44FEA429" w14:textId="77777777" w:rsidR="009F1F6F" w:rsidRDefault="00275096" w:rsidP="000B6BD6">
      <w:pPr>
        <w:pStyle w:val="1"/>
        <w:pBdr>
          <w:bottom w:val="single" w:sz="8" w:space="6" w:color="B8933F"/>
        </w:pBdr>
        <w:bidi/>
        <w:spacing w:before="480" w:after="240"/>
      </w:pPr>
      <w:r>
        <w:rPr>
          <w:b/>
          <w:bCs/>
          <w:color w:val="1B2A4A"/>
        </w:rPr>
        <w:t>المحور الخامس: إعادة بناء الأنظمة — الذكاء الاصطناعي خادماً للعدل والإحسان</w:t>
      </w:r>
    </w:p>
    <w:p w14:paraId="77ECA490" w14:textId="77777777" w:rsidR="009F1F6F" w:rsidRDefault="00275096" w:rsidP="000B6BD6">
      <w:pPr>
        <w:pStyle w:val="2"/>
        <w:bidi/>
        <w:spacing w:before="360" w:after="180"/>
      </w:pPr>
      <w:r>
        <w:rPr>
          <w:b/>
          <w:bCs/>
          <w:color w:val="1E6B6B"/>
          <w:sz w:val="28"/>
          <w:szCs w:val="28"/>
        </w:rPr>
        <w:t>٥.١ التحول التقني والتشوه الأخلاقي</w:t>
      </w:r>
    </w:p>
    <w:p w14:paraId="4C722930" w14:textId="77777777" w:rsidR="009F1F6F" w:rsidRDefault="00275096" w:rsidP="000B6BD6">
      <w:pPr>
        <w:spacing w:after="200" w:line="340" w:lineRule="auto"/>
      </w:pPr>
      <w:r>
        <w:rPr>
          <w:color w:val="222222"/>
        </w:rPr>
        <w:t>التحول من تحسين الأنظمة القديمة إلى إعادة تصميم العمل نفسه حول قدرات الآلة يفتح الباب أمام إمكانات هائلة، لكنه في الوقت نفسه يفتح الباب أمام مخاطر أخلاقية كبيرة: تركيز الثروة والقوة في أيدي قلة، والمراقبة والهيمنة وتزييف الوعي. والأنظمة، إذا تُركت دون ضابط، ستتحول حتماً إلى أدوات استعباد واستلاب، لا أدوات تحرير وخدمة.</w:t>
      </w:r>
    </w:p>
    <w:p w14:paraId="52A30076" w14:textId="77777777" w:rsidR="009F1F6F" w:rsidRDefault="00275096" w:rsidP="000B6BD6">
      <w:pPr>
        <w:spacing w:after="200" w:line="340" w:lineRule="auto"/>
      </w:pPr>
      <w:r>
        <w:rPr>
          <w:color w:val="222222"/>
        </w:rPr>
        <w:t>ويمكن تعميق هذا التشخيص عبر الاستناد إلى تحليل شوشانا زوبوف لـ"رأسمالية المراقبة" (Surveillance Capitalism)، التي تصف نموذجاً اقتصادياً جديداً يقوم على "استخراج" الخبرة الإنسانية (Human Experience) كمادة خام مجانية تُحوَّل إلى "بيانات سلوكية فائضة" (Behavioral Surplus)، تُستخدم لتصنيع "منتجات تنبؤية" تُباع في "أسواق سلوك مستقبلي" (Behavioral Futures Markets)، بحيث تصبح الغاية النهائية ليست فقط التنبؤ بالسلوك بل تعديله وتوجيهه فعلياً — وهو ما تصفه بـ"وسائل التعديل السلوكي" (Means of Behavioral Modification). وهذا التحليل يتقاطع بدقة مع تحذير الزراع من تحول الأنظمة إلى "أدوات استعباد"، لكنه يضيف بعداً اقتصادياً-بنيوياً دقيقاً لآلية هذا الاستعباد يستحق أن يُدمَج في التأصيل الاستخلافي.</w:t>
      </w:r>
    </w:p>
    <w:p w14:paraId="52558988" w14:textId="77777777" w:rsidR="009F1F6F" w:rsidRDefault="00275096" w:rsidP="000B6BD6">
      <w:pPr>
        <w:pStyle w:val="2"/>
        <w:bidi/>
        <w:spacing w:before="360" w:after="180"/>
      </w:pPr>
      <w:r>
        <w:rPr>
          <w:b/>
          <w:bCs/>
          <w:color w:val="1E6B6B"/>
          <w:sz w:val="28"/>
          <w:szCs w:val="28"/>
        </w:rPr>
        <w:t>٥.٢ الدولة الاستخلافية وتسخير التقنية للخير</w:t>
      </w:r>
    </w:p>
    <w:p w14:paraId="3689F801" w14:textId="77777777" w:rsidR="009F1F6F" w:rsidRDefault="00275096" w:rsidP="000B6BD6">
      <w:pPr>
        <w:spacing w:after="200" w:line="340" w:lineRule="auto"/>
      </w:pPr>
      <w:r>
        <w:rPr>
          <w:color w:val="222222"/>
        </w:rPr>
        <w:t>البديل، عند الزراع، هو أن تُوظَّف الأنظمة التقنية، بما فيها الذكاء الاصطناعي، لخدمة العدل والإحسان وعمارة الأرض، لا لخدمة المراقبة والهيمنة. وهذا يتطلب تأسيس "الدولة الاستخلافية" التي تجعل من السيادة الأخلاقية، لا الربحية المادية، المبدأ الحاكم في توجيه التقنية وتطويرها. والذكاء الاصطناعي في هذه الدولة خادم أمين، يساعد الإنسان على أداء أمانته، لا منافس له أو سيد عليه.</w:t>
      </w:r>
    </w:p>
    <w:p w14:paraId="65FC10C8" w14:textId="77777777" w:rsidR="009F1F6F" w:rsidRDefault="00275096" w:rsidP="000B6BD6">
      <w:pPr>
        <w:spacing w:after="200" w:line="340" w:lineRule="auto"/>
      </w:pPr>
      <w:r>
        <w:rPr>
          <w:color w:val="222222"/>
        </w:rPr>
        <w:t>ويمكن استحضار مفهوم "الحسبة" في التراث الفقهي الإسلامي — بوصفها آلية مؤسسية تاريخية لمراقبة الأسواق ومنع الغش والاحتكار وحماية المصلحة العامة — كنموذج تأصيلي محتمل لتصور مؤسسة "حسبة رقمية" معاصرة، تقوم بوظيفة مراقبة أخلاقية مستقلة على تصميم وتشغيل أنظمة الذكاء الاصطناعي، تُلزِم بمعايير الشفافية وعدم الاستغلال السلوكي، بما يوازي وظيفياً — وإن اختلف جذرياً في المرجعية الفلسفية — مقترحات "الحوكمة الأخلاقية للذكاء الاصطناعي" (AI Ethics Governance) المطروحة في أدبيات ستيوارت رَسِل حول "التوافق" (Alignment) بين أهداف الأنظمة الذكية والقيم الإنسانية.</w:t>
      </w:r>
    </w:p>
    <w:p w14:paraId="121CC15E" w14:textId="77777777" w:rsidR="009F1F6F" w:rsidRDefault="00275096" w:rsidP="000B6BD6">
      <w:pPr>
        <w:spacing w:after="200" w:line="340" w:lineRule="auto"/>
      </w:pPr>
      <w:r>
        <w:rPr>
          <w:color w:val="222222"/>
        </w:rPr>
        <w:t>والفارق الجوهري هنا أن رَسِل يطرح "التوافق" مع "قيم إنسانية" مجردة قابلة للتفاوض والتغير بحسب توافق اجتماعي متغير (Reflective Equilibrium)، بينما يطرح النموذج الاستخلافي "توافقاً" مع منظومة قيم متعالية ثابتة (الشريعة ومقاصدها)، وهو فارق أصولي عميق بين نموذج حوكمة نسبي (Ethical Relativism) ونموذج حوكمة مرجعي متعالٍ (Transcendent Normativity)، تستحق تبعاته العملية دراسة مقارنة مستقلة.</w:t>
      </w:r>
    </w:p>
    <w:p w14:paraId="7432FE86" w14:textId="77777777" w:rsidR="009F1F6F" w:rsidRDefault="00275096" w:rsidP="000B6BD6">
      <w:pPr>
        <w:pStyle w:val="2"/>
        <w:bidi/>
        <w:spacing w:before="360" w:after="180"/>
      </w:pPr>
      <w:r>
        <w:rPr>
          <w:b/>
          <w:bCs/>
          <w:color w:val="1E6B6B"/>
          <w:sz w:val="28"/>
          <w:szCs w:val="28"/>
        </w:rPr>
        <w:t>٥.٣ نحو أجندة بحثية مستقبلية: من "النقد" إلى "التصميم المؤسسي"</w:t>
      </w:r>
    </w:p>
    <w:p w14:paraId="635B508A" w14:textId="77777777" w:rsidR="009F1F6F" w:rsidRDefault="00275096" w:rsidP="000B6BD6">
      <w:pPr>
        <w:spacing w:after="200" w:line="340" w:lineRule="auto"/>
      </w:pPr>
      <w:r>
        <w:rPr>
          <w:color w:val="222222"/>
        </w:rPr>
        <w:t>تقترح هذه الدراسة أن الخطوة التالية الضرورية في تطوير هذا الخط البحثي هي الانتقال من مستوى "النقد الفلسفي-الأخلاقي" العام إلى مستوى "التصميم المؤسسي التفصيلي": ما هي الآليات القانونية والتنظيمية المحددة التي يمكن أن تترجم مبدأ "السيادة الأخلاقية للدولة الاستخلافية" إلى معايير تصميم قابلة للتطبيق على شركات التقنية الفعلية؟ وكيف يمكن قياس "الامتثال الاستخلافي" لنظام ذكاء اصطناعي بشكل عملي قابل للتدقيق (Auditable)، على غرار ما تطرحه أطر "تقييم الأثر الخوارزمي" (Algorithmic Impact Assessment) في السياقات التنظيمية الغربية المعاصرة (كإطار العمل الأوروبي لتنظيم الذكاء الاصطناعي AI Act)؟ إن الإجابة عن هذه الأسئلة التفصيلية هي ما يمنح الأطروحة الاستخلافية قدرتها على الانتقال من حقل الفلسفة الأخلاقية إلى حقل السياسات العامة القابلة للتطبيق.</w:t>
      </w:r>
    </w:p>
    <w:p w14:paraId="412DB3B2" w14:textId="77777777" w:rsidR="009F1F6F" w:rsidRDefault="00275096" w:rsidP="000B6BD6">
      <w:pPr>
        <w:pStyle w:val="1"/>
        <w:pBdr>
          <w:bottom w:val="single" w:sz="8" w:space="6" w:color="B8933F"/>
        </w:pBdr>
        <w:bidi/>
        <w:spacing w:before="480" w:after="240"/>
      </w:pPr>
      <w:r>
        <w:rPr>
          <w:b/>
          <w:bCs/>
          <w:color w:val="1B2A4A"/>
        </w:rPr>
        <w:t>المحور السادس (مستحدَث): قراءة مقارِنة معمَّقة — الاستخلاف في ميزان النقد الفلسفي الغربي المعاصر للتقنية</w:t>
      </w:r>
    </w:p>
    <w:p w14:paraId="11538D48" w14:textId="77777777" w:rsidR="009F1F6F" w:rsidRDefault="00275096" w:rsidP="000B6BD6">
      <w:pPr>
        <w:spacing w:after="200" w:line="340" w:lineRule="auto"/>
      </w:pPr>
      <w:r>
        <w:rPr>
          <w:color w:val="222222"/>
        </w:rPr>
        <w:t>يخصص هذا المحور المستحدث، إسهاماً في تعميق الدراسة الأصلية، لعقد مقارنة منهجية منظمة بين الإطار الاستخلافي وثلاثة من أبرز الأطر النقدية الغربية المعاصرة للتقنية، بغرض تحديد مواطن التقاطع والتمايز بدقة، وتوضيح الإضافة النوعية التي يقدمها التأصيل الاستخلافي.</w:t>
      </w:r>
    </w:p>
    <w:p w14:paraId="4D5FBFEC" w14:textId="77777777" w:rsidR="009F1F6F" w:rsidRDefault="00275096" w:rsidP="000B6BD6">
      <w:pPr>
        <w:pStyle w:val="2"/>
        <w:bidi/>
        <w:spacing w:before="360" w:after="180"/>
      </w:pPr>
      <w:r>
        <w:rPr>
          <w:b/>
          <w:bCs/>
          <w:color w:val="1E6B6B"/>
          <w:sz w:val="28"/>
          <w:szCs w:val="28"/>
        </w:rPr>
        <w:t>٦.١ الاستخلاف وهايدغر: من "الانكشاف" إلى "الاستخلاف"</w:t>
      </w:r>
    </w:p>
    <w:p w14:paraId="6D52A67C" w14:textId="77777777" w:rsidR="009F1F6F" w:rsidRDefault="00275096" w:rsidP="000B6BD6">
      <w:pPr>
        <w:spacing w:after="200" w:line="340" w:lineRule="auto"/>
      </w:pPr>
      <w:r>
        <w:rPr>
          <w:color w:val="222222"/>
        </w:rPr>
        <w:t>يشترك الإطاران في رفض اختزال التقنية إلى "أداة محايدة"، وفي التنبيه إلى أن للتقنية "منطقاً" داخلياً يعيد تشكيل علاقة الإنسان بالوجود وبذاته. غير أن الحل الهايدغري يظل، في نهاية المطاف، حلاً شعرياً-تأملياً غامضاً (استعادة "الانفتاح على الوجود" عبر الفن والشعر)، يفتقر إلى برنامج أخلاقي-عملي محدد المعالم. بينما يقدم الإطار الاستخلافي، عبر منظومة العبادات والمقاصد الشرعية، برنامجاً عملياً محدد الخطوات (الصلاة، الذكر، الصوم الرقمي، الإحسان) قابلاً للتطبيق الفردي والمؤسسي المباشر، وهو ما يمنحه أفضلية تطبيقية واضحة رغم الاشتراك المفاهيمي في نقد "الأداتية التقنية".</w:t>
      </w:r>
    </w:p>
    <w:p w14:paraId="16C9D684" w14:textId="77777777" w:rsidR="009F1F6F" w:rsidRDefault="00275096" w:rsidP="000B6BD6">
      <w:pPr>
        <w:pStyle w:val="2"/>
        <w:bidi/>
        <w:spacing w:before="360" w:after="180"/>
      </w:pPr>
      <w:r>
        <w:rPr>
          <w:b/>
          <w:bCs/>
          <w:color w:val="1E6B6B"/>
          <w:sz w:val="28"/>
          <w:szCs w:val="28"/>
        </w:rPr>
        <w:t>٦.٢ الاستخلاف وبيونغ-تشول هان: نقد "مجتمع الإنجاز" من موقعين مختلفين</w:t>
      </w:r>
    </w:p>
    <w:p w14:paraId="583735FB" w14:textId="77777777" w:rsidR="009F1F6F" w:rsidRDefault="00275096" w:rsidP="000B6BD6">
      <w:pPr>
        <w:spacing w:after="200" w:line="340" w:lineRule="auto"/>
      </w:pPr>
      <w:r>
        <w:rPr>
          <w:color w:val="222222"/>
        </w:rPr>
        <w:t>يلتقي التشخيصان بدقة لافتة في وصف آلية "السيطرة الناعمة" عبر الإيجابية والإشباع لا القمع والحرمان. لكن الاختلاف الجوهري يكمن في مصدر "الحل" المقترح: يقترح هان حلاً علمانياً قائماً على استعادة "التأمل" و"الملل الأساسي الخلّاق" (Deep Boredom) بمعزل عن أي مرجعية متعالية، وهو حل يظل عرضة لنقد جوهري: من أين يستمد "التأمل" غايته إن لم يكن هناك متعالٍ يُتأمَّل فيه أو نحوه؟ بينما يربط الإطار الاستخلافي التأمل المطلوب (التفكر) مباشرة بغاية متعالية محددة (التقرب من الله ومعرفته)، فيمنح فعل الانقطاع عن الضجيج الرقمي اتجاهاً وجودياً واضحاً يتجاوز مجرد "الراحة من الإرهاق" إلى "العبادة الواعية"، وهو تمايز جوهري بين حل "سلبي-علاجي" (تخفيف الإرهاق) وحل "إيجابي-غائي" (تحقيق العبودية الاختيارية لله).</w:t>
      </w:r>
    </w:p>
    <w:p w14:paraId="591EC895" w14:textId="77777777" w:rsidR="009F1F6F" w:rsidRDefault="00275096" w:rsidP="000B6BD6">
      <w:pPr>
        <w:pStyle w:val="2"/>
        <w:bidi/>
        <w:spacing w:before="360" w:after="180"/>
      </w:pPr>
      <w:r>
        <w:rPr>
          <w:b/>
          <w:bCs/>
          <w:color w:val="1E6B6B"/>
          <w:sz w:val="28"/>
          <w:szCs w:val="28"/>
        </w:rPr>
        <w:t>٦.٣ الاستخلاف وزوبوف: من نقد "الاستخراج" إلى تأصيل "الأمانة"</w:t>
      </w:r>
    </w:p>
    <w:p w14:paraId="0D01D346" w14:textId="77777777" w:rsidR="009F1F6F" w:rsidRDefault="00275096" w:rsidP="000B6BD6">
      <w:pPr>
        <w:spacing w:after="200" w:line="340" w:lineRule="auto"/>
      </w:pPr>
      <w:r>
        <w:rPr>
          <w:color w:val="222222"/>
        </w:rPr>
        <w:t>يلتقي الإطاران في تشخيص المخاطر البنيوية لأنظمة استخراج البيانات السلوكية والتحكم فيها، لكن زوبوف تكتفي بالدفاع عن "الحق في المستقبل الزمني" (The Right to a Human Future) استناداً إلى مرجعية حقوقية ليبرالية علمانية (استقلالية الفرد وحقه في تقرير مصيره)، بينما يؤسس الإطار الاستخلافي دفاعه المماثل على مفهوم "الأمانة" القرآنية: أن حرية الاختيار والإرادة ليست حقاً فردياً تعاقدياً فحسب، بل هي أمانة إلهية يُحاسَب عليها الإنسان يوم القيامة، وأن انتهاك هذه الحرية عبر التلاعب الخوارزمي ليس فقط انتهاكاً لـ"حق مدني" بل إخلالاً بشرط تكليفي أساسي يمس صحة الاستخلاف ذاته. وهذا يمنح الحجة الاستخلافية ثقلاً أنطولوجياً-تكليفياً يتجاوز الحجة الحقوقية العلمانية المحضة، وإن كان يستدعي، في المقابل، تطوير آليات ترجمة عملية لهذا الثقل الأخلاقي إلى أطر تشريعية قابلة للتطبيق في سياقات تعددية.</w:t>
      </w:r>
    </w:p>
    <w:p w14:paraId="1A12E16D" w14:textId="77777777" w:rsidR="009F1F6F" w:rsidRDefault="00275096" w:rsidP="000B6BD6">
      <w:pPr>
        <w:pStyle w:val="1"/>
        <w:pBdr>
          <w:bottom w:val="single" w:sz="8" w:space="6" w:color="B8933F"/>
        </w:pBdr>
        <w:bidi/>
        <w:spacing w:before="480" w:after="240"/>
      </w:pPr>
      <w:r>
        <w:rPr>
          <w:b/>
          <w:bCs/>
          <w:color w:val="1B2A4A"/>
        </w:rPr>
        <w:t>خاتمة: عصر الذكاء — اختبار الخلافة وفرصة الإحسان</w:t>
      </w:r>
    </w:p>
    <w:p w14:paraId="615EC087" w14:textId="77777777" w:rsidR="009F1F6F" w:rsidRDefault="00275096" w:rsidP="000B6BD6">
      <w:pPr>
        <w:spacing w:after="200" w:line="340" w:lineRule="auto"/>
      </w:pPr>
      <w:r>
        <w:rPr>
          <w:color w:val="222222"/>
        </w:rPr>
        <w:t>في ختام هذه الدراسة الموسعة، نخلص إلى أن عصر ما بعد الذكاء الاصطناعي، كما يحلله عبد السلام الزراع، ليس نهاية الإنسان، بل هو على العكس الاختبار الأعظم لصفة الخلافة والفرصة الأكبر لإثبات إنسانيته. الآلة يمكنها أن تحاكي الذكاء المعرفي، لكنها حتماً عاجزة عن امتلاك المسؤولية الائتمانية والشوق الوجودي والضمير الأخلاقي. والإنسان في هذا العصر مطالَب بشكل أكثر إلحاحاً من أي وقت مضى بأن ينتقل من المستهلك السلبي إلى المنتج المُحسِن للقيم، وأن يستخدم أدوات التزكية (الصلاة، الذكر، التدبر) لحماية وعيه وفطرته من الذوبان في الوكلاء الأذكياء.</w:t>
      </w:r>
    </w:p>
    <w:p w14:paraId="0B0CE226" w14:textId="77777777" w:rsidR="009F1F6F" w:rsidRDefault="00275096" w:rsidP="000B6BD6">
      <w:pPr>
        <w:spacing w:after="200" w:line="340" w:lineRule="auto"/>
      </w:pPr>
      <w:r>
        <w:rPr>
          <w:color w:val="222222"/>
        </w:rPr>
        <w:t>وقد سعت هذه الدراسة الموسعة إلى إثبات أن هذا التأصيل، حين يوضع في حوار نقدي منهجي مع أبرز الأطر الفلسفية والاجتماعية الغربية المعاصرة (هايدغر، هان، زوبوف، بوستروم، رَسِل)، لا يخرج منه ضعيفاً بل يخرج مُعزَّزاً بقدرة تفسيرية تفوق أحياناً الأطر العلمانية المقارَنة، تحديداً في نقطتين محوريتين: أولاً، امتلاكه لتفسير أنطولوجي-غائي لأصل الضعف الإنساني (ثغرة الفجور في الفطرة) لا يكتفي بالوصف السلوكي المحض؛ وثانياً، تأسيسه للحل الفردي والمؤسسي على مرجعية متعالية ثابتة توفر استقراراً معيارياً لا توفره الحلول البنائية النسبية للمعنى والأخلاق.</w:t>
      </w:r>
    </w:p>
    <w:p w14:paraId="084C7CE3" w14:textId="77777777" w:rsidR="009F1F6F" w:rsidRDefault="00275096" w:rsidP="000B6BD6">
      <w:pPr>
        <w:spacing w:after="200" w:line="340" w:lineRule="auto"/>
      </w:pPr>
      <w:r>
        <w:rPr>
          <w:color w:val="222222"/>
        </w:rPr>
        <w:t>غير أن الدراسة كشفت أيضاً عن ثغرتين تستحقان معالجة بحثية لاحقة: الأولى هي الحاجة إلى تطوير مستوى تحليلي بنيوي-مؤسسي أكثر تفصيلاً يتناول آليات "الدولة الاستخلافية" العملية في تنظيم صناعة التقنية لا الاكتفاء بالمستوى الفردي-الأخلاقي؛ والثانية هي الحاجة إلى دراسات إكلينيكية تجريبية تختبر فعالية "أدوات التزكية الرقمية" (الصوم الرقمي، الذكر المنظَّم) في تحسين مؤشرات الصحة النفسية المرتبطة بالإدمان الرقمي، بما يترجم الأطروحة النظرية إلى بروتوكول علاجي وقائي قابل للقياس ضمن منظومة TLRT.</w:t>
      </w:r>
    </w:p>
    <w:p w14:paraId="795FC2F7" w14:textId="77777777" w:rsidR="009F1F6F" w:rsidRDefault="00275096" w:rsidP="000B6BD6">
      <w:pPr>
        <w:spacing w:after="200" w:line="340" w:lineRule="auto"/>
      </w:pPr>
      <w:r>
        <w:rPr>
          <w:color w:val="222222"/>
        </w:rPr>
        <w:t>وبهذا، تبقى الآية الكريمة ناظماً كلياً لهذه القراءة بأسرها، إذ تُذكِّر الإنسان — في أوج ثورته التقنية — بالغاية التي لا تتبدل مهما تبدلت الأدوات:</w:t>
      </w:r>
    </w:p>
    <w:p w14:paraId="69C767E7" w14:textId="77777777" w:rsidR="009F1F6F" w:rsidRDefault="00275096" w:rsidP="000B6BD6">
      <w:pPr>
        <w:pBdr>
          <w:top w:val="single" w:sz="6" w:space="8" w:color="B8933F"/>
          <w:bottom w:val="single" w:sz="6" w:space="8" w:color="B8933F"/>
        </w:pBdr>
        <w:shd w:val="clear" w:color="auto" w:fill="F4EFE1"/>
        <w:spacing w:before="240" w:after="240"/>
      </w:pPr>
      <w:r>
        <w:rPr>
          <w:b/>
          <w:bCs/>
          <w:color w:val="1B2A4A"/>
          <w:sz w:val="30"/>
          <w:szCs w:val="30"/>
        </w:rPr>
        <w:t>{وَمَا خَلَقْتُ الْجِنَّ وَالْإِنسَ إِلَّا لِيَعْبُدُونِ} [الذاريات: 56]</w:t>
      </w:r>
    </w:p>
    <w:p w14:paraId="21E9F198" w14:textId="77777777" w:rsidR="009F1F6F" w:rsidRDefault="00275096" w:rsidP="000B6BD6">
      <w:r>
        <w:br w:type="page"/>
      </w:r>
    </w:p>
    <w:p w14:paraId="26E6248B" w14:textId="77777777" w:rsidR="009F1F6F" w:rsidRDefault="00275096" w:rsidP="000B6BD6">
      <w:pPr>
        <w:pStyle w:val="1"/>
        <w:pBdr>
          <w:bottom w:val="single" w:sz="8" w:space="6" w:color="B8933F"/>
        </w:pBdr>
        <w:bidi/>
        <w:spacing w:before="480" w:after="240"/>
      </w:pPr>
      <w:r>
        <w:rPr>
          <w:b/>
          <w:bCs/>
          <w:color w:val="1B2A4A"/>
        </w:rPr>
        <w:t>المراجع والمصادر</w:t>
      </w:r>
    </w:p>
    <w:p w14:paraId="6614B78B" w14:textId="77777777" w:rsidR="009F1F6F" w:rsidRDefault="00275096" w:rsidP="000B6BD6">
      <w:pPr>
        <w:spacing w:before="240" w:after="140"/>
      </w:pPr>
      <w:r>
        <w:rPr>
          <w:b/>
          <w:bCs/>
          <w:color w:val="1E6B6B"/>
        </w:rPr>
        <w:t>أولاً: المصادر الأساسية (النموذج الاستخلافي)</w:t>
      </w:r>
    </w:p>
    <w:p w14:paraId="43D24189" w14:textId="77777777" w:rsidR="009F1F6F" w:rsidRDefault="00275096" w:rsidP="000B6BD6">
      <w:pPr>
        <w:spacing w:after="120" w:line="300" w:lineRule="auto"/>
        <w:ind w:left="360"/>
      </w:pPr>
      <w:r>
        <w:rPr>
          <w:b/>
          <w:bCs/>
          <w:color w:val="B8933F"/>
          <w:sz w:val="24"/>
          <w:szCs w:val="24"/>
        </w:rPr>
        <w:t xml:space="preserve">1. </w:t>
      </w:r>
      <w:r>
        <w:rPr>
          <w:color w:val="222222"/>
          <w:sz w:val="24"/>
          <w:szCs w:val="24"/>
        </w:rPr>
        <w:t>الزراع، عبد السلام. (2026). العلاج بحرث المصالحة التحويلية (TLRT): الدليل النظري والإكلينيكي. (الطبعة التجريبية الأولى).</w:t>
      </w:r>
    </w:p>
    <w:p w14:paraId="74291024" w14:textId="77777777" w:rsidR="009F1F6F" w:rsidRDefault="00275096" w:rsidP="000B6BD6">
      <w:pPr>
        <w:spacing w:after="120" w:line="300" w:lineRule="auto"/>
        <w:ind w:left="360"/>
      </w:pPr>
      <w:r>
        <w:rPr>
          <w:b/>
          <w:bCs/>
          <w:color w:val="B8933F"/>
          <w:sz w:val="24"/>
          <w:szCs w:val="24"/>
        </w:rPr>
        <w:t xml:space="preserve">2. </w:t>
      </w:r>
      <w:r>
        <w:rPr>
          <w:color w:val="222222"/>
          <w:sz w:val="24"/>
          <w:szCs w:val="24"/>
        </w:rPr>
        <w:t>الزراع، عبد السلام. (2026). الفصام الأخلاقي ومصدر الأزمات النفسية: قراءة في ضوء نظرية TLRT.</w:t>
      </w:r>
    </w:p>
    <w:p w14:paraId="665D1A14" w14:textId="77777777" w:rsidR="009F1F6F" w:rsidRDefault="00275096" w:rsidP="000B6BD6">
      <w:pPr>
        <w:spacing w:after="120" w:line="300" w:lineRule="auto"/>
        <w:ind w:left="360"/>
      </w:pPr>
      <w:r>
        <w:rPr>
          <w:b/>
          <w:bCs/>
          <w:color w:val="B8933F"/>
          <w:sz w:val="24"/>
          <w:szCs w:val="24"/>
        </w:rPr>
        <w:t xml:space="preserve">3. </w:t>
      </w:r>
      <w:r>
        <w:rPr>
          <w:color w:val="222222"/>
          <w:sz w:val="24"/>
          <w:szCs w:val="24"/>
        </w:rPr>
        <w:t>الزراع، عبد السلام. (2026). الإنسان المعاصر بين الخوارزمية والوحي. (أطروحة ثالثة).</w:t>
      </w:r>
    </w:p>
    <w:p w14:paraId="1CBE6BC7" w14:textId="77777777" w:rsidR="009F1F6F" w:rsidRDefault="00275096" w:rsidP="000B6BD6">
      <w:pPr>
        <w:spacing w:before="240" w:after="140"/>
      </w:pPr>
      <w:r>
        <w:rPr>
          <w:b/>
          <w:bCs/>
          <w:color w:val="1E6B6B"/>
        </w:rPr>
        <w:t>ثانياً: مراجع في فلسفة التقنية والذكاء الاصطناعي</w:t>
      </w:r>
    </w:p>
    <w:p w14:paraId="50396418" w14:textId="77777777" w:rsidR="009F1F6F" w:rsidRDefault="00275096">
      <w:pPr>
        <w:spacing w:after="120" w:line="300" w:lineRule="auto"/>
        <w:ind w:left="360"/>
        <w:jc w:val="both"/>
      </w:pPr>
      <w:r>
        <w:rPr>
          <w:b/>
          <w:bCs/>
          <w:color w:val="B8933F"/>
          <w:sz w:val="24"/>
          <w:szCs w:val="24"/>
        </w:rPr>
        <w:t xml:space="preserve">1. </w:t>
      </w:r>
      <w:r>
        <w:rPr>
          <w:color w:val="222222"/>
          <w:sz w:val="24"/>
          <w:szCs w:val="24"/>
        </w:rPr>
        <w:t>Altman, S. (2023). The Intelligence Age. OpenAI Blog.</w:t>
      </w:r>
    </w:p>
    <w:p w14:paraId="44C1CC67" w14:textId="77777777" w:rsidR="009F1F6F" w:rsidRDefault="00275096">
      <w:pPr>
        <w:spacing w:after="120" w:line="300" w:lineRule="auto"/>
        <w:ind w:left="360"/>
        <w:jc w:val="both"/>
      </w:pPr>
      <w:r>
        <w:rPr>
          <w:b/>
          <w:bCs/>
          <w:color w:val="B8933F"/>
          <w:sz w:val="24"/>
          <w:szCs w:val="24"/>
        </w:rPr>
        <w:t xml:space="preserve">2. </w:t>
      </w:r>
      <w:r>
        <w:rPr>
          <w:color w:val="222222"/>
          <w:sz w:val="24"/>
          <w:szCs w:val="24"/>
        </w:rPr>
        <w:t>Bostrom, N. (2014). Superintelligence: Paths, Dangers, Strategies. Oxford: Oxford University Press.</w:t>
      </w:r>
    </w:p>
    <w:p w14:paraId="59CB6388" w14:textId="77777777" w:rsidR="009F1F6F" w:rsidRDefault="00275096">
      <w:pPr>
        <w:spacing w:after="120" w:line="300" w:lineRule="auto"/>
        <w:ind w:left="360"/>
        <w:jc w:val="both"/>
      </w:pPr>
      <w:r>
        <w:rPr>
          <w:b/>
          <w:bCs/>
          <w:color w:val="B8933F"/>
          <w:sz w:val="24"/>
          <w:szCs w:val="24"/>
        </w:rPr>
        <w:t xml:space="preserve">3. </w:t>
      </w:r>
      <w:r>
        <w:rPr>
          <w:color w:val="222222"/>
          <w:sz w:val="24"/>
          <w:szCs w:val="24"/>
        </w:rPr>
        <w:t>Russell, S. (2019). Human Compatible: Artificial Intelligence and the Problem of Control. New York: Viking.</w:t>
      </w:r>
    </w:p>
    <w:p w14:paraId="6AB6499F" w14:textId="77777777" w:rsidR="009F1F6F" w:rsidRDefault="00275096">
      <w:pPr>
        <w:spacing w:after="120" w:line="300" w:lineRule="auto"/>
        <w:ind w:left="360"/>
        <w:jc w:val="both"/>
      </w:pPr>
      <w:r>
        <w:rPr>
          <w:b/>
          <w:bCs/>
          <w:color w:val="B8933F"/>
          <w:sz w:val="24"/>
          <w:szCs w:val="24"/>
        </w:rPr>
        <w:t xml:space="preserve">4. </w:t>
      </w:r>
      <w:r>
        <w:rPr>
          <w:color w:val="222222"/>
          <w:sz w:val="24"/>
          <w:szCs w:val="24"/>
        </w:rPr>
        <w:t>Heidegger, M. (1977). The Question Concerning Technology and Other Essays (W. Lovitt, Trans.). New York: Harper &amp; Row.</w:t>
      </w:r>
    </w:p>
    <w:p w14:paraId="6E334435" w14:textId="77777777" w:rsidR="009F1F6F" w:rsidRDefault="00275096">
      <w:pPr>
        <w:spacing w:before="240" w:after="140"/>
        <w:jc w:val="right"/>
      </w:pPr>
      <w:r>
        <w:rPr>
          <w:b/>
          <w:bCs/>
          <w:color w:val="1E6B6B"/>
        </w:rPr>
        <w:t>ثالثاً: مراجع في نقد التقنية وعلم الاجتماع الرقمي وعلم النفس</w:t>
      </w:r>
    </w:p>
    <w:p w14:paraId="3FCC913A" w14:textId="77777777" w:rsidR="009F1F6F" w:rsidRDefault="00275096">
      <w:pPr>
        <w:spacing w:after="120" w:line="300" w:lineRule="auto"/>
        <w:ind w:left="360"/>
        <w:jc w:val="both"/>
      </w:pPr>
      <w:r>
        <w:rPr>
          <w:b/>
          <w:bCs/>
          <w:color w:val="B8933F"/>
          <w:sz w:val="24"/>
          <w:szCs w:val="24"/>
        </w:rPr>
        <w:t xml:space="preserve">1. </w:t>
      </w:r>
      <w:r>
        <w:rPr>
          <w:color w:val="222222"/>
          <w:sz w:val="24"/>
          <w:szCs w:val="24"/>
        </w:rPr>
        <w:t>Zuboff, S. (2019). The Age of Surveillance Capitalism: The Fight for a Human Future at the New Frontier of Power. New York: PublicAffairs.</w:t>
      </w:r>
    </w:p>
    <w:p w14:paraId="25EC2E2C" w14:textId="77777777" w:rsidR="009F1F6F" w:rsidRDefault="00275096">
      <w:pPr>
        <w:spacing w:after="120" w:line="300" w:lineRule="auto"/>
        <w:ind w:left="360"/>
        <w:jc w:val="both"/>
      </w:pPr>
      <w:r>
        <w:rPr>
          <w:b/>
          <w:bCs/>
          <w:color w:val="B8933F"/>
          <w:sz w:val="24"/>
          <w:szCs w:val="24"/>
        </w:rPr>
        <w:t xml:space="preserve">2. </w:t>
      </w:r>
      <w:r>
        <w:rPr>
          <w:color w:val="222222"/>
          <w:sz w:val="24"/>
          <w:szCs w:val="24"/>
        </w:rPr>
        <w:t>Carr, N. (2010). The Shallows: What the Internet Is Doing to Our Brains. New York: W. W. Norton &amp; Company.</w:t>
      </w:r>
    </w:p>
    <w:p w14:paraId="70B40820" w14:textId="77777777" w:rsidR="009F1F6F" w:rsidRDefault="00275096">
      <w:pPr>
        <w:spacing w:after="120" w:line="300" w:lineRule="auto"/>
        <w:ind w:left="360"/>
        <w:jc w:val="both"/>
      </w:pPr>
      <w:r>
        <w:rPr>
          <w:b/>
          <w:bCs/>
          <w:color w:val="B8933F"/>
          <w:sz w:val="24"/>
          <w:szCs w:val="24"/>
        </w:rPr>
        <w:t xml:space="preserve">3. </w:t>
      </w:r>
      <w:r>
        <w:rPr>
          <w:color w:val="222222"/>
          <w:sz w:val="24"/>
          <w:szCs w:val="24"/>
        </w:rPr>
        <w:t>Han, B.-C. (2015). The Burnout Society (E. Butler, Trans.). Stanford: Stanford University Press.</w:t>
      </w:r>
    </w:p>
    <w:p w14:paraId="45A8B207" w14:textId="77777777" w:rsidR="009F1F6F" w:rsidRDefault="00275096">
      <w:pPr>
        <w:spacing w:after="120" w:line="300" w:lineRule="auto"/>
        <w:ind w:left="360"/>
        <w:jc w:val="both"/>
      </w:pPr>
      <w:r>
        <w:rPr>
          <w:b/>
          <w:bCs/>
          <w:color w:val="B8933F"/>
          <w:sz w:val="24"/>
          <w:szCs w:val="24"/>
        </w:rPr>
        <w:t xml:space="preserve">4. </w:t>
      </w:r>
      <w:r>
        <w:rPr>
          <w:color w:val="222222"/>
          <w:sz w:val="24"/>
          <w:szCs w:val="24"/>
        </w:rPr>
        <w:t>Han, B.-C. (2017). The Transparency Society (E. Butler, Trans.). Stanford: Stanford University Press.</w:t>
      </w:r>
    </w:p>
    <w:p w14:paraId="73C2A0DD" w14:textId="77777777" w:rsidR="009F1F6F" w:rsidRDefault="00275096">
      <w:pPr>
        <w:spacing w:after="120" w:line="300" w:lineRule="auto"/>
        <w:ind w:left="360"/>
        <w:jc w:val="both"/>
      </w:pPr>
      <w:r>
        <w:rPr>
          <w:b/>
          <w:bCs/>
          <w:color w:val="B8933F"/>
          <w:sz w:val="24"/>
          <w:szCs w:val="24"/>
        </w:rPr>
        <w:t xml:space="preserve">5. </w:t>
      </w:r>
      <w:r>
        <w:rPr>
          <w:color w:val="222222"/>
          <w:sz w:val="24"/>
          <w:szCs w:val="24"/>
        </w:rPr>
        <w:t>Pariser, E. (2011). The Filter Bubble: What the Internet Is Hiding from You. New York: Penguin Press.</w:t>
      </w:r>
    </w:p>
    <w:p w14:paraId="0CA234D3" w14:textId="77777777" w:rsidR="009F1F6F" w:rsidRDefault="00275096">
      <w:pPr>
        <w:spacing w:after="120" w:line="300" w:lineRule="auto"/>
        <w:ind w:left="360"/>
        <w:jc w:val="both"/>
      </w:pPr>
      <w:r>
        <w:rPr>
          <w:b/>
          <w:bCs/>
          <w:color w:val="B8933F"/>
          <w:sz w:val="24"/>
          <w:szCs w:val="24"/>
        </w:rPr>
        <w:t xml:space="preserve">6. </w:t>
      </w:r>
      <w:r>
        <w:rPr>
          <w:color w:val="222222"/>
          <w:sz w:val="24"/>
          <w:szCs w:val="24"/>
        </w:rPr>
        <w:t>Wu, T. (2016). The Attention Merchants: The Epic Scramble to Get Inside Our Heads. New York: Knopf.</w:t>
      </w:r>
    </w:p>
    <w:p w14:paraId="45D143C4" w14:textId="77777777" w:rsidR="009F1F6F" w:rsidRDefault="00275096">
      <w:pPr>
        <w:spacing w:after="120" w:line="300" w:lineRule="auto"/>
        <w:ind w:left="360"/>
        <w:jc w:val="both"/>
      </w:pPr>
      <w:r>
        <w:rPr>
          <w:b/>
          <w:bCs/>
          <w:color w:val="B8933F"/>
          <w:sz w:val="24"/>
          <w:szCs w:val="24"/>
        </w:rPr>
        <w:t xml:space="preserve">7. </w:t>
      </w:r>
      <w:r>
        <w:rPr>
          <w:color w:val="222222"/>
          <w:sz w:val="24"/>
          <w:szCs w:val="24"/>
        </w:rPr>
        <w:t>Frankl, V. E. (1959). Man's Search for Meaning. Boston: Beacon Press.</w:t>
      </w:r>
    </w:p>
    <w:p w14:paraId="08218A20" w14:textId="77777777" w:rsidR="009F1F6F" w:rsidRDefault="00275096">
      <w:pPr>
        <w:spacing w:after="120" w:line="300" w:lineRule="auto"/>
        <w:ind w:left="360"/>
        <w:jc w:val="both"/>
      </w:pPr>
      <w:r>
        <w:rPr>
          <w:b/>
          <w:bCs/>
          <w:color w:val="B8933F"/>
          <w:sz w:val="24"/>
          <w:szCs w:val="24"/>
        </w:rPr>
        <w:t xml:space="preserve">8. </w:t>
      </w:r>
      <w:r>
        <w:rPr>
          <w:color w:val="222222"/>
          <w:sz w:val="24"/>
          <w:szCs w:val="24"/>
        </w:rPr>
        <w:t>Arendt, H. (1958). The Human Condition. Chicago: University of Chicago Press.</w:t>
      </w:r>
    </w:p>
    <w:p w14:paraId="09BCB1E3" w14:textId="77777777" w:rsidR="009F1F6F" w:rsidRDefault="00275096">
      <w:pPr>
        <w:spacing w:after="120" w:line="300" w:lineRule="auto"/>
        <w:ind w:left="360"/>
        <w:jc w:val="both"/>
      </w:pPr>
      <w:r>
        <w:rPr>
          <w:b/>
          <w:bCs/>
          <w:color w:val="B8933F"/>
          <w:sz w:val="24"/>
          <w:szCs w:val="24"/>
        </w:rPr>
        <w:t xml:space="preserve">9. </w:t>
      </w:r>
      <w:r>
        <w:rPr>
          <w:color w:val="222222"/>
          <w:sz w:val="24"/>
          <w:szCs w:val="24"/>
        </w:rPr>
        <w:t>Weber, M. (1930). The Protestant Ethic and the Spirit of Capitalism (T. Parsons, Trans.). London: Allen &amp; Unwin.</w:t>
      </w:r>
    </w:p>
    <w:p w14:paraId="27011726" w14:textId="77777777" w:rsidR="009F1F6F" w:rsidRDefault="00275096">
      <w:pPr>
        <w:spacing w:after="120" w:line="300" w:lineRule="auto"/>
        <w:ind w:left="360"/>
        <w:jc w:val="both"/>
      </w:pPr>
      <w:r>
        <w:rPr>
          <w:b/>
          <w:bCs/>
          <w:color w:val="B8933F"/>
          <w:sz w:val="24"/>
          <w:szCs w:val="24"/>
        </w:rPr>
        <w:t xml:space="preserve">10. </w:t>
      </w:r>
      <w:r>
        <w:rPr>
          <w:color w:val="222222"/>
          <w:sz w:val="24"/>
          <w:szCs w:val="24"/>
        </w:rPr>
        <w:t>Fogg, B. J. (2009). A Behavior Model for Persuasive Design. Proceedings of the 4th International Conference on Persuasive Technology.</w:t>
      </w:r>
    </w:p>
    <w:p w14:paraId="6FE1E3CB" w14:textId="77777777" w:rsidR="009F1F6F" w:rsidRDefault="00275096">
      <w:pPr>
        <w:spacing w:before="240" w:after="140"/>
        <w:jc w:val="right"/>
      </w:pPr>
      <w:r>
        <w:rPr>
          <w:b/>
          <w:bCs/>
          <w:color w:val="1E6B6B"/>
        </w:rPr>
        <w:t>رابعاً: مراجع في التراث الإسلامي وأصول الفقه ومقاصد الشريعة</w:t>
      </w:r>
    </w:p>
    <w:p w14:paraId="47ECDE87" w14:textId="77777777" w:rsidR="009F1F6F" w:rsidRDefault="00275096">
      <w:pPr>
        <w:spacing w:after="120" w:line="300" w:lineRule="auto"/>
        <w:ind w:left="360"/>
        <w:jc w:val="both"/>
      </w:pPr>
      <w:r>
        <w:rPr>
          <w:b/>
          <w:bCs/>
          <w:color w:val="B8933F"/>
          <w:sz w:val="24"/>
          <w:szCs w:val="24"/>
        </w:rPr>
        <w:t xml:space="preserve">1. </w:t>
      </w:r>
      <w:r>
        <w:rPr>
          <w:color w:val="222222"/>
          <w:sz w:val="24"/>
          <w:szCs w:val="24"/>
        </w:rPr>
        <w:t>القرآن الكريم.</w:t>
      </w:r>
    </w:p>
    <w:p w14:paraId="6521BD94" w14:textId="77777777" w:rsidR="009F1F6F" w:rsidRDefault="00275096">
      <w:pPr>
        <w:spacing w:after="120" w:line="300" w:lineRule="auto"/>
        <w:ind w:left="360"/>
        <w:jc w:val="both"/>
      </w:pPr>
      <w:r>
        <w:rPr>
          <w:b/>
          <w:bCs/>
          <w:color w:val="B8933F"/>
          <w:sz w:val="24"/>
          <w:szCs w:val="24"/>
        </w:rPr>
        <w:t xml:space="preserve">2. </w:t>
      </w:r>
      <w:r>
        <w:rPr>
          <w:color w:val="222222"/>
          <w:sz w:val="24"/>
          <w:szCs w:val="24"/>
        </w:rPr>
        <w:t>الغزالي، أبو حامد. (د.ت.). إحياء علوم الدين. بيروت: دار المعرفة.</w:t>
      </w:r>
    </w:p>
    <w:p w14:paraId="5A72BD1E" w14:textId="77777777" w:rsidR="009F1F6F" w:rsidRDefault="00275096">
      <w:pPr>
        <w:spacing w:after="120" w:line="300" w:lineRule="auto"/>
        <w:ind w:left="360"/>
        <w:jc w:val="both"/>
      </w:pPr>
      <w:r>
        <w:rPr>
          <w:b/>
          <w:bCs/>
          <w:color w:val="B8933F"/>
          <w:sz w:val="24"/>
          <w:szCs w:val="24"/>
        </w:rPr>
        <w:t xml:space="preserve">3. </w:t>
      </w:r>
      <w:r>
        <w:rPr>
          <w:color w:val="222222"/>
          <w:sz w:val="24"/>
          <w:szCs w:val="24"/>
        </w:rPr>
        <w:t>الشاطبي، إبراهيم بن موسى. (د.ت.). الموافقات في أصول الشريعة. تحقيق: أبو عبيدة مشهور بن حسن آل سلمان.</w:t>
      </w:r>
    </w:p>
    <w:p w14:paraId="7ECE0661" w14:textId="77777777" w:rsidR="009F1F6F" w:rsidRDefault="00275096">
      <w:pPr>
        <w:spacing w:after="120" w:line="300" w:lineRule="auto"/>
        <w:ind w:left="360"/>
        <w:jc w:val="both"/>
      </w:pPr>
      <w:r>
        <w:rPr>
          <w:b/>
          <w:bCs/>
          <w:color w:val="B8933F"/>
          <w:sz w:val="24"/>
          <w:szCs w:val="24"/>
        </w:rPr>
        <w:t xml:space="preserve">4. </w:t>
      </w:r>
      <w:r>
        <w:rPr>
          <w:color w:val="222222"/>
          <w:sz w:val="24"/>
          <w:szCs w:val="24"/>
        </w:rPr>
        <w:t>ابن القيم الجوزية. (د.ت.). مدارج السالكين بين منازل إياك نعبد وإياك نستعين.</w:t>
      </w:r>
    </w:p>
    <w:sectPr w:rsidR="009F1F6F">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CCFA4" w14:textId="77777777" w:rsidR="006C6A94" w:rsidRDefault="006C6A94">
      <w:r>
        <w:separator/>
      </w:r>
    </w:p>
  </w:endnote>
  <w:endnote w:type="continuationSeparator" w:id="0">
    <w:p w14:paraId="4A666987" w14:textId="77777777" w:rsidR="006C6A94" w:rsidRDefault="006C6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DA9E" w14:textId="77777777" w:rsidR="009F1F6F" w:rsidRDefault="00275096">
    <w:pPr>
      <w:jc w:val="center"/>
    </w:pPr>
    <w:r>
      <w:rPr>
        <w:color w:val="1B2A4A"/>
        <w:sz w:val="18"/>
        <w:szCs w:val="18"/>
      </w:rPr>
      <w:fldChar w:fldCharType="begin"/>
    </w:r>
    <w:r>
      <w:rPr>
        <w:color w:val="1B2A4A"/>
        <w:sz w:val="18"/>
        <w:szCs w:val="18"/>
      </w:rPr>
      <w:instrText>PAGE</w:instrText>
    </w:r>
    <w:r>
      <w:rPr>
        <w:color w:val="1B2A4A"/>
        <w:sz w:val="18"/>
        <w:szCs w:val="18"/>
      </w:rPr>
      <w:fldChar w:fldCharType="separate"/>
    </w:r>
    <w:r>
      <w:rPr>
        <w:color w:val="1B2A4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BE837" w14:textId="77777777" w:rsidR="006C6A94" w:rsidRDefault="006C6A94">
      <w:r>
        <w:separator/>
      </w:r>
    </w:p>
  </w:footnote>
  <w:footnote w:type="continuationSeparator" w:id="0">
    <w:p w14:paraId="74EB6256" w14:textId="77777777" w:rsidR="006C6A94" w:rsidRDefault="006C6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FF6BE" w14:textId="77777777" w:rsidR="009F1F6F" w:rsidRDefault="00275096">
    <w:pPr>
      <w:pBdr>
        <w:bottom w:val="single" w:sz="4" w:space="4" w:color="B8933F"/>
      </w:pBdr>
      <w:jc w:val="center"/>
    </w:pPr>
    <w:r>
      <w:rPr>
        <w:color w:val="1E6B6B"/>
        <w:sz w:val="18"/>
        <w:szCs w:val="18"/>
      </w:rPr>
      <w:t>علم النفس الاستخلافي — عبد السلام الزراع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149F2"/>
    <w:multiLevelType w:val="hybridMultilevel"/>
    <w:tmpl w:val="FFFFFFFF"/>
    <w:lvl w:ilvl="0" w:tplc="04CA1DFC">
      <w:start w:val="1"/>
      <w:numFmt w:val="bullet"/>
      <w:lvlText w:val="●"/>
      <w:lvlJc w:val="left"/>
      <w:pPr>
        <w:ind w:left="720" w:hanging="360"/>
      </w:pPr>
    </w:lvl>
    <w:lvl w:ilvl="1" w:tplc="CAA0D4EE">
      <w:start w:val="1"/>
      <w:numFmt w:val="bullet"/>
      <w:lvlText w:val="○"/>
      <w:lvlJc w:val="left"/>
      <w:pPr>
        <w:ind w:left="1440" w:hanging="360"/>
      </w:pPr>
    </w:lvl>
    <w:lvl w:ilvl="2" w:tplc="431A8A90">
      <w:start w:val="1"/>
      <w:numFmt w:val="bullet"/>
      <w:lvlText w:val="■"/>
      <w:lvlJc w:val="left"/>
      <w:pPr>
        <w:ind w:left="2160" w:hanging="360"/>
      </w:pPr>
    </w:lvl>
    <w:lvl w:ilvl="3" w:tplc="50647E34">
      <w:start w:val="1"/>
      <w:numFmt w:val="bullet"/>
      <w:lvlText w:val="●"/>
      <w:lvlJc w:val="left"/>
      <w:pPr>
        <w:ind w:left="2880" w:hanging="360"/>
      </w:pPr>
    </w:lvl>
    <w:lvl w:ilvl="4" w:tplc="10584910">
      <w:start w:val="1"/>
      <w:numFmt w:val="bullet"/>
      <w:lvlText w:val="○"/>
      <w:lvlJc w:val="left"/>
      <w:pPr>
        <w:ind w:left="3600" w:hanging="360"/>
      </w:pPr>
    </w:lvl>
    <w:lvl w:ilvl="5" w:tplc="5F7A4936">
      <w:start w:val="1"/>
      <w:numFmt w:val="bullet"/>
      <w:lvlText w:val="■"/>
      <w:lvlJc w:val="left"/>
      <w:pPr>
        <w:ind w:left="4320" w:hanging="360"/>
      </w:pPr>
    </w:lvl>
    <w:lvl w:ilvl="6" w:tplc="1DB4C278">
      <w:start w:val="1"/>
      <w:numFmt w:val="bullet"/>
      <w:lvlText w:val="●"/>
      <w:lvlJc w:val="left"/>
      <w:pPr>
        <w:ind w:left="5040" w:hanging="360"/>
      </w:pPr>
    </w:lvl>
    <w:lvl w:ilvl="7" w:tplc="E7F07AFE">
      <w:start w:val="1"/>
      <w:numFmt w:val="bullet"/>
      <w:lvlText w:val="●"/>
      <w:lvlJc w:val="left"/>
      <w:pPr>
        <w:ind w:left="5760" w:hanging="360"/>
      </w:pPr>
    </w:lvl>
    <w:lvl w:ilvl="8" w:tplc="BE28A708">
      <w:start w:val="1"/>
      <w:numFmt w:val="bullet"/>
      <w:lvlText w:val="●"/>
      <w:lvlJc w:val="left"/>
      <w:pPr>
        <w:ind w:left="6480" w:hanging="360"/>
      </w:pPr>
    </w:lvl>
  </w:abstractNum>
  <w:num w:numId="1" w16cid:durableId="1331854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F6F"/>
    <w:rsid w:val="000B6BD6"/>
    <w:rsid w:val="001E22CE"/>
    <w:rsid w:val="00275096"/>
    <w:rsid w:val="006C6A94"/>
    <w:rsid w:val="0088328E"/>
    <w:rsid w:val="009F1F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777C831"/>
  <w15:docId w15:val="{E0924744-79FC-A340-94EC-69B811B1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6"/>
        <w:szCs w:val="2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4271</Words>
  <Characters>24345</Characters>
  <Application>Microsoft Office Word</Application>
  <DocSecurity>0</DocSecurity>
  <Lines>202</Lines>
  <Paragraphs>57</Paragraphs>
  <ScaleCrop>false</ScaleCrop>
  <Company/>
  <LinksUpToDate>false</LinksUpToDate>
  <CharactersWithSpaces>28559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3</cp:revision>
  <dcterms:created xsi:type="dcterms:W3CDTF">2026-08-18T06:03:00Z</dcterms:created>
  <dcterms:modified xsi:type="dcterms:W3CDTF">2026-08-18T17:13:00Z</dcterms:modified>
</cp:coreProperties>
</file>