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B90CE" w14:textId="42C9AEDC" w:rsidR="0049542D" w:rsidRDefault="00000000">
      <w:pPr>
        <w:spacing w:after="60"/>
        <w:jc w:val="center"/>
      </w:pPr>
      <w:r>
        <w:rPr>
          <w:rFonts w:ascii="Traditional Arabic" w:eastAsia="Traditional Arabic" w:hAnsi="Traditional Arabic" w:cs="Traditional Arabic" w:hint="cs"/>
          <w:b/>
          <w:bCs/>
          <w:color w:val="1F3864"/>
          <w:sz w:val="44"/>
          <w:szCs w:val="44"/>
          <w:rtl/>
        </w:rPr>
        <w:t>ق</w:t>
      </w:r>
      <w:r>
        <w:rPr>
          <w:rFonts w:ascii="Traditional Arabic" w:eastAsia="Traditional Arabic" w:hAnsi="Traditional Arabic" w:cs="Traditional Arabic"/>
          <w:b/>
          <w:bCs/>
          <w:color w:val="1F3864"/>
          <w:sz w:val="44"/>
          <w:szCs w:val="44"/>
          <w:rtl/>
        </w:rPr>
        <w:t xml:space="preserve">راءة </w:t>
      </w:r>
      <w:proofErr w:type="spellStart"/>
      <w:r>
        <w:rPr>
          <w:rFonts w:ascii="Traditional Arabic" w:eastAsia="Traditional Arabic" w:hAnsi="Traditional Arabic" w:cs="Traditional Arabic"/>
          <w:b/>
          <w:bCs/>
          <w:color w:val="1F3864"/>
          <w:sz w:val="44"/>
          <w:szCs w:val="44"/>
          <w:rtl/>
        </w:rPr>
        <w:t>لاكانية</w:t>
      </w:r>
      <w:proofErr w:type="spellEnd"/>
      <w:r>
        <w:rPr>
          <w:rFonts w:ascii="Traditional Arabic" w:eastAsia="Traditional Arabic" w:hAnsi="Traditional Arabic" w:cs="Traditional Arabic"/>
          <w:b/>
          <w:bCs/>
          <w:color w:val="1F3864"/>
          <w:sz w:val="44"/>
          <w:szCs w:val="44"/>
          <w:rtl/>
        </w:rPr>
        <w:t xml:space="preserve"> </w:t>
      </w:r>
    </w:p>
    <w:p w14:paraId="2EAF18B6" w14:textId="0A67D3A3" w:rsidR="0049542D" w:rsidRDefault="00000000">
      <w:pPr>
        <w:pBdr>
          <w:bottom w:val="single" w:sz="8" w:space="8" w:color="B8860B"/>
        </w:pBdr>
        <w:spacing w:after="200"/>
        <w:jc w:val="center"/>
        <w:rPr>
          <w:rtl/>
        </w:rPr>
      </w:pPr>
      <w:r>
        <w:rPr>
          <w:rFonts w:ascii="Traditional Arabic" w:eastAsia="Traditional Arabic" w:hAnsi="Traditional Arabic" w:cs="Traditional Arabic"/>
          <w:i/>
          <w:iCs/>
          <w:color w:val="0F6E6E"/>
          <w:sz w:val="26"/>
          <w:szCs w:val="26"/>
          <w:rtl/>
        </w:rPr>
        <w:t>ديناميكية السلطة الأبوية والاستقلال: دراسة  في الرغبة والاستعارة الأبوية والحقيقي الجسدي</w:t>
      </w:r>
    </w:p>
    <w:p w14:paraId="254C261B" w14:textId="2AA1798B" w:rsidR="006D40C3" w:rsidRDefault="006D40C3">
      <w:pPr>
        <w:pBdr>
          <w:bottom w:val="single" w:sz="8" w:space="8" w:color="B8860B"/>
        </w:pBdr>
        <w:spacing w:after="200"/>
        <w:jc w:val="center"/>
        <w:rPr>
          <w:rtl/>
        </w:rPr>
      </w:pPr>
      <w:r>
        <w:rPr>
          <w:rFonts w:hint="cs"/>
          <w:rtl/>
        </w:rPr>
        <w:t xml:space="preserve">الجزء الثاني </w:t>
      </w:r>
    </w:p>
    <w:p w14:paraId="6AAEBE47" w14:textId="07E88146" w:rsidR="006D40C3" w:rsidRDefault="006D40C3">
      <w:pPr>
        <w:pBdr>
          <w:bottom w:val="single" w:sz="8" w:space="8" w:color="B8860B"/>
        </w:pBdr>
        <w:spacing w:after="200"/>
        <w:jc w:val="center"/>
      </w:pPr>
      <w:r>
        <w:rPr>
          <w:rFonts w:hint="cs"/>
          <w:rtl/>
        </w:rPr>
        <w:t>بقلم عبد السلام الزراع</w:t>
      </w:r>
    </w:p>
    <w:p w14:paraId="0E53CAD9" w14:textId="77777777" w:rsidR="0049542D" w:rsidRDefault="00000000">
      <w:pPr>
        <w:spacing w:after="400"/>
        <w:jc w:val="center"/>
      </w:pPr>
      <w:r>
        <w:rPr>
          <w:rFonts w:ascii="Traditional Arabic" w:eastAsia="Traditional Arabic" w:hAnsi="Traditional Arabic" w:cs="Traditional Arabic"/>
          <w:color w:val="B8860B"/>
          <w:rtl/>
        </w:rPr>
        <w:t>سلسلة الدراسات المقارنة — علم النفس الاستخلافي</w:t>
      </w:r>
    </w:p>
    <w:p w14:paraId="3F999A4F" w14:textId="77777777" w:rsidR="0049542D" w:rsidRDefault="00000000" w:rsidP="00C8196B">
      <w:pPr>
        <w:pStyle w:val="1"/>
        <w:pBdr>
          <w:bottom w:val="single" w:sz="4" w:space="4" w:color="0F6E6E"/>
        </w:pBdr>
        <w:bidi/>
        <w:spacing w:before="320" w:after="160"/>
      </w:pPr>
      <w:r>
        <w:rPr>
          <w:rFonts w:ascii="Traditional Arabic" w:eastAsia="Traditional Arabic" w:hAnsi="Traditional Arabic" w:cs="Traditional Arabic"/>
          <w:b/>
          <w:bCs/>
          <w:color w:val="1F3864"/>
          <w:sz w:val="30"/>
          <w:szCs w:val="30"/>
          <w:rtl/>
        </w:rPr>
        <w:t>مقدمة منهجية</w:t>
      </w:r>
    </w:p>
    <w:p w14:paraId="02C19A60"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يهدف هذا التوسّع البحثي إلى تعميق القراءة </w:t>
      </w:r>
      <w:proofErr w:type="spellStart"/>
      <w:r>
        <w:rPr>
          <w:rFonts w:ascii="Traditional Arabic" w:eastAsia="Traditional Arabic" w:hAnsi="Traditional Arabic" w:cs="Traditional Arabic"/>
          <w:color w:val="1A1A1A"/>
          <w:sz w:val="24"/>
          <w:szCs w:val="24"/>
          <w:rtl/>
        </w:rPr>
        <w:t>اللاكانية</w:t>
      </w:r>
      <w:proofErr w:type="spellEnd"/>
      <w:r>
        <w:rPr>
          <w:rFonts w:ascii="Traditional Arabic" w:eastAsia="Traditional Arabic" w:hAnsi="Traditional Arabic" w:cs="Traditional Arabic"/>
          <w:color w:val="1A1A1A"/>
          <w:sz w:val="24"/>
          <w:szCs w:val="24"/>
          <w:rtl/>
        </w:rPr>
        <w:t xml:space="preserve"> الأولية للحالة الأسرية موضوع الدراسة، من خلال ثلاث خطوات منهجية: أولاً، تأصيل نظري أدق لمفاهيم </w:t>
      </w:r>
      <w:proofErr w:type="spellStart"/>
      <w:r>
        <w:rPr>
          <w:rFonts w:ascii="Traditional Arabic" w:eastAsia="Traditional Arabic" w:hAnsi="Traditional Arabic" w:cs="Traditional Arabic"/>
          <w:color w:val="1A1A1A"/>
          <w:sz w:val="24"/>
          <w:szCs w:val="24"/>
          <w:rtl/>
        </w:rPr>
        <w:t>لاكان</w:t>
      </w:r>
      <w:proofErr w:type="spellEnd"/>
      <w:r>
        <w:rPr>
          <w:rFonts w:ascii="Traditional Arabic" w:eastAsia="Traditional Arabic" w:hAnsi="Traditional Arabic" w:cs="Traditional Arabic"/>
          <w:color w:val="1A1A1A"/>
          <w:sz w:val="24"/>
          <w:szCs w:val="24"/>
          <w:rtl/>
        </w:rPr>
        <w:t xml:space="preserve"> المستخدمة (الأنظمة الثلاثة، الاستعارة الأبوية، الإقصاء، موضوع أ الصغير، خطاب السيد)، بالرجوع إلى مصادرها الأصلية في </w:t>
      </w:r>
      <w:proofErr w:type="spellStart"/>
      <w:r>
        <w:rPr>
          <w:rFonts w:ascii="Traditional Arabic" w:eastAsia="Traditional Arabic" w:hAnsi="Traditional Arabic" w:cs="Traditional Arabic"/>
          <w:color w:val="1A1A1A"/>
          <w:sz w:val="24"/>
          <w:szCs w:val="24"/>
          <w:rtl/>
        </w:rPr>
        <w:t>السيمينارات</w:t>
      </w:r>
      <w:proofErr w:type="spellEnd"/>
      <w:r>
        <w:rPr>
          <w:rFonts w:ascii="Traditional Arabic" w:eastAsia="Traditional Arabic" w:hAnsi="Traditional Arabic" w:cs="Traditional Arabic"/>
          <w:color w:val="1A1A1A"/>
          <w:sz w:val="24"/>
          <w:szCs w:val="24"/>
          <w:rtl/>
        </w:rPr>
        <w:t xml:space="preserve"> والكتابات؛ ثانياً، توسيع التحليل السريري لكل فاعل أسري (الأب، الابنة، الأم) عبر هذه المفاهيم مجتمعة لا مفرّقة؛ ثالثاً، إدخال الحالة في حوار نقدي مع تيارات ما بعد </w:t>
      </w:r>
      <w:proofErr w:type="spellStart"/>
      <w:r>
        <w:rPr>
          <w:rFonts w:ascii="Traditional Arabic" w:eastAsia="Traditional Arabic" w:hAnsi="Traditional Arabic" w:cs="Traditional Arabic"/>
          <w:color w:val="1A1A1A"/>
          <w:sz w:val="24"/>
          <w:szCs w:val="24"/>
          <w:rtl/>
        </w:rPr>
        <w:t>لاكانية</w:t>
      </w:r>
      <w:proofErr w:type="spellEnd"/>
      <w:r>
        <w:rPr>
          <w:rFonts w:ascii="Traditional Arabic" w:eastAsia="Traditional Arabic" w:hAnsi="Traditional Arabic" w:cs="Traditional Arabic"/>
          <w:color w:val="1A1A1A"/>
          <w:sz w:val="24"/>
          <w:szCs w:val="24"/>
          <w:rtl/>
        </w:rPr>
        <w:t xml:space="preserve"> معاصرة تناولت أزمة الوظيفة الأبوية في السياقات المعاصرة، وبخاصة أطروحة </w:t>
      </w:r>
      <w:proofErr w:type="spellStart"/>
      <w:r>
        <w:rPr>
          <w:rFonts w:ascii="Traditional Arabic" w:eastAsia="Traditional Arabic" w:hAnsi="Traditional Arabic" w:cs="Traditional Arabic"/>
          <w:color w:val="1A1A1A"/>
          <w:sz w:val="24"/>
          <w:szCs w:val="24"/>
          <w:rtl/>
        </w:rPr>
        <w:t>ماسيمو</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ريكالكاتي</w:t>
      </w:r>
      <w:proofErr w:type="spellEnd"/>
      <w:r>
        <w:rPr>
          <w:rFonts w:ascii="Traditional Arabic" w:eastAsia="Traditional Arabic" w:hAnsi="Traditional Arabic" w:cs="Traditional Arabic"/>
          <w:color w:val="1A1A1A"/>
          <w:sz w:val="24"/>
          <w:szCs w:val="24"/>
          <w:rtl/>
        </w:rPr>
        <w:t xml:space="preserve"> حول "عقدة </w:t>
      </w:r>
      <w:proofErr w:type="spellStart"/>
      <w:r>
        <w:rPr>
          <w:rFonts w:ascii="Traditional Arabic" w:eastAsia="Traditional Arabic" w:hAnsi="Traditional Arabic" w:cs="Traditional Arabic"/>
          <w:color w:val="1A1A1A"/>
          <w:sz w:val="24"/>
          <w:szCs w:val="24"/>
          <w:rtl/>
        </w:rPr>
        <w:t>تليماك</w:t>
      </w:r>
      <w:proofErr w:type="spellEnd"/>
      <w:r>
        <w:rPr>
          <w:rFonts w:ascii="Traditional Arabic" w:eastAsia="Traditional Arabic" w:hAnsi="Traditional Arabic" w:cs="Traditional Arabic"/>
          <w:color w:val="1A1A1A"/>
          <w:sz w:val="24"/>
          <w:szCs w:val="24"/>
          <w:rtl/>
        </w:rPr>
        <w:t xml:space="preserve">"، وأطروحة بول </w:t>
      </w:r>
      <w:proofErr w:type="spellStart"/>
      <w:r>
        <w:rPr>
          <w:rFonts w:ascii="Traditional Arabic" w:eastAsia="Traditional Arabic" w:hAnsi="Traditional Arabic" w:cs="Traditional Arabic"/>
          <w:color w:val="1A1A1A"/>
          <w:sz w:val="24"/>
          <w:szCs w:val="24"/>
          <w:rtl/>
        </w:rPr>
        <w:t>فيرهاغه</w:t>
      </w:r>
      <w:proofErr w:type="spellEnd"/>
      <w:r>
        <w:rPr>
          <w:rFonts w:ascii="Traditional Arabic" w:eastAsia="Traditional Arabic" w:hAnsi="Traditional Arabic" w:cs="Traditional Arabic"/>
          <w:color w:val="1A1A1A"/>
          <w:sz w:val="24"/>
          <w:szCs w:val="24"/>
          <w:rtl/>
        </w:rPr>
        <w:t xml:space="preserve"> حول التمييز الدقيق بين الإقصاء والكبت والإنكار، إضافة إلى القراءة </w:t>
      </w:r>
      <w:proofErr w:type="spellStart"/>
      <w:r>
        <w:rPr>
          <w:rFonts w:ascii="Traditional Arabic" w:eastAsia="Traditional Arabic" w:hAnsi="Traditional Arabic" w:cs="Traditional Arabic"/>
          <w:color w:val="1A1A1A"/>
          <w:sz w:val="24"/>
          <w:szCs w:val="24"/>
          <w:rtl/>
        </w:rPr>
        <w:t>الكريستيفية</w:t>
      </w:r>
      <w:proofErr w:type="spellEnd"/>
      <w:r>
        <w:rPr>
          <w:rFonts w:ascii="Traditional Arabic" w:eastAsia="Traditional Arabic" w:hAnsi="Traditional Arabic" w:cs="Traditional Arabic"/>
          <w:color w:val="1A1A1A"/>
          <w:sz w:val="24"/>
          <w:szCs w:val="24"/>
          <w:rtl/>
        </w:rPr>
        <w:t xml:space="preserve"> للجسد الأمومي المُذعن. الغاية من هذا التوسيع ليست فقط تعميق التحليل الإكلينيكي، بل أيضاً اختبار حدود التفسير </w:t>
      </w:r>
      <w:proofErr w:type="spellStart"/>
      <w:r>
        <w:rPr>
          <w:rFonts w:ascii="Traditional Arabic" w:eastAsia="Traditional Arabic" w:hAnsi="Traditional Arabic" w:cs="Traditional Arabic"/>
          <w:color w:val="1A1A1A"/>
          <w:sz w:val="24"/>
          <w:szCs w:val="24"/>
          <w:rtl/>
        </w:rPr>
        <w:t>اللاكاني</w:t>
      </w:r>
      <w:proofErr w:type="spellEnd"/>
      <w:r>
        <w:rPr>
          <w:rFonts w:ascii="Traditional Arabic" w:eastAsia="Traditional Arabic" w:hAnsi="Traditional Arabic" w:cs="Traditional Arabic"/>
          <w:color w:val="1A1A1A"/>
          <w:sz w:val="24"/>
          <w:szCs w:val="24"/>
          <w:rtl/>
        </w:rPr>
        <w:t xml:space="preserve"> الفردي حين يواجَه ببنية عائلية جماعية معقدة.</w:t>
      </w:r>
    </w:p>
    <w:p w14:paraId="584C07E6" w14:textId="28C6EE23" w:rsidR="0049542D" w:rsidRDefault="00000000" w:rsidP="00C8196B">
      <w:pPr>
        <w:pStyle w:val="1"/>
        <w:pBdr>
          <w:bottom w:val="single" w:sz="4" w:space="4" w:color="0F6E6E"/>
        </w:pBdr>
        <w:bidi/>
        <w:spacing w:before="320" w:after="160"/>
      </w:pPr>
      <w:r>
        <w:rPr>
          <w:rFonts w:ascii="Traditional Arabic" w:eastAsia="Traditional Arabic" w:hAnsi="Traditional Arabic" w:cs="Traditional Arabic"/>
          <w:b/>
          <w:bCs/>
          <w:color w:val="1F3864"/>
          <w:sz w:val="30"/>
          <w:szCs w:val="30"/>
          <w:rtl/>
        </w:rPr>
        <w:t xml:space="preserve">أولاً: الإطار النظري </w:t>
      </w:r>
      <w:r w:rsidR="009B796D">
        <w:rPr>
          <w:rFonts w:ascii="Traditional Arabic" w:eastAsia="Traditional Arabic" w:hAnsi="Traditional Arabic" w:cs="Traditional Arabic" w:hint="cs"/>
          <w:b/>
          <w:bCs/>
          <w:color w:val="1F3864"/>
          <w:sz w:val="30"/>
          <w:szCs w:val="30"/>
          <w:rtl/>
        </w:rPr>
        <w:t>:</w:t>
      </w:r>
    </w:p>
    <w:p w14:paraId="77D7F724"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1. الأنظمة الثلاثة: الرمزي، الخيالي، الحقيقي</w:t>
      </w:r>
    </w:p>
    <w:p w14:paraId="33312933"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يقوم صرح </w:t>
      </w:r>
      <w:proofErr w:type="spellStart"/>
      <w:r>
        <w:rPr>
          <w:rFonts w:ascii="Traditional Arabic" w:eastAsia="Traditional Arabic" w:hAnsi="Traditional Arabic" w:cs="Traditional Arabic"/>
          <w:color w:val="1A1A1A"/>
          <w:sz w:val="24"/>
          <w:szCs w:val="24"/>
          <w:rtl/>
        </w:rPr>
        <w:t>لاكان</w:t>
      </w:r>
      <w:proofErr w:type="spellEnd"/>
      <w:r>
        <w:rPr>
          <w:rFonts w:ascii="Traditional Arabic" w:eastAsia="Traditional Arabic" w:hAnsi="Traditional Arabic" w:cs="Traditional Arabic"/>
          <w:color w:val="1A1A1A"/>
          <w:sz w:val="24"/>
          <w:szCs w:val="24"/>
          <w:rtl/>
        </w:rPr>
        <w:t xml:space="preserve"> النظري على تمفصل ثلاثة أنظمة لا يمكن اختزال أحدها في الآخر: </w:t>
      </w:r>
      <w:r>
        <w:rPr>
          <w:rFonts w:ascii="Traditional Arabic" w:eastAsia="Traditional Arabic" w:hAnsi="Traditional Arabic" w:cs="Traditional Arabic"/>
          <w:b/>
          <w:bCs/>
          <w:color w:val="1F3864"/>
          <w:sz w:val="24"/>
          <w:szCs w:val="24"/>
          <w:rtl/>
        </w:rPr>
        <w:t>الرمزي</w:t>
      </w:r>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l'Ordre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Symbolique</w:t>
      </w:r>
      <w:proofErr w:type="spellEnd"/>
      <w:r>
        <w:rPr>
          <w:rFonts w:ascii="Traditional Arabic" w:eastAsia="Traditional Arabic" w:hAnsi="Traditional Arabic" w:cs="Traditional Arabic"/>
          <w:color w:val="1A1A1A"/>
          <w:sz w:val="24"/>
          <w:szCs w:val="24"/>
          <w:rtl/>
        </w:rPr>
        <w:t>)، أي نظام اللغة والقانون والمعيّنات (</w:t>
      </w:r>
      <w:proofErr w:type="spellStart"/>
      <w:r>
        <w:rPr>
          <w:rFonts w:ascii="Traditional Arabic" w:eastAsia="Traditional Arabic" w:hAnsi="Traditional Arabic" w:cs="Traditional Arabic"/>
          <w:color w:val="1A1A1A"/>
          <w:sz w:val="24"/>
          <w:szCs w:val="24"/>
          <w:rtl/>
        </w:rPr>
        <w:t>signifiants</w:t>
      </w:r>
      <w:proofErr w:type="spellEnd"/>
      <w:r>
        <w:rPr>
          <w:rFonts w:ascii="Traditional Arabic" w:eastAsia="Traditional Arabic" w:hAnsi="Traditional Arabic" w:cs="Traditional Arabic"/>
          <w:color w:val="1A1A1A"/>
          <w:sz w:val="24"/>
          <w:szCs w:val="24"/>
          <w:rtl/>
        </w:rPr>
        <w:t xml:space="preserve">) التي تُنظّم الذات ضمن سلسلة اجتماعية تتجاوزها؛ </w:t>
      </w:r>
      <w:r>
        <w:rPr>
          <w:rFonts w:ascii="Traditional Arabic" w:eastAsia="Traditional Arabic" w:hAnsi="Traditional Arabic" w:cs="Traditional Arabic"/>
          <w:b/>
          <w:bCs/>
          <w:color w:val="1F3864"/>
          <w:sz w:val="24"/>
          <w:szCs w:val="24"/>
          <w:rtl/>
        </w:rPr>
        <w:t>الخيالي</w:t>
      </w:r>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l'Imaginaire</w:t>
      </w:r>
      <w:proofErr w:type="spellEnd"/>
      <w:r>
        <w:rPr>
          <w:rFonts w:ascii="Traditional Arabic" w:eastAsia="Traditional Arabic" w:hAnsi="Traditional Arabic" w:cs="Traditional Arabic"/>
          <w:color w:val="1A1A1A"/>
          <w:sz w:val="24"/>
          <w:szCs w:val="24"/>
          <w:rtl/>
        </w:rPr>
        <w:t xml:space="preserve">)، أي نظام الصور والهويات </w:t>
      </w:r>
      <w:proofErr w:type="spellStart"/>
      <w:r>
        <w:rPr>
          <w:rFonts w:ascii="Traditional Arabic" w:eastAsia="Traditional Arabic" w:hAnsi="Traditional Arabic" w:cs="Traditional Arabic"/>
          <w:color w:val="1A1A1A"/>
          <w:sz w:val="24"/>
          <w:szCs w:val="24"/>
          <w:rtl/>
        </w:rPr>
        <w:t>والانصهارات</w:t>
      </w:r>
      <w:proofErr w:type="spellEnd"/>
      <w:r>
        <w:rPr>
          <w:rFonts w:ascii="Traditional Arabic" w:eastAsia="Traditional Arabic" w:hAnsi="Traditional Arabic" w:cs="Traditional Arabic"/>
          <w:color w:val="1A1A1A"/>
          <w:sz w:val="24"/>
          <w:szCs w:val="24"/>
          <w:rtl/>
        </w:rPr>
        <w:t xml:space="preserve"> الثنائية التي تتشكل ابتداءً من "مرحلة المرآة"؛ و</w:t>
      </w:r>
      <w:r>
        <w:rPr>
          <w:rFonts w:ascii="Traditional Arabic" w:eastAsia="Traditional Arabic" w:hAnsi="Traditional Arabic" w:cs="Traditional Arabic"/>
          <w:b/>
          <w:bCs/>
          <w:color w:val="1F3864"/>
          <w:sz w:val="24"/>
          <w:szCs w:val="24"/>
          <w:rtl/>
        </w:rPr>
        <w:t>الحقيقي</w:t>
      </w:r>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Réel</w:t>
      </w:r>
      <w:proofErr w:type="spellEnd"/>
      <w:r>
        <w:rPr>
          <w:rFonts w:ascii="Traditional Arabic" w:eastAsia="Traditional Arabic" w:hAnsi="Traditional Arabic" w:cs="Traditional Arabic"/>
          <w:color w:val="1A1A1A"/>
          <w:sz w:val="24"/>
          <w:szCs w:val="24"/>
          <w:rtl/>
        </w:rPr>
        <w:t>)، أي ما يستعصي على الترميز والتمثيل، وما يعود دائماً إلى مكانه حين يفشل الرمزي في احتوائه. هذه الأنظمة الثلاثة تُعقد لاحقاً في بنية "العقدة البرومية" (</w:t>
      </w:r>
      <w:proofErr w:type="spellStart"/>
      <w:r>
        <w:rPr>
          <w:rFonts w:ascii="Traditional Arabic" w:eastAsia="Traditional Arabic" w:hAnsi="Traditional Arabic" w:cs="Traditional Arabic"/>
          <w:color w:val="1A1A1A"/>
          <w:sz w:val="24"/>
          <w:szCs w:val="24"/>
          <w:rtl/>
        </w:rPr>
        <w:t>Nœud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Borroméen</w:t>
      </w:r>
      <w:proofErr w:type="spellEnd"/>
      <w:r>
        <w:rPr>
          <w:rFonts w:ascii="Traditional Arabic" w:eastAsia="Traditional Arabic" w:hAnsi="Traditional Arabic" w:cs="Traditional Arabic"/>
          <w:color w:val="1A1A1A"/>
          <w:sz w:val="24"/>
          <w:szCs w:val="24"/>
          <w:rtl/>
        </w:rPr>
        <w:t xml:space="preserve">) التي طوّرها </w:t>
      </w:r>
      <w:proofErr w:type="spellStart"/>
      <w:r>
        <w:rPr>
          <w:rFonts w:ascii="Traditional Arabic" w:eastAsia="Traditional Arabic" w:hAnsi="Traditional Arabic" w:cs="Traditional Arabic"/>
          <w:color w:val="1A1A1A"/>
          <w:sz w:val="24"/>
          <w:szCs w:val="24"/>
          <w:rtl/>
        </w:rPr>
        <w:t>لاكان</w:t>
      </w:r>
      <w:proofErr w:type="spellEnd"/>
      <w:r>
        <w:rPr>
          <w:rFonts w:ascii="Traditional Arabic" w:eastAsia="Traditional Arabic" w:hAnsi="Traditional Arabic" w:cs="Traditional Arabic"/>
          <w:color w:val="1A1A1A"/>
          <w:sz w:val="24"/>
          <w:szCs w:val="24"/>
          <w:rtl/>
        </w:rPr>
        <w:t xml:space="preserve"> في </w:t>
      </w:r>
      <w:proofErr w:type="spellStart"/>
      <w:r>
        <w:rPr>
          <w:rFonts w:ascii="Traditional Arabic" w:eastAsia="Traditional Arabic" w:hAnsi="Traditional Arabic" w:cs="Traditional Arabic"/>
          <w:color w:val="1A1A1A"/>
          <w:sz w:val="24"/>
          <w:szCs w:val="24"/>
          <w:rtl/>
        </w:rPr>
        <w:t>سيمينارات</w:t>
      </w:r>
      <w:proofErr w:type="spellEnd"/>
      <w:r>
        <w:rPr>
          <w:rFonts w:ascii="Traditional Arabic" w:eastAsia="Traditional Arabic" w:hAnsi="Traditional Arabic" w:cs="Traditional Arabic"/>
          <w:color w:val="1A1A1A"/>
          <w:sz w:val="24"/>
          <w:szCs w:val="24"/>
          <w:rtl/>
        </w:rPr>
        <w:t xml:space="preserve"> السبعينيات، حيث لا يقوم أي نظام بذاته، بل يتماسك الثلاثة معاً عبر عقدة واحدة يشكّل الأعرَض (</w:t>
      </w:r>
      <w:proofErr w:type="spellStart"/>
      <w:r>
        <w:rPr>
          <w:rFonts w:ascii="Traditional Arabic" w:eastAsia="Traditional Arabic" w:hAnsi="Traditional Arabic" w:cs="Traditional Arabic"/>
          <w:color w:val="1A1A1A"/>
          <w:sz w:val="24"/>
          <w:szCs w:val="24"/>
          <w:rtl/>
        </w:rPr>
        <w:t>le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sinthome</w:t>
      </w:r>
      <w:proofErr w:type="spellEnd"/>
      <w:r>
        <w:rPr>
          <w:rFonts w:ascii="Traditional Arabic" w:eastAsia="Traditional Arabic" w:hAnsi="Traditional Arabic" w:cs="Traditional Arabic"/>
          <w:color w:val="1A1A1A"/>
          <w:sz w:val="24"/>
          <w:szCs w:val="24"/>
          <w:rtl/>
        </w:rPr>
        <w:t>) أحياناً حلقتها الرابعة الضامة.</w:t>
      </w:r>
    </w:p>
    <w:p w14:paraId="00064C71"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في الحالة موضوع الدراسة، يمكن قراءة كل فاعل أسري بوصفه موضع اختلال مختلف في هذه العقدة: الأب يفرط في الخيالي على حساب الرمزي، الابنة تحاول عبر الزواج إعادة شد الرمزي، والأم يعود لديها المكبوت عبر الحقيقي الجسدي (ضغط الدم) حين يعجز الرمزي عن استيعابه.</w:t>
      </w:r>
    </w:p>
    <w:p w14:paraId="0CAF4666"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2. الاستعارة الأبوية ووظيفة اسم الأب</w:t>
      </w:r>
    </w:p>
    <w:p w14:paraId="3B2C6523"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طوّر </w:t>
      </w:r>
      <w:proofErr w:type="spellStart"/>
      <w:r>
        <w:rPr>
          <w:rFonts w:ascii="Traditional Arabic" w:eastAsia="Traditional Arabic" w:hAnsi="Traditional Arabic" w:cs="Traditional Arabic"/>
          <w:color w:val="1A1A1A"/>
          <w:sz w:val="24"/>
          <w:szCs w:val="24"/>
          <w:rtl/>
        </w:rPr>
        <w:t>لاكان</w:t>
      </w:r>
      <w:proofErr w:type="spellEnd"/>
      <w:r>
        <w:rPr>
          <w:rFonts w:ascii="Traditional Arabic" w:eastAsia="Traditional Arabic" w:hAnsi="Traditional Arabic" w:cs="Traditional Arabic"/>
          <w:color w:val="1A1A1A"/>
          <w:sz w:val="24"/>
          <w:szCs w:val="24"/>
          <w:rtl/>
        </w:rPr>
        <w:t xml:space="preserve"> مفهوم "الاستعارة الأبوية" (</w:t>
      </w:r>
      <w:proofErr w:type="spellStart"/>
      <w:r>
        <w:rPr>
          <w:rFonts w:ascii="Traditional Arabic" w:eastAsia="Traditional Arabic" w:hAnsi="Traditional Arabic" w:cs="Traditional Arabic"/>
          <w:color w:val="1A1A1A"/>
          <w:sz w:val="24"/>
          <w:szCs w:val="24"/>
          <w:rtl/>
        </w:rPr>
        <w:t>la</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Métaphore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Paternelle</w:t>
      </w:r>
      <w:proofErr w:type="spellEnd"/>
      <w:r>
        <w:rPr>
          <w:rFonts w:ascii="Traditional Arabic" w:eastAsia="Traditional Arabic" w:hAnsi="Traditional Arabic" w:cs="Traditional Arabic"/>
          <w:color w:val="1A1A1A"/>
          <w:sz w:val="24"/>
          <w:szCs w:val="24"/>
          <w:rtl/>
        </w:rPr>
        <w:t xml:space="preserve">) بشكل مفصّل في </w:t>
      </w:r>
      <w:proofErr w:type="spellStart"/>
      <w:r>
        <w:rPr>
          <w:rFonts w:ascii="Traditional Arabic" w:eastAsia="Traditional Arabic" w:hAnsi="Traditional Arabic" w:cs="Traditional Arabic"/>
          <w:color w:val="1A1A1A"/>
          <w:sz w:val="24"/>
          <w:szCs w:val="24"/>
          <w:rtl/>
        </w:rPr>
        <w:t>سيمينار</w:t>
      </w:r>
      <w:proofErr w:type="spellEnd"/>
      <w:r>
        <w:rPr>
          <w:rFonts w:ascii="Traditional Arabic" w:eastAsia="Traditional Arabic" w:hAnsi="Traditional Arabic" w:cs="Traditional Arabic"/>
          <w:color w:val="1A1A1A"/>
          <w:sz w:val="24"/>
          <w:szCs w:val="24"/>
          <w:rtl/>
        </w:rPr>
        <w:t xml:space="preserve"> 1957-1958 (</w:t>
      </w:r>
      <w:proofErr w:type="spellStart"/>
      <w:r>
        <w:rPr>
          <w:rFonts w:ascii="Traditional Arabic" w:eastAsia="Traditional Arabic" w:hAnsi="Traditional Arabic" w:cs="Traditional Arabic"/>
          <w:color w:val="1A1A1A"/>
          <w:sz w:val="24"/>
          <w:szCs w:val="24"/>
          <w:rtl/>
        </w:rPr>
        <w:t>Les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formations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l'inconscient</w:t>
      </w:r>
      <w:proofErr w:type="spellEnd"/>
      <w:r>
        <w:rPr>
          <w:rFonts w:ascii="Traditional Arabic" w:eastAsia="Traditional Arabic" w:hAnsi="Traditional Arabic" w:cs="Traditional Arabic"/>
          <w:color w:val="1A1A1A"/>
          <w:sz w:val="24"/>
          <w:szCs w:val="24"/>
          <w:rtl/>
        </w:rPr>
        <w:t>)، حيث يوضح أن اسم الأب لا يشير إلى الأب البيولوجي أو الواقعي، بل إلى وظيفة معيّن (</w:t>
      </w:r>
      <w:proofErr w:type="spellStart"/>
      <w:r>
        <w:rPr>
          <w:rFonts w:ascii="Traditional Arabic" w:eastAsia="Traditional Arabic" w:hAnsi="Traditional Arabic" w:cs="Traditional Arabic"/>
          <w:color w:val="1A1A1A"/>
          <w:sz w:val="24"/>
          <w:szCs w:val="24"/>
          <w:rtl/>
        </w:rPr>
        <w:t>fonction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signifiante</w:t>
      </w:r>
      <w:proofErr w:type="spellEnd"/>
      <w:r>
        <w:rPr>
          <w:rFonts w:ascii="Traditional Arabic" w:eastAsia="Traditional Arabic" w:hAnsi="Traditional Arabic" w:cs="Traditional Arabic"/>
          <w:color w:val="1A1A1A"/>
          <w:sz w:val="24"/>
          <w:szCs w:val="24"/>
          <w:rtl/>
        </w:rPr>
        <w:t xml:space="preserve">) تحل محل معيّن رغبة الأم، فتقطع اندماج الطفل بها وتُدخله في سلسلة القانون واللغة. هذه الوظيفة لا تُؤدى بالضرورة عبر حضور أبوي متسلط، بل عبر قدرة الأم على الإحالة إلى قانون يتجاوزها هي والطفل معاً. حين يفرط الأب في التماهي الخيالي بدل التمثيل الرمزي المحايد -كما في حالتنا- فإنه لا "يزيد" من الوظيفة الأبوية بل يُفرغها من مضمونها القانوني ليستبدلها بإرادة شخصية، وهو ما يجعل السيطرة الظاهرة قناعاً لعجز رمزي أعمق، لا دليلاً على قوة أبوية حقيقية. هذه النقطة الدقيقة هي ما يميز القراءة </w:t>
      </w:r>
      <w:proofErr w:type="spellStart"/>
      <w:r>
        <w:rPr>
          <w:rFonts w:ascii="Traditional Arabic" w:eastAsia="Traditional Arabic" w:hAnsi="Traditional Arabic" w:cs="Traditional Arabic"/>
          <w:color w:val="1A1A1A"/>
          <w:sz w:val="24"/>
          <w:szCs w:val="24"/>
          <w:rtl/>
        </w:rPr>
        <w:t>اللاكانية</w:t>
      </w:r>
      <w:proofErr w:type="spellEnd"/>
      <w:r>
        <w:rPr>
          <w:rFonts w:ascii="Traditional Arabic" w:eastAsia="Traditional Arabic" w:hAnsi="Traditional Arabic" w:cs="Traditional Arabic"/>
          <w:color w:val="1A1A1A"/>
          <w:sz w:val="24"/>
          <w:szCs w:val="24"/>
          <w:rtl/>
        </w:rPr>
        <w:t xml:space="preserve"> عن القراءات الشعبية التي تخلط بين "الأب المتسلط" و"الأب القوي رمزياً"؛ فالأب المتسلط في الغالب هو أب ضعيف الوظيفة الرمزية يعوّض ضعفه بفائض التحكم الخيالي.</w:t>
      </w:r>
    </w:p>
    <w:p w14:paraId="3130CC0C"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3. الإقصاء، الكبت، الإنكار: تمييز دقيق ضروري</w:t>
      </w:r>
    </w:p>
    <w:p w14:paraId="3810B1F1"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يميّز بول </w:t>
      </w:r>
      <w:proofErr w:type="spellStart"/>
      <w:r>
        <w:rPr>
          <w:rFonts w:ascii="Traditional Arabic" w:eastAsia="Traditional Arabic" w:hAnsi="Traditional Arabic" w:cs="Traditional Arabic"/>
          <w:color w:val="1A1A1A"/>
          <w:sz w:val="24"/>
          <w:szCs w:val="24"/>
          <w:rtl/>
        </w:rPr>
        <w:t>فيرهاغه</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Verhaeghe</w:t>
      </w:r>
      <w:proofErr w:type="spellEnd"/>
      <w:r>
        <w:rPr>
          <w:rFonts w:ascii="Traditional Arabic" w:eastAsia="Traditional Arabic" w:hAnsi="Traditional Arabic" w:cs="Traditional Arabic"/>
          <w:color w:val="1A1A1A"/>
          <w:sz w:val="24"/>
          <w:szCs w:val="24"/>
          <w:rtl/>
        </w:rPr>
        <w:t xml:space="preserve">) في قراءته الإكلينيكية </w:t>
      </w:r>
      <w:proofErr w:type="spellStart"/>
      <w:r>
        <w:rPr>
          <w:rFonts w:ascii="Traditional Arabic" w:eastAsia="Traditional Arabic" w:hAnsi="Traditional Arabic" w:cs="Traditional Arabic"/>
          <w:color w:val="1A1A1A"/>
          <w:sz w:val="24"/>
          <w:szCs w:val="24"/>
          <w:rtl/>
        </w:rPr>
        <w:t>للاكان</w:t>
      </w:r>
      <w:proofErr w:type="spellEnd"/>
      <w:r>
        <w:rPr>
          <w:rFonts w:ascii="Traditional Arabic" w:eastAsia="Traditional Arabic" w:hAnsi="Traditional Arabic" w:cs="Traditional Arabic"/>
          <w:color w:val="1A1A1A"/>
          <w:sz w:val="24"/>
          <w:szCs w:val="24"/>
          <w:rtl/>
        </w:rPr>
        <w:t xml:space="preserve"> بين ثلاث آليات دفاعية جوهرية يخلط الاستخدام الشائع بينها: </w:t>
      </w:r>
      <w:r>
        <w:rPr>
          <w:rFonts w:ascii="Traditional Arabic" w:eastAsia="Traditional Arabic" w:hAnsi="Traditional Arabic" w:cs="Traditional Arabic"/>
          <w:b/>
          <w:bCs/>
          <w:color w:val="1F3864"/>
          <w:sz w:val="24"/>
          <w:szCs w:val="24"/>
          <w:rtl/>
        </w:rPr>
        <w:t>الكبت</w:t>
      </w:r>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Refoulement</w:t>
      </w:r>
      <w:proofErr w:type="spellEnd"/>
      <w:r>
        <w:rPr>
          <w:rFonts w:ascii="Traditional Arabic" w:eastAsia="Traditional Arabic" w:hAnsi="Traditional Arabic" w:cs="Traditional Arabic"/>
          <w:color w:val="1A1A1A"/>
          <w:sz w:val="24"/>
          <w:szCs w:val="24"/>
          <w:rtl/>
        </w:rPr>
        <w:t xml:space="preserve">) الذي يميز البنية العصابية ويُبقي المعيّن المكبوت فاعلاً في اللاشعور قابلاً للعودة عبر الأعراض؛ </w:t>
      </w:r>
      <w:r>
        <w:rPr>
          <w:rFonts w:ascii="Traditional Arabic" w:eastAsia="Traditional Arabic" w:hAnsi="Traditional Arabic" w:cs="Traditional Arabic"/>
          <w:b/>
          <w:bCs/>
          <w:color w:val="1F3864"/>
          <w:sz w:val="24"/>
          <w:szCs w:val="24"/>
          <w:rtl/>
        </w:rPr>
        <w:t>الإنكار</w:t>
      </w:r>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Déni</w:t>
      </w:r>
      <w:proofErr w:type="spellEnd"/>
      <w:r>
        <w:rPr>
          <w:rFonts w:ascii="Traditional Arabic" w:eastAsia="Traditional Arabic" w:hAnsi="Traditional Arabic" w:cs="Traditional Arabic"/>
          <w:color w:val="1A1A1A"/>
          <w:sz w:val="24"/>
          <w:szCs w:val="24"/>
          <w:rtl/>
        </w:rPr>
        <w:t>/</w:t>
      </w:r>
      <w:proofErr w:type="spellStart"/>
      <w:r>
        <w:rPr>
          <w:rFonts w:ascii="Traditional Arabic" w:eastAsia="Traditional Arabic" w:hAnsi="Traditional Arabic" w:cs="Traditional Arabic"/>
          <w:color w:val="1A1A1A"/>
          <w:sz w:val="24"/>
          <w:szCs w:val="24"/>
          <w:rtl/>
        </w:rPr>
        <w:t>Verleugnung</w:t>
      </w:r>
      <w:proofErr w:type="spellEnd"/>
      <w:r>
        <w:rPr>
          <w:rFonts w:ascii="Traditional Arabic" w:eastAsia="Traditional Arabic" w:hAnsi="Traditional Arabic" w:cs="Traditional Arabic"/>
          <w:color w:val="1A1A1A"/>
          <w:sz w:val="24"/>
          <w:szCs w:val="24"/>
          <w:rtl/>
        </w:rPr>
        <w:t>) الذي يميز البنية الصنمية (</w:t>
      </w:r>
      <w:proofErr w:type="spellStart"/>
      <w:r>
        <w:rPr>
          <w:rFonts w:ascii="Traditional Arabic" w:eastAsia="Traditional Arabic" w:hAnsi="Traditional Arabic" w:cs="Traditional Arabic"/>
          <w:color w:val="1A1A1A"/>
          <w:sz w:val="24"/>
          <w:szCs w:val="24"/>
          <w:rtl/>
        </w:rPr>
        <w:t>perverse</w:t>
      </w:r>
      <w:proofErr w:type="spellEnd"/>
      <w:r>
        <w:rPr>
          <w:rFonts w:ascii="Traditional Arabic" w:eastAsia="Traditional Arabic" w:hAnsi="Traditional Arabic" w:cs="Traditional Arabic"/>
          <w:color w:val="1A1A1A"/>
          <w:sz w:val="24"/>
          <w:szCs w:val="24"/>
          <w:rtl/>
        </w:rPr>
        <w:t>) حيث يُعترف بالواقع ويُنكر في آن معاً؛ و</w:t>
      </w:r>
      <w:r>
        <w:rPr>
          <w:rFonts w:ascii="Traditional Arabic" w:eastAsia="Traditional Arabic" w:hAnsi="Traditional Arabic" w:cs="Traditional Arabic"/>
          <w:b/>
          <w:bCs/>
          <w:color w:val="1F3864"/>
          <w:sz w:val="24"/>
          <w:szCs w:val="24"/>
          <w:rtl/>
        </w:rPr>
        <w:t>الإقصاء</w:t>
      </w:r>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Forclusion</w:t>
      </w:r>
      <w:proofErr w:type="spellEnd"/>
      <w:r>
        <w:rPr>
          <w:rFonts w:ascii="Traditional Arabic" w:eastAsia="Traditional Arabic" w:hAnsi="Traditional Arabic" w:cs="Traditional Arabic"/>
          <w:color w:val="1A1A1A"/>
          <w:sz w:val="24"/>
          <w:szCs w:val="24"/>
          <w:rtl/>
        </w:rPr>
        <w:t>/</w:t>
      </w:r>
      <w:proofErr w:type="spellStart"/>
      <w:r>
        <w:rPr>
          <w:rFonts w:ascii="Traditional Arabic" w:eastAsia="Traditional Arabic" w:hAnsi="Traditional Arabic" w:cs="Traditional Arabic"/>
          <w:color w:val="1A1A1A"/>
          <w:sz w:val="24"/>
          <w:szCs w:val="24"/>
          <w:rtl/>
        </w:rPr>
        <w:t>Verwerfung</w:t>
      </w:r>
      <w:proofErr w:type="spellEnd"/>
      <w:r>
        <w:rPr>
          <w:rFonts w:ascii="Traditional Arabic" w:eastAsia="Traditional Arabic" w:hAnsi="Traditional Arabic" w:cs="Traditional Arabic"/>
          <w:color w:val="1A1A1A"/>
          <w:sz w:val="24"/>
          <w:szCs w:val="24"/>
          <w:rtl/>
        </w:rPr>
        <w:t xml:space="preserve">) الذي يميز البنية </w:t>
      </w:r>
      <w:proofErr w:type="spellStart"/>
      <w:r>
        <w:rPr>
          <w:rFonts w:ascii="Traditional Arabic" w:eastAsia="Traditional Arabic" w:hAnsi="Traditional Arabic" w:cs="Traditional Arabic"/>
          <w:color w:val="1A1A1A"/>
          <w:sz w:val="24"/>
          <w:szCs w:val="24"/>
          <w:rtl/>
        </w:rPr>
        <w:t>الذهانية</w:t>
      </w:r>
      <w:proofErr w:type="spellEnd"/>
      <w:r>
        <w:rPr>
          <w:rFonts w:ascii="Traditional Arabic" w:eastAsia="Traditional Arabic" w:hAnsi="Traditional Arabic" w:cs="Traditional Arabic"/>
          <w:color w:val="1A1A1A"/>
          <w:sz w:val="24"/>
          <w:szCs w:val="24"/>
          <w:rtl/>
        </w:rPr>
        <w:t>، حيث يُطرح المعيّن الأساسي (اسم الأب) خارج الرمزي كلياً منذ البداية، فلا يعود قابلاً للعودة إلا عبر الحقيقي (</w:t>
      </w:r>
      <w:proofErr w:type="spellStart"/>
      <w:r>
        <w:rPr>
          <w:rFonts w:ascii="Traditional Arabic" w:eastAsia="Traditional Arabic" w:hAnsi="Traditional Arabic" w:cs="Traditional Arabic"/>
          <w:color w:val="1A1A1A"/>
          <w:sz w:val="24"/>
          <w:szCs w:val="24"/>
          <w:rtl/>
        </w:rPr>
        <w:t>الهلاوس</w:t>
      </w:r>
      <w:proofErr w:type="spellEnd"/>
      <w:r>
        <w:rPr>
          <w:rFonts w:ascii="Traditional Arabic" w:eastAsia="Traditional Arabic" w:hAnsi="Traditional Arabic" w:cs="Traditional Arabic"/>
          <w:color w:val="1A1A1A"/>
          <w:sz w:val="24"/>
          <w:szCs w:val="24"/>
          <w:rtl/>
        </w:rPr>
        <w:t xml:space="preserve">). من المهم منهجياً عدم إسقاط مصطلح "الإقصاء" على حالتنا بإطلاق، إذ لا تتوفر في المعطيات المتاحة مؤشرات </w:t>
      </w:r>
      <w:proofErr w:type="spellStart"/>
      <w:r>
        <w:rPr>
          <w:rFonts w:ascii="Traditional Arabic" w:eastAsia="Traditional Arabic" w:hAnsi="Traditional Arabic" w:cs="Traditional Arabic"/>
          <w:color w:val="1A1A1A"/>
          <w:sz w:val="24"/>
          <w:szCs w:val="24"/>
          <w:rtl/>
        </w:rPr>
        <w:t>ذهانية</w:t>
      </w:r>
      <w:proofErr w:type="spellEnd"/>
      <w:r>
        <w:rPr>
          <w:rFonts w:ascii="Traditional Arabic" w:eastAsia="Traditional Arabic" w:hAnsi="Traditional Arabic" w:cs="Traditional Arabic"/>
          <w:color w:val="1A1A1A"/>
          <w:sz w:val="24"/>
          <w:szCs w:val="24"/>
          <w:rtl/>
        </w:rPr>
        <w:t xml:space="preserve"> صريحة لدى الابنة أو الأم؛ الأدق حينئذ هو الحديث عن </w:t>
      </w:r>
      <w:r>
        <w:rPr>
          <w:rFonts w:ascii="Traditional Arabic" w:eastAsia="Traditional Arabic" w:hAnsi="Traditional Arabic" w:cs="Traditional Arabic"/>
          <w:b/>
          <w:bCs/>
          <w:color w:val="1F3864"/>
          <w:sz w:val="24"/>
          <w:szCs w:val="24"/>
          <w:rtl/>
        </w:rPr>
        <w:t>قصور جزئي أو إضعاف وظيفي</w:t>
      </w:r>
      <w:r>
        <w:rPr>
          <w:rFonts w:ascii="Traditional Arabic" w:eastAsia="Traditional Arabic" w:hAnsi="Traditional Arabic" w:cs="Traditional Arabic"/>
          <w:color w:val="1A1A1A"/>
          <w:sz w:val="24"/>
          <w:szCs w:val="24"/>
          <w:rtl/>
        </w:rPr>
        <w:t xml:space="preserve"> لاسم الأب (</w:t>
      </w:r>
      <w:proofErr w:type="spellStart"/>
      <w:r>
        <w:rPr>
          <w:rFonts w:ascii="Traditional Arabic" w:eastAsia="Traditional Arabic" w:hAnsi="Traditional Arabic" w:cs="Traditional Arabic"/>
          <w:color w:val="1A1A1A"/>
          <w:sz w:val="24"/>
          <w:szCs w:val="24"/>
          <w:rtl/>
        </w:rPr>
        <w:t>une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carence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la</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fonction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paternelle</w:t>
      </w:r>
      <w:proofErr w:type="spellEnd"/>
      <w:r>
        <w:rPr>
          <w:rFonts w:ascii="Traditional Arabic" w:eastAsia="Traditional Arabic" w:hAnsi="Traditional Arabic" w:cs="Traditional Arabic"/>
          <w:color w:val="1A1A1A"/>
          <w:sz w:val="24"/>
          <w:szCs w:val="24"/>
          <w:rtl/>
        </w:rPr>
        <w:t xml:space="preserve">) لا عن إقصائه الكامل، وهو ما يُبقي الحالة ضمن الطيف العصابي مع سمات حدودية محتملة، لا ضمن البنية </w:t>
      </w:r>
      <w:proofErr w:type="spellStart"/>
      <w:r>
        <w:rPr>
          <w:rFonts w:ascii="Traditional Arabic" w:eastAsia="Traditional Arabic" w:hAnsi="Traditional Arabic" w:cs="Traditional Arabic"/>
          <w:color w:val="1A1A1A"/>
          <w:sz w:val="24"/>
          <w:szCs w:val="24"/>
          <w:rtl/>
        </w:rPr>
        <w:t>الذهانية</w:t>
      </w:r>
      <w:proofErr w:type="spellEnd"/>
      <w:r>
        <w:rPr>
          <w:rFonts w:ascii="Traditional Arabic" w:eastAsia="Traditional Arabic" w:hAnsi="Traditional Arabic" w:cs="Traditional Arabic"/>
          <w:color w:val="1A1A1A"/>
          <w:sz w:val="24"/>
          <w:szCs w:val="24"/>
          <w:rtl/>
        </w:rPr>
        <w:t>.</w:t>
      </w:r>
    </w:p>
    <w:p w14:paraId="73872C43"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4. موضوع أ الصغير والرغبة كرغبة الآخر</w:t>
      </w:r>
    </w:p>
    <w:p w14:paraId="23B9EBA5"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يُعرّف </w:t>
      </w:r>
      <w:proofErr w:type="spellStart"/>
      <w:r>
        <w:rPr>
          <w:rFonts w:ascii="Traditional Arabic" w:eastAsia="Traditional Arabic" w:hAnsi="Traditional Arabic" w:cs="Traditional Arabic"/>
          <w:color w:val="1A1A1A"/>
          <w:sz w:val="24"/>
          <w:szCs w:val="24"/>
          <w:rtl/>
        </w:rPr>
        <w:t>لاكان</w:t>
      </w:r>
      <w:proofErr w:type="spellEnd"/>
      <w:r>
        <w:rPr>
          <w:rFonts w:ascii="Traditional Arabic" w:eastAsia="Traditional Arabic" w:hAnsi="Traditional Arabic" w:cs="Traditional Arabic"/>
          <w:color w:val="1A1A1A"/>
          <w:sz w:val="24"/>
          <w:szCs w:val="24"/>
          <w:rtl/>
        </w:rPr>
        <w:t xml:space="preserve"> "موضوع أ الصغير" (</w:t>
      </w:r>
      <w:proofErr w:type="spellStart"/>
      <w:r>
        <w:rPr>
          <w:rFonts w:ascii="Traditional Arabic" w:eastAsia="Traditional Arabic" w:hAnsi="Traditional Arabic" w:cs="Traditional Arabic"/>
          <w:color w:val="1A1A1A"/>
          <w:sz w:val="24"/>
          <w:szCs w:val="24"/>
          <w:rtl/>
        </w:rPr>
        <w:t>objet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petit</w:t>
      </w:r>
      <w:proofErr w:type="spellEnd"/>
      <w:r>
        <w:rPr>
          <w:rFonts w:ascii="Traditional Arabic" w:eastAsia="Traditional Arabic" w:hAnsi="Traditional Arabic" w:cs="Traditional Arabic"/>
          <w:color w:val="1A1A1A"/>
          <w:sz w:val="24"/>
          <w:szCs w:val="24"/>
          <w:rtl/>
        </w:rPr>
        <w:t xml:space="preserve"> a) بوصفه السبب الغامض للرغبة، ما تبقى من الانفصال الأول عن الأم ولا يُستعاض عنه أبداً بموضوع واقعي كامل. الرغبة الإنسانية، بحسب الصيغة </w:t>
      </w:r>
      <w:proofErr w:type="spellStart"/>
      <w:r>
        <w:rPr>
          <w:rFonts w:ascii="Traditional Arabic" w:eastAsia="Traditional Arabic" w:hAnsi="Traditional Arabic" w:cs="Traditional Arabic"/>
          <w:color w:val="1A1A1A"/>
          <w:sz w:val="24"/>
          <w:szCs w:val="24"/>
          <w:rtl/>
        </w:rPr>
        <w:t>اللاكانية</w:t>
      </w:r>
      <w:proofErr w:type="spellEnd"/>
      <w:r>
        <w:rPr>
          <w:rFonts w:ascii="Traditional Arabic" w:eastAsia="Traditional Arabic" w:hAnsi="Traditional Arabic" w:cs="Traditional Arabic"/>
          <w:color w:val="1A1A1A"/>
          <w:sz w:val="24"/>
          <w:szCs w:val="24"/>
          <w:rtl/>
        </w:rPr>
        <w:t xml:space="preserve"> الشهيرة، هي "رغبة الآخر" بمعنيين متلازمين: رغبة موجهة نحو الآخر، ورغبة الآخر ذاته التي </w:t>
      </w:r>
      <w:proofErr w:type="spellStart"/>
      <w:r>
        <w:rPr>
          <w:rFonts w:ascii="Traditional Arabic" w:eastAsia="Traditional Arabic" w:hAnsi="Traditional Arabic" w:cs="Traditional Arabic"/>
          <w:color w:val="1A1A1A"/>
          <w:sz w:val="24"/>
          <w:szCs w:val="24"/>
          <w:rtl/>
        </w:rPr>
        <w:t>يستبطنها</w:t>
      </w:r>
      <w:proofErr w:type="spellEnd"/>
      <w:r>
        <w:rPr>
          <w:rFonts w:ascii="Traditional Arabic" w:eastAsia="Traditional Arabic" w:hAnsi="Traditional Arabic" w:cs="Traditional Arabic"/>
          <w:color w:val="1A1A1A"/>
          <w:sz w:val="24"/>
          <w:szCs w:val="24"/>
          <w:rtl/>
        </w:rPr>
        <w:t xml:space="preserve"> الذات كرغبتها هي. حين تتماهى الابنة برضا الأب بوصفه "الآخر الكبير" (</w:t>
      </w:r>
      <w:proofErr w:type="spellStart"/>
      <w:r>
        <w:rPr>
          <w:rFonts w:ascii="Traditional Arabic" w:eastAsia="Traditional Arabic" w:hAnsi="Traditional Arabic" w:cs="Traditional Arabic"/>
          <w:color w:val="1A1A1A"/>
          <w:sz w:val="24"/>
          <w:szCs w:val="24"/>
          <w:rtl/>
        </w:rPr>
        <w:t>le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grand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Autre</w:t>
      </w:r>
      <w:proofErr w:type="spellEnd"/>
      <w:r>
        <w:rPr>
          <w:rFonts w:ascii="Traditional Arabic" w:eastAsia="Traditional Arabic" w:hAnsi="Traditional Arabic" w:cs="Traditional Arabic"/>
          <w:color w:val="1A1A1A"/>
          <w:sz w:val="24"/>
          <w:szCs w:val="24"/>
          <w:rtl/>
        </w:rPr>
        <w:t>) الأول، فإنها لا "تُقلّد" رغبته فحسب، بل تبني بنية رغبتها هي انطلاقاً من مكان الأب في سلسلة معيّناته. الزواج، في هذا الأفق، ليس بالضرورة كسراً للرغبة الأبوية، بل قد يكون إعادة إنتاج لها عبر موضوع بديل (الزوج) يشغل موقع الآخر الكبير الجديد ما لم يترافق مع عمل تحليلي فعلي على بنية الرغبة ذاتها.</w:t>
      </w:r>
    </w:p>
    <w:p w14:paraId="2E91E299"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5. خطاب السيد وتطبيقه على السلطة الأسرية</w:t>
      </w:r>
    </w:p>
    <w:p w14:paraId="2DAED044"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في </w:t>
      </w:r>
      <w:proofErr w:type="spellStart"/>
      <w:r>
        <w:rPr>
          <w:rFonts w:ascii="Traditional Arabic" w:eastAsia="Traditional Arabic" w:hAnsi="Traditional Arabic" w:cs="Traditional Arabic"/>
          <w:color w:val="1A1A1A"/>
          <w:sz w:val="24"/>
          <w:szCs w:val="24"/>
          <w:rtl/>
        </w:rPr>
        <w:t>سيمينار</w:t>
      </w:r>
      <w:proofErr w:type="spellEnd"/>
      <w:r>
        <w:rPr>
          <w:rFonts w:ascii="Traditional Arabic" w:eastAsia="Traditional Arabic" w:hAnsi="Traditional Arabic" w:cs="Traditional Arabic"/>
          <w:color w:val="1A1A1A"/>
          <w:sz w:val="24"/>
          <w:szCs w:val="24"/>
          <w:rtl/>
        </w:rPr>
        <w:t xml:space="preserve"> 1969-1970 (</w:t>
      </w:r>
      <w:proofErr w:type="spellStart"/>
      <w:r>
        <w:rPr>
          <w:rFonts w:ascii="Traditional Arabic" w:eastAsia="Traditional Arabic" w:hAnsi="Traditional Arabic" w:cs="Traditional Arabic"/>
          <w:color w:val="1A1A1A"/>
          <w:sz w:val="24"/>
          <w:szCs w:val="24"/>
          <w:rtl/>
        </w:rPr>
        <w:t>L'envers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la</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psychanalyse</w:t>
      </w:r>
      <w:proofErr w:type="spellEnd"/>
      <w:r>
        <w:rPr>
          <w:rFonts w:ascii="Traditional Arabic" w:eastAsia="Traditional Arabic" w:hAnsi="Traditional Arabic" w:cs="Traditional Arabic"/>
          <w:color w:val="1A1A1A"/>
          <w:sz w:val="24"/>
          <w:szCs w:val="24"/>
          <w:rtl/>
        </w:rPr>
        <w:t xml:space="preserve">)، يصوغ </w:t>
      </w:r>
      <w:proofErr w:type="spellStart"/>
      <w:r>
        <w:rPr>
          <w:rFonts w:ascii="Traditional Arabic" w:eastAsia="Traditional Arabic" w:hAnsi="Traditional Arabic" w:cs="Traditional Arabic"/>
          <w:color w:val="1A1A1A"/>
          <w:sz w:val="24"/>
          <w:szCs w:val="24"/>
          <w:rtl/>
        </w:rPr>
        <w:t>لاكان</w:t>
      </w:r>
      <w:proofErr w:type="spellEnd"/>
      <w:r>
        <w:rPr>
          <w:rFonts w:ascii="Traditional Arabic" w:eastAsia="Traditional Arabic" w:hAnsi="Traditional Arabic" w:cs="Traditional Arabic"/>
          <w:color w:val="1A1A1A"/>
          <w:sz w:val="24"/>
          <w:szCs w:val="24"/>
          <w:rtl/>
        </w:rPr>
        <w:t xml:space="preserve"> "الخطابات الأربعة" (خطاب السيد، الجامعة، الهستيريا، المحلل) كأنماط بنيوية لتوزيع السلطة والمعرفة والرغبة بين أطراف أي رابطة اجتماعية. </w:t>
      </w:r>
      <w:r>
        <w:rPr>
          <w:rFonts w:ascii="Traditional Arabic" w:eastAsia="Traditional Arabic" w:hAnsi="Traditional Arabic" w:cs="Traditional Arabic"/>
          <w:b/>
          <w:bCs/>
          <w:color w:val="1F3864"/>
          <w:sz w:val="24"/>
          <w:szCs w:val="24"/>
          <w:rtl/>
        </w:rPr>
        <w:t>خطاب السيد</w:t>
      </w:r>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يتموضع</w:t>
      </w:r>
      <w:proofErr w:type="spellEnd"/>
      <w:r>
        <w:rPr>
          <w:rFonts w:ascii="Traditional Arabic" w:eastAsia="Traditional Arabic" w:hAnsi="Traditional Arabic" w:cs="Traditional Arabic"/>
          <w:color w:val="1A1A1A"/>
          <w:sz w:val="24"/>
          <w:szCs w:val="24"/>
          <w:rtl/>
        </w:rPr>
        <w:t xml:space="preserve"> فيه المعيّن السيد (S1) في موقع الفاعل الذي يأمر معرفة الآخر (S2) بالعمل، بينما يبقى الفائض غير المُستملَك (الفائض من التمتع، </w:t>
      </w:r>
      <w:proofErr w:type="spellStart"/>
      <w:r>
        <w:rPr>
          <w:rFonts w:ascii="Traditional Arabic" w:eastAsia="Traditional Arabic" w:hAnsi="Traditional Arabic" w:cs="Traditional Arabic"/>
          <w:color w:val="1A1A1A"/>
          <w:sz w:val="24"/>
          <w:szCs w:val="24"/>
          <w:rtl/>
        </w:rPr>
        <w:t>plus-de-jouir</w:t>
      </w:r>
      <w:proofErr w:type="spellEnd"/>
      <w:r>
        <w:rPr>
          <w:rFonts w:ascii="Traditional Arabic" w:eastAsia="Traditional Arabic" w:hAnsi="Traditional Arabic" w:cs="Traditional Arabic"/>
          <w:color w:val="1A1A1A"/>
          <w:sz w:val="24"/>
          <w:szCs w:val="24"/>
          <w:rtl/>
        </w:rPr>
        <w:t>) في موقع الحقيقة المستترة، وموضوع أ في موقع الناتج غير المرئي. يمكن قراءة الأب في حالتنا كمن يشغل موقع السيد الذي يستولد من الآخرين (الزوجة، الابنة) عملاً ومعرفة وطاعة، دون أن يعترف بأن سيادته ذاتها مبنية على نقص مستتر (فشل رمزي) لا يريد مواجهته. هذا التوصيف البنيوي يفسّر لماذا يبدو "استحواذ" الأب مقاوماً للنقد العائلي المباشر: لأن بنية الخطاب ذاتها تُخفي حقيقة النقص عن الفاعل السيد نفسه، لا عن ضحاياه فقط.</w:t>
      </w:r>
    </w:p>
    <w:p w14:paraId="26787B86" w14:textId="0F0ACB21" w:rsidR="0049542D" w:rsidRDefault="00000000" w:rsidP="00C8196B">
      <w:pPr>
        <w:pStyle w:val="1"/>
        <w:pBdr>
          <w:bottom w:val="single" w:sz="4" w:space="4" w:color="0F6E6E"/>
        </w:pBdr>
        <w:bidi/>
        <w:spacing w:before="320" w:after="160"/>
      </w:pPr>
      <w:r>
        <w:rPr>
          <w:rFonts w:ascii="Traditional Arabic" w:eastAsia="Traditional Arabic" w:hAnsi="Traditional Arabic" w:cs="Traditional Arabic"/>
          <w:b/>
          <w:bCs/>
          <w:color w:val="1F3864"/>
          <w:sz w:val="30"/>
          <w:szCs w:val="30"/>
          <w:rtl/>
        </w:rPr>
        <w:t>ثانياً: تحليل  للحالة</w:t>
      </w:r>
    </w:p>
    <w:p w14:paraId="77278DB5"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1. الأب: من الأب الخيالي إلى فاعل خطاب السيد الأسري</w:t>
      </w:r>
    </w:p>
    <w:p w14:paraId="43744447"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يمكن الآن دمج القراءتين: الأب خيالياً يتماهى بالابنة كامتداد نرجسي (كما ورد في القراءة الأولى)، وبنيوياً يشغل موقع السيد في خطاب أسري يستولد الطاعة دون مساءلة. الفارق الدقيق الذي يضيفه هذا التوسع هو أن استحواذ الأب ليس "فائضاً" في الوظيفة الأبوية بل تعويضاً خيالياً عن عجزها الرمزي؛ فكلما تضخّم الحضور الخيالي (المراقبة، الشروط، القرار المطلق)، كان ذلك مؤشراً على غياب الثقة الرمزية بأن القانون سيُطاع من ذاته دون فرض شخصي متكرر. هذا ما يفسر أيضاً استمرار الأب في التدخل رغم تقدم الابنة في العمر (١٣ عاماً)، إذ لا يعمل القانون الرمزي هنا بذاته بل يحتاج إعادة تفعيل خيالي دائم من الأب، وهو عرَض بنيوي لا شخصي.</w:t>
      </w:r>
    </w:p>
    <w:p w14:paraId="5E6C2471"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 xml:space="preserve">2. الابنة: التماهي </w:t>
      </w:r>
      <w:proofErr w:type="spellStart"/>
      <w:r>
        <w:rPr>
          <w:rFonts w:ascii="Traditional Arabic" w:eastAsia="Traditional Arabic" w:hAnsi="Traditional Arabic" w:cs="Traditional Arabic"/>
          <w:b/>
          <w:bCs/>
          <w:color w:val="0F6E6E"/>
          <w:rtl/>
        </w:rPr>
        <w:t>الاستلابي</w:t>
      </w:r>
      <w:proofErr w:type="spellEnd"/>
      <w:r>
        <w:rPr>
          <w:rFonts w:ascii="Traditional Arabic" w:eastAsia="Traditional Arabic" w:hAnsi="Traditional Arabic" w:cs="Traditional Arabic"/>
          <w:b/>
          <w:bCs/>
          <w:color w:val="0F6E6E"/>
          <w:rtl/>
        </w:rPr>
        <w:t xml:space="preserve"> والزواج كمحاولة استعارة أبوية بديلة</w:t>
      </w:r>
    </w:p>
    <w:p w14:paraId="75BEFC48"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يضيف مفهوم "الاستلاب" (</w:t>
      </w:r>
      <w:proofErr w:type="spellStart"/>
      <w:r>
        <w:rPr>
          <w:rFonts w:ascii="Traditional Arabic" w:eastAsia="Traditional Arabic" w:hAnsi="Traditional Arabic" w:cs="Traditional Arabic"/>
          <w:color w:val="1A1A1A"/>
          <w:sz w:val="24"/>
          <w:szCs w:val="24"/>
          <w:rtl/>
        </w:rPr>
        <w:t>aliénation</w:t>
      </w:r>
      <w:proofErr w:type="spellEnd"/>
      <w:r>
        <w:rPr>
          <w:rFonts w:ascii="Traditional Arabic" w:eastAsia="Traditional Arabic" w:hAnsi="Traditional Arabic" w:cs="Traditional Arabic"/>
          <w:color w:val="1A1A1A"/>
          <w:sz w:val="24"/>
          <w:szCs w:val="24"/>
          <w:rtl/>
        </w:rPr>
        <w:t xml:space="preserve">) -أحد عمليتي تأسيس الذات عند </w:t>
      </w:r>
      <w:proofErr w:type="spellStart"/>
      <w:r>
        <w:rPr>
          <w:rFonts w:ascii="Traditional Arabic" w:eastAsia="Traditional Arabic" w:hAnsi="Traditional Arabic" w:cs="Traditional Arabic"/>
          <w:color w:val="1A1A1A"/>
          <w:sz w:val="24"/>
          <w:szCs w:val="24"/>
          <w:rtl/>
        </w:rPr>
        <w:t>لاكان</w:t>
      </w:r>
      <w:proofErr w:type="spellEnd"/>
      <w:r>
        <w:rPr>
          <w:rFonts w:ascii="Traditional Arabic" w:eastAsia="Traditional Arabic" w:hAnsi="Traditional Arabic" w:cs="Traditional Arabic"/>
          <w:color w:val="1A1A1A"/>
          <w:sz w:val="24"/>
          <w:szCs w:val="24"/>
          <w:rtl/>
        </w:rPr>
        <w:t xml:space="preserve"> إلى جانب "الانفصال" (</w:t>
      </w:r>
      <w:proofErr w:type="spellStart"/>
      <w:r>
        <w:rPr>
          <w:rFonts w:ascii="Traditional Arabic" w:eastAsia="Traditional Arabic" w:hAnsi="Traditional Arabic" w:cs="Traditional Arabic"/>
          <w:color w:val="1A1A1A"/>
          <w:sz w:val="24"/>
          <w:szCs w:val="24"/>
          <w:rtl/>
        </w:rPr>
        <w:t>séparation</w:t>
      </w:r>
      <w:proofErr w:type="spellEnd"/>
      <w:r>
        <w:rPr>
          <w:rFonts w:ascii="Traditional Arabic" w:eastAsia="Traditional Arabic" w:hAnsi="Traditional Arabic" w:cs="Traditional Arabic"/>
          <w:color w:val="1A1A1A"/>
          <w:sz w:val="24"/>
          <w:szCs w:val="24"/>
          <w:rtl/>
        </w:rPr>
        <w:t>)- بعداً دقيقاً: الذات تتأسس أولاً عبر استلابها في حقل الآخر (تتلقى معناها من مكان خارجها)، ثم يُفترض أن تمر بعملية انفصال تُبقي لها هامشاً من الرغبة الخاصة غير المستوعبة كلياً في رغبة الآخر. حين يتعطل الانفصال -كما يبدو في حالتنا حيث ظل الأب الآخر الكبير الأوحد لعقد وثلاثة أعوام- تبقى الذات "مستلبة" بنيوياً حتى في لحظة تمردها الظاهر (الزواج بحزم). بعبارة أخرى، الإصرار نفسه على قرار الزواج قد يكون شكلاً من أشكال الاستلاب المقلوب لا الانفصال الفعلي: رغبة تتحدد سلباً بمعارضة الأب لا إيجاباً باستقلال ذاتي عنه، وهو ما يُبقيها أسيرة سلسلة معيّناته وإن بصيغة معكوسة.</w:t>
      </w:r>
    </w:p>
    <w:p w14:paraId="3AE15250"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 xml:space="preserve">3. الأم: الجسد كموقع عودة الحقيقي - حوار مع </w:t>
      </w:r>
      <w:proofErr w:type="spellStart"/>
      <w:r>
        <w:rPr>
          <w:rFonts w:ascii="Traditional Arabic" w:eastAsia="Traditional Arabic" w:hAnsi="Traditional Arabic" w:cs="Traditional Arabic"/>
          <w:b/>
          <w:bCs/>
          <w:color w:val="0F6E6E"/>
          <w:rtl/>
        </w:rPr>
        <w:t>السيكوسوماتيك</w:t>
      </w:r>
      <w:proofErr w:type="spellEnd"/>
    </w:p>
    <w:p w14:paraId="711FA026"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يمكن تعميق قراءة "ضغط الدم" كعرَض جسدني عبر الحوار بين </w:t>
      </w:r>
      <w:proofErr w:type="spellStart"/>
      <w:r>
        <w:rPr>
          <w:rFonts w:ascii="Traditional Arabic" w:eastAsia="Traditional Arabic" w:hAnsi="Traditional Arabic" w:cs="Traditional Arabic"/>
          <w:color w:val="1A1A1A"/>
          <w:sz w:val="24"/>
          <w:szCs w:val="24"/>
          <w:rtl/>
        </w:rPr>
        <w:t>لاكان</w:t>
      </w:r>
      <w:proofErr w:type="spellEnd"/>
      <w:r>
        <w:rPr>
          <w:rFonts w:ascii="Traditional Arabic" w:eastAsia="Traditional Arabic" w:hAnsi="Traditional Arabic" w:cs="Traditional Arabic"/>
          <w:color w:val="1A1A1A"/>
          <w:sz w:val="24"/>
          <w:szCs w:val="24"/>
          <w:rtl/>
        </w:rPr>
        <w:t xml:space="preserve"> ومدرسة باريس للطب النفسي الجسدي (بيير مارتي، ميشيل دو موزان)، التي طوّرت مفهوم "التفكير </w:t>
      </w:r>
      <w:proofErr w:type="spellStart"/>
      <w:r>
        <w:rPr>
          <w:rFonts w:ascii="Traditional Arabic" w:eastAsia="Traditional Arabic" w:hAnsi="Traditional Arabic" w:cs="Traditional Arabic"/>
          <w:color w:val="1A1A1A"/>
          <w:sz w:val="24"/>
          <w:szCs w:val="24"/>
          <w:rtl/>
        </w:rPr>
        <w:t>العملياتي</w:t>
      </w:r>
      <w:proofErr w:type="spellEnd"/>
      <w:r>
        <w:rPr>
          <w:rFonts w:ascii="Traditional Arabic" w:eastAsia="Traditional Arabic" w:hAnsi="Traditional Arabic" w:cs="Traditional Arabic"/>
          <w:color w:val="1A1A1A"/>
          <w:sz w:val="24"/>
          <w:szCs w:val="24"/>
          <w:rtl/>
        </w:rPr>
        <w:t>" (</w:t>
      </w:r>
      <w:proofErr w:type="spellStart"/>
      <w:r>
        <w:rPr>
          <w:rFonts w:ascii="Traditional Arabic" w:eastAsia="Traditional Arabic" w:hAnsi="Traditional Arabic" w:cs="Traditional Arabic"/>
          <w:color w:val="1A1A1A"/>
          <w:sz w:val="24"/>
          <w:szCs w:val="24"/>
          <w:rtl/>
        </w:rPr>
        <w:t>pensée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opératoire</w:t>
      </w:r>
      <w:proofErr w:type="spellEnd"/>
      <w:r>
        <w:rPr>
          <w:rFonts w:ascii="Traditional Arabic" w:eastAsia="Traditional Arabic" w:hAnsi="Traditional Arabic" w:cs="Traditional Arabic"/>
          <w:color w:val="1A1A1A"/>
          <w:sz w:val="24"/>
          <w:szCs w:val="24"/>
          <w:rtl/>
        </w:rPr>
        <w:t xml:space="preserve">) لوصف بنية نفسية تفتقر إلى القدرة على الترميز الرمزي للصراع النفسي، فيتجه الانفعال مباشرة إلى الجسد دون مرور بالتمثيل اللغوي أو الحلم أو العرَض العصابي التقليدي. وإن لم تكن هذه المدرسة </w:t>
      </w:r>
      <w:proofErr w:type="spellStart"/>
      <w:r>
        <w:rPr>
          <w:rFonts w:ascii="Traditional Arabic" w:eastAsia="Traditional Arabic" w:hAnsi="Traditional Arabic" w:cs="Traditional Arabic"/>
          <w:color w:val="1A1A1A"/>
          <w:sz w:val="24"/>
          <w:szCs w:val="24"/>
          <w:rtl/>
        </w:rPr>
        <w:t>لاكانية</w:t>
      </w:r>
      <w:proofErr w:type="spellEnd"/>
      <w:r>
        <w:rPr>
          <w:rFonts w:ascii="Traditional Arabic" w:eastAsia="Traditional Arabic" w:hAnsi="Traditional Arabic" w:cs="Traditional Arabic"/>
          <w:color w:val="1A1A1A"/>
          <w:sz w:val="24"/>
          <w:szCs w:val="24"/>
          <w:rtl/>
        </w:rPr>
        <w:t xml:space="preserve"> الانتماء الصريح، فإن قراءتها تتقاطع مع أطروحة </w:t>
      </w:r>
      <w:proofErr w:type="spellStart"/>
      <w:r>
        <w:rPr>
          <w:rFonts w:ascii="Traditional Arabic" w:eastAsia="Traditional Arabic" w:hAnsi="Traditional Arabic" w:cs="Traditional Arabic"/>
          <w:color w:val="1A1A1A"/>
          <w:sz w:val="24"/>
          <w:szCs w:val="24"/>
          <w:rtl/>
        </w:rPr>
        <w:t>لاكان</w:t>
      </w:r>
      <w:proofErr w:type="spellEnd"/>
      <w:r>
        <w:rPr>
          <w:rFonts w:ascii="Traditional Arabic" w:eastAsia="Traditional Arabic" w:hAnsi="Traditional Arabic" w:cs="Traditional Arabic"/>
          <w:color w:val="1A1A1A"/>
          <w:sz w:val="24"/>
          <w:szCs w:val="24"/>
          <w:rtl/>
        </w:rPr>
        <w:t xml:space="preserve"> بأن الحقيقي هو "ما يعود دائماً إلى مكانه"، وأن فشل الرمزي في تنظيم الصراع (هنا: الخضوع الكامل واستحالة التعبير عن الاعتراض) يجعل الجسد هو الحيّز الوحيد المتاح لتسجيل ما تعذّر قوله. استسلام الأم ليس إذن "ضعفاً أخلاقياً" بل نتيجة بنيوية لغياب أي موقع رمزي ثالث تستطيع الأم أن </w:t>
      </w:r>
      <w:proofErr w:type="spellStart"/>
      <w:r>
        <w:rPr>
          <w:rFonts w:ascii="Traditional Arabic" w:eastAsia="Traditional Arabic" w:hAnsi="Traditional Arabic" w:cs="Traditional Arabic"/>
          <w:color w:val="1A1A1A"/>
          <w:sz w:val="24"/>
          <w:szCs w:val="24"/>
          <w:rtl/>
        </w:rPr>
        <w:t>تتموضع</w:t>
      </w:r>
      <w:proofErr w:type="spellEnd"/>
      <w:r>
        <w:rPr>
          <w:rFonts w:ascii="Traditional Arabic" w:eastAsia="Traditional Arabic" w:hAnsi="Traditional Arabic" w:cs="Traditional Arabic"/>
          <w:color w:val="1A1A1A"/>
          <w:sz w:val="24"/>
          <w:szCs w:val="24"/>
          <w:rtl/>
        </w:rPr>
        <w:t xml:space="preserve"> منه لصياغة اعتراضها بلغة، فيتكلم الجسد بدلاً منها.</w:t>
      </w:r>
    </w:p>
    <w:p w14:paraId="654FD0E2" w14:textId="77777777" w:rsidR="0049542D" w:rsidRDefault="00000000" w:rsidP="00C8196B">
      <w:pPr>
        <w:pStyle w:val="1"/>
        <w:pBdr>
          <w:bottom w:val="single" w:sz="4" w:space="4" w:color="0F6E6E"/>
        </w:pBdr>
        <w:bidi/>
        <w:spacing w:before="320" w:after="160"/>
      </w:pPr>
      <w:r>
        <w:rPr>
          <w:rFonts w:ascii="Traditional Arabic" w:eastAsia="Traditional Arabic" w:hAnsi="Traditional Arabic" w:cs="Traditional Arabic"/>
          <w:b/>
          <w:bCs/>
          <w:color w:val="1F3864"/>
          <w:sz w:val="30"/>
          <w:szCs w:val="30"/>
          <w:rtl/>
        </w:rPr>
        <w:t xml:space="preserve">ثالثاً: حوار نقدي مع تيارات ما بعد </w:t>
      </w:r>
      <w:proofErr w:type="spellStart"/>
      <w:r>
        <w:rPr>
          <w:rFonts w:ascii="Traditional Arabic" w:eastAsia="Traditional Arabic" w:hAnsi="Traditional Arabic" w:cs="Traditional Arabic"/>
          <w:b/>
          <w:bCs/>
          <w:color w:val="1F3864"/>
          <w:sz w:val="30"/>
          <w:szCs w:val="30"/>
          <w:rtl/>
        </w:rPr>
        <w:t>لاكانية</w:t>
      </w:r>
      <w:proofErr w:type="spellEnd"/>
      <w:r>
        <w:rPr>
          <w:rFonts w:ascii="Traditional Arabic" w:eastAsia="Traditional Arabic" w:hAnsi="Traditional Arabic" w:cs="Traditional Arabic"/>
          <w:b/>
          <w:bCs/>
          <w:color w:val="1F3864"/>
          <w:sz w:val="30"/>
          <w:szCs w:val="30"/>
          <w:rtl/>
        </w:rPr>
        <w:t xml:space="preserve"> معاصرة</w:t>
      </w:r>
    </w:p>
    <w:p w14:paraId="420D4A57"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 xml:space="preserve">1. </w:t>
      </w:r>
      <w:proofErr w:type="spellStart"/>
      <w:r>
        <w:rPr>
          <w:rFonts w:ascii="Traditional Arabic" w:eastAsia="Traditional Arabic" w:hAnsi="Traditional Arabic" w:cs="Traditional Arabic"/>
          <w:b/>
          <w:bCs/>
          <w:color w:val="0F6E6E"/>
          <w:rtl/>
        </w:rPr>
        <w:t>ماسيمو</w:t>
      </w:r>
      <w:proofErr w:type="spellEnd"/>
      <w:r>
        <w:rPr>
          <w:rFonts w:ascii="Traditional Arabic" w:eastAsia="Traditional Arabic" w:hAnsi="Traditional Arabic" w:cs="Traditional Arabic"/>
          <w:b/>
          <w:bCs/>
          <w:color w:val="0F6E6E"/>
          <w:rtl/>
        </w:rPr>
        <w:t xml:space="preserve"> </w:t>
      </w:r>
      <w:proofErr w:type="spellStart"/>
      <w:r>
        <w:rPr>
          <w:rFonts w:ascii="Traditional Arabic" w:eastAsia="Traditional Arabic" w:hAnsi="Traditional Arabic" w:cs="Traditional Arabic"/>
          <w:b/>
          <w:bCs/>
          <w:color w:val="0F6E6E"/>
          <w:rtl/>
        </w:rPr>
        <w:t>ريكالكاتي</w:t>
      </w:r>
      <w:proofErr w:type="spellEnd"/>
      <w:r>
        <w:rPr>
          <w:rFonts w:ascii="Traditional Arabic" w:eastAsia="Traditional Arabic" w:hAnsi="Traditional Arabic" w:cs="Traditional Arabic"/>
          <w:b/>
          <w:bCs/>
          <w:color w:val="0F6E6E"/>
          <w:rtl/>
        </w:rPr>
        <w:t xml:space="preserve">: عقدة </w:t>
      </w:r>
      <w:proofErr w:type="spellStart"/>
      <w:r>
        <w:rPr>
          <w:rFonts w:ascii="Traditional Arabic" w:eastAsia="Traditional Arabic" w:hAnsi="Traditional Arabic" w:cs="Traditional Arabic"/>
          <w:b/>
          <w:bCs/>
          <w:color w:val="0F6E6E"/>
          <w:rtl/>
        </w:rPr>
        <w:t>تليماك</w:t>
      </w:r>
      <w:proofErr w:type="spellEnd"/>
      <w:r>
        <w:rPr>
          <w:rFonts w:ascii="Traditional Arabic" w:eastAsia="Traditional Arabic" w:hAnsi="Traditional Arabic" w:cs="Traditional Arabic"/>
          <w:b/>
          <w:bCs/>
          <w:color w:val="0F6E6E"/>
          <w:rtl/>
        </w:rPr>
        <w:t xml:space="preserve"> وأزمة الأبوة المعاصرة</w:t>
      </w:r>
    </w:p>
    <w:p w14:paraId="12E9B616"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في كتابه </w:t>
      </w:r>
      <w:proofErr w:type="spellStart"/>
      <w:r>
        <w:rPr>
          <w:rFonts w:ascii="Traditional Arabic" w:eastAsia="Traditional Arabic" w:hAnsi="Traditional Arabic" w:cs="Traditional Arabic"/>
          <w:i/>
          <w:iCs/>
          <w:color w:val="1A1A1A"/>
          <w:sz w:val="24"/>
          <w:szCs w:val="24"/>
          <w:rtl/>
        </w:rPr>
        <w:t>Le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Complexe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Télémaque</w:t>
      </w:r>
      <w:proofErr w:type="spellEnd"/>
      <w:r>
        <w:rPr>
          <w:rFonts w:ascii="Traditional Arabic" w:eastAsia="Traditional Arabic" w:hAnsi="Traditional Arabic" w:cs="Traditional Arabic"/>
          <w:color w:val="1A1A1A"/>
          <w:sz w:val="24"/>
          <w:szCs w:val="24"/>
          <w:rtl/>
        </w:rPr>
        <w:t xml:space="preserve"> (2013)، يطرح التحليلي النفسي الإيطالي </w:t>
      </w:r>
      <w:proofErr w:type="spellStart"/>
      <w:r>
        <w:rPr>
          <w:rFonts w:ascii="Traditional Arabic" w:eastAsia="Traditional Arabic" w:hAnsi="Traditional Arabic" w:cs="Traditional Arabic"/>
          <w:color w:val="1A1A1A"/>
          <w:sz w:val="24"/>
          <w:szCs w:val="24"/>
          <w:rtl/>
        </w:rPr>
        <w:t>ماسيمو</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ريكالكاتي</w:t>
      </w:r>
      <w:proofErr w:type="spellEnd"/>
      <w:r>
        <w:rPr>
          <w:rFonts w:ascii="Traditional Arabic" w:eastAsia="Traditional Arabic" w:hAnsi="Traditional Arabic" w:cs="Traditional Arabic"/>
          <w:color w:val="1A1A1A"/>
          <w:sz w:val="24"/>
          <w:szCs w:val="24"/>
          <w:rtl/>
        </w:rPr>
        <w:t xml:space="preserve"> أطروحة مضادة ظاهرياً لحالتنا: أن أزمة الأبوة المعاصرة في الغرب تتجلى غالباً في </w:t>
      </w:r>
      <w:r>
        <w:rPr>
          <w:rFonts w:ascii="Traditional Arabic" w:eastAsia="Traditional Arabic" w:hAnsi="Traditional Arabic" w:cs="Traditional Arabic"/>
          <w:b/>
          <w:bCs/>
          <w:color w:val="1F3864"/>
          <w:sz w:val="24"/>
          <w:szCs w:val="24"/>
          <w:rtl/>
        </w:rPr>
        <w:t>تبخّر</w:t>
      </w:r>
      <w:r>
        <w:rPr>
          <w:rFonts w:ascii="Traditional Arabic" w:eastAsia="Traditional Arabic" w:hAnsi="Traditional Arabic" w:cs="Traditional Arabic"/>
          <w:color w:val="1A1A1A"/>
          <w:sz w:val="24"/>
          <w:szCs w:val="24"/>
          <w:rtl/>
        </w:rPr>
        <w:t xml:space="preserve"> الوظيفة الأبوية (</w:t>
      </w:r>
      <w:proofErr w:type="spellStart"/>
      <w:r>
        <w:rPr>
          <w:rFonts w:ascii="Traditional Arabic" w:eastAsia="Traditional Arabic" w:hAnsi="Traditional Arabic" w:cs="Traditional Arabic"/>
          <w:color w:val="1A1A1A"/>
          <w:sz w:val="24"/>
          <w:szCs w:val="24"/>
          <w:rtl/>
        </w:rPr>
        <w:t>évaporation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du</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père</w:t>
      </w:r>
      <w:proofErr w:type="spellEnd"/>
      <w:r>
        <w:rPr>
          <w:rFonts w:ascii="Traditional Arabic" w:eastAsia="Traditional Arabic" w:hAnsi="Traditional Arabic" w:cs="Traditional Arabic"/>
          <w:color w:val="1A1A1A"/>
          <w:sz w:val="24"/>
          <w:szCs w:val="24"/>
          <w:rtl/>
        </w:rPr>
        <w:t xml:space="preserve">) لا في تضخمها، أي في أب متساهل غائب رمزياً يترك الابن/الابنة بلا معيّن يُحيل إلى قانون متجاوز للرغبة الفردية. غير أن المفارقة الدقيقة هي أن التضخم الخيالي للأب في حالتنا والتبخر الرمزي الذي يصفه </w:t>
      </w:r>
      <w:proofErr w:type="spellStart"/>
      <w:r>
        <w:rPr>
          <w:rFonts w:ascii="Traditional Arabic" w:eastAsia="Traditional Arabic" w:hAnsi="Traditional Arabic" w:cs="Traditional Arabic"/>
          <w:color w:val="1A1A1A"/>
          <w:sz w:val="24"/>
          <w:szCs w:val="24"/>
          <w:rtl/>
        </w:rPr>
        <w:t>ريكالكاتي</w:t>
      </w:r>
      <w:proofErr w:type="spellEnd"/>
      <w:r>
        <w:rPr>
          <w:rFonts w:ascii="Traditional Arabic" w:eastAsia="Traditional Arabic" w:hAnsi="Traditional Arabic" w:cs="Traditional Arabic"/>
          <w:color w:val="1A1A1A"/>
          <w:sz w:val="24"/>
          <w:szCs w:val="24"/>
          <w:rtl/>
        </w:rPr>
        <w:t xml:space="preserve"> يشتركان في نتيجة واحدة: غياب أب رمزي فعلي قادر على أن يقول "لا" بصفته ممثلاً لقانون يتجاوزه هو شخصياً، لا بصفته صاحب إرادة يفرضها. الأب المستحوذ في حالتنا ليس نقيض الأب الغائب بل صيغة أخرى من صيغه: كلاهما يعجز عن تمثيل القانون الرمزي المحايد، أحدهما بالانسحاب والآخر بالاستيلاء.</w:t>
      </w:r>
    </w:p>
    <w:p w14:paraId="2AFB3299"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 xml:space="preserve">2. جوليا </w:t>
      </w:r>
      <w:proofErr w:type="spellStart"/>
      <w:r>
        <w:rPr>
          <w:rFonts w:ascii="Traditional Arabic" w:eastAsia="Traditional Arabic" w:hAnsi="Traditional Arabic" w:cs="Traditional Arabic"/>
          <w:b/>
          <w:bCs/>
          <w:color w:val="0F6E6E"/>
          <w:rtl/>
        </w:rPr>
        <w:t>كريستيفا</w:t>
      </w:r>
      <w:proofErr w:type="spellEnd"/>
      <w:r>
        <w:rPr>
          <w:rFonts w:ascii="Traditional Arabic" w:eastAsia="Traditional Arabic" w:hAnsi="Traditional Arabic" w:cs="Traditional Arabic"/>
          <w:b/>
          <w:bCs/>
          <w:color w:val="0F6E6E"/>
          <w:rtl/>
        </w:rPr>
        <w:t>: الامتهان وجسد الأم</w:t>
      </w:r>
    </w:p>
    <w:p w14:paraId="01D0F1CD"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تقدّم جوليا </w:t>
      </w:r>
      <w:proofErr w:type="spellStart"/>
      <w:r>
        <w:rPr>
          <w:rFonts w:ascii="Traditional Arabic" w:eastAsia="Traditional Arabic" w:hAnsi="Traditional Arabic" w:cs="Traditional Arabic"/>
          <w:color w:val="1A1A1A"/>
          <w:sz w:val="24"/>
          <w:szCs w:val="24"/>
          <w:rtl/>
        </w:rPr>
        <w:t>كريستيفا</w:t>
      </w:r>
      <w:proofErr w:type="spellEnd"/>
      <w:r>
        <w:rPr>
          <w:rFonts w:ascii="Traditional Arabic" w:eastAsia="Traditional Arabic" w:hAnsi="Traditional Arabic" w:cs="Traditional Arabic"/>
          <w:color w:val="1A1A1A"/>
          <w:sz w:val="24"/>
          <w:szCs w:val="24"/>
          <w:rtl/>
        </w:rPr>
        <w:t xml:space="preserve"> في </w:t>
      </w:r>
      <w:proofErr w:type="spellStart"/>
      <w:r>
        <w:rPr>
          <w:rFonts w:ascii="Traditional Arabic" w:eastAsia="Traditional Arabic" w:hAnsi="Traditional Arabic" w:cs="Traditional Arabic"/>
          <w:i/>
          <w:iCs/>
          <w:color w:val="1A1A1A"/>
          <w:sz w:val="24"/>
          <w:szCs w:val="24"/>
          <w:rtl/>
        </w:rPr>
        <w:t>Pouvoirs</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l'horreur</w:t>
      </w:r>
      <w:proofErr w:type="spellEnd"/>
      <w:r>
        <w:rPr>
          <w:rFonts w:ascii="Traditional Arabic" w:eastAsia="Traditional Arabic" w:hAnsi="Traditional Arabic" w:cs="Traditional Arabic"/>
          <w:color w:val="1A1A1A"/>
          <w:sz w:val="24"/>
          <w:szCs w:val="24"/>
          <w:rtl/>
        </w:rPr>
        <w:t xml:space="preserve"> (1980) مفهوم "الامتهان" (</w:t>
      </w:r>
      <w:proofErr w:type="spellStart"/>
      <w:r>
        <w:rPr>
          <w:rFonts w:ascii="Traditional Arabic" w:eastAsia="Traditional Arabic" w:hAnsi="Traditional Arabic" w:cs="Traditional Arabic"/>
          <w:color w:val="1A1A1A"/>
          <w:sz w:val="24"/>
          <w:szCs w:val="24"/>
          <w:rtl/>
        </w:rPr>
        <w:t>l'abjection</w:t>
      </w:r>
      <w:proofErr w:type="spellEnd"/>
      <w:r>
        <w:rPr>
          <w:rFonts w:ascii="Traditional Arabic" w:eastAsia="Traditional Arabic" w:hAnsi="Traditional Arabic" w:cs="Traditional Arabic"/>
          <w:color w:val="1A1A1A"/>
          <w:sz w:val="24"/>
          <w:szCs w:val="24"/>
          <w:rtl/>
        </w:rPr>
        <w:t xml:space="preserve">) لوصف المنطقة الحدّية بين الذات والموضوع، حيث يهدد ما هو قريب جداً (الأم، الجسد، الإفرازات) بالانصهار في الذات فيُقصى بعنف رمزي ليُحفظ لها حد. يمكن توظيف هذا المفهوم -بحذر منهجي، إذ إن </w:t>
      </w:r>
      <w:proofErr w:type="spellStart"/>
      <w:r>
        <w:rPr>
          <w:rFonts w:ascii="Traditional Arabic" w:eastAsia="Traditional Arabic" w:hAnsi="Traditional Arabic" w:cs="Traditional Arabic"/>
          <w:color w:val="1A1A1A"/>
          <w:sz w:val="24"/>
          <w:szCs w:val="24"/>
          <w:rtl/>
        </w:rPr>
        <w:t>كريستيفا</w:t>
      </w:r>
      <w:proofErr w:type="spellEnd"/>
      <w:r>
        <w:rPr>
          <w:rFonts w:ascii="Traditional Arabic" w:eastAsia="Traditional Arabic" w:hAnsi="Traditional Arabic" w:cs="Traditional Arabic"/>
          <w:color w:val="1A1A1A"/>
          <w:sz w:val="24"/>
          <w:szCs w:val="24"/>
          <w:rtl/>
        </w:rPr>
        <w:t xml:space="preserve"> تتحدث أساساً عن علاقة الطفل بالأم لا عن علاقة الأم بذاتها- لقراءة استسلام الأم كصورة من "امتهان الذات": الأم التي تعطّلت وظيفتها كـ"ثالث محتمل" (بمعنى قدرتها على استدعاء قانون خارج الثنائية) تجد نفسها في موقع الموضوع الممتهَن داخل البنية الأسرية ذاتها، لا الذات القادرة على الإحالة إلى الرمزي.</w:t>
      </w:r>
    </w:p>
    <w:p w14:paraId="47D8ED42" w14:textId="77777777" w:rsidR="0049542D" w:rsidRDefault="00000000" w:rsidP="00C8196B">
      <w:pPr>
        <w:pStyle w:val="2"/>
        <w:bidi/>
        <w:spacing w:before="220" w:after="120"/>
      </w:pPr>
      <w:r>
        <w:rPr>
          <w:rFonts w:ascii="Traditional Arabic" w:eastAsia="Traditional Arabic" w:hAnsi="Traditional Arabic" w:cs="Traditional Arabic"/>
          <w:b/>
          <w:bCs/>
          <w:color w:val="0F6E6E"/>
          <w:rtl/>
        </w:rPr>
        <w:t>3. مساءلة نقدية: هل الأب "مستحوذ" أم "غائب خلف قناع السلطة"؟</w:t>
      </w:r>
    </w:p>
    <w:p w14:paraId="6812E820"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يفرض هذا الحوار مساءلة نقدية للقراءة الأولى ذاتها: هل السلطة الأبوية الظاهرة دليل على فائض رمزي أم على عجز رمزي متنكر في زي السلطة؟ الأطروحة </w:t>
      </w:r>
      <w:proofErr w:type="spellStart"/>
      <w:r>
        <w:rPr>
          <w:rFonts w:ascii="Traditional Arabic" w:eastAsia="Traditional Arabic" w:hAnsi="Traditional Arabic" w:cs="Traditional Arabic"/>
          <w:color w:val="1A1A1A"/>
          <w:sz w:val="24"/>
          <w:szCs w:val="24"/>
          <w:rtl/>
        </w:rPr>
        <w:t>اللاكانية</w:t>
      </w:r>
      <w:proofErr w:type="spellEnd"/>
      <w:r>
        <w:rPr>
          <w:rFonts w:ascii="Traditional Arabic" w:eastAsia="Traditional Arabic" w:hAnsi="Traditional Arabic" w:cs="Traditional Arabic"/>
          <w:color w:val="1A1A1A"/>
          <w:sz w:val="24"/>
          <w:szCs w:val="24"/>
          <w:rtl/>
        </w:rPr>
        <w:t xml:space="preserve"> المتماسكة -بدعم من </w:t>
      </w:r>
      <w:proofErr w:type="spellStart"/>
      <w:r>
        <w:rPr>
          <w:rFonts w:ascii="Traditional Arabic" w:eastAsia="Traditional Arabic" w:hAnsi="Traditional Arabic" w:cs="Traditional Arabic"/>
          <w:color w:val="1A1A1A"/>
          <w:sz w:val="24"/>
          <w:szCs w:val="24"/>
          <w:rtl/>
        </w:rPr>
        <w:t>فيرهاغه</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وريكالكاتي</w:t>
      </w:r>
      <w:proofErr w:type="spellEnd"/>
      <w:r>
        <w:rPr>
          <w:rFonts w:ascii="Traditional Arabic" w:eastAsia="Traditional Arabic" w:hAnsi="Traditional Arabic" w:cs="Traditional Arabic"/>
          <w:color w:val="1A1A1A"/>
          <w:sz w:val="24"/>
          <w:szCs w:val="24"/>
          <w:rtl/>
        </w:rPr>
        <w:t xml:space="preserve"> معاً- تميل إلى الخيار الثاني: السيطرة المفرطة هي عرَض العجز الرمزي لا نقيضه. هذا التمييز ليس تفصيلاً نظرياً بل له أثر إكلينيكي مباشر: العمل العلاجي مع الابنة لا ينبغي أن يستهدف "مقاومة أب قوي" بل "بناء رمزي مستقل حيث لم يوفَّر نموذج رمزي كافٍ من الأساس"، وهو فارق جوهري بين تحليل يقوّي أعراض المواجهة وتحليل يبني بنية بديلة.</w:t>
      </w:r>
    </w:p>
    <w:p w14:paraId="385FFABA" w14:textId="77777777" w:rsidR="0049542D" w:rsidRDefault="00000000" w:rsidP="00C8196B">
      <w:pPr>
        <w:pStyle w:val="1"/>
        <w:pBdr>
          <w:bottom w:val="single" w:sz="4" w:space="4" w:color="0F6E6E"/>
        </w:pBdr>
        <w:bidi/>
        <w:spacing w:before="320" w:after="160"/>
      </w:pPr>
      <w:r>
        <w:rPr>
          <w:rFonts w:ascii="Traditional Arabic" w:eastAsia="Traditional Arabic" w:hAnsi="Traditional Arabic" w:cs="Traditional Arabic"/>
          <w:b/>
          <w:bCs/>
          <w:color w:val="1F3864"/>
          <w:sz w:val="30"/>
          <w:szCs w:val="30"/>
          <w:rtl/>
        </w:rPr>
        <w:t>رابعاً: أفق علاجي - من التفسير إلى إعادة بناء اسم أب رمزي</w:t>
      </w:r>
    </w:p>
    <w:p w14:paraId="55228903"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 xml:space="preserve">لا يكتفي العمل التحليلي </w:t>
      </w:r>
      <w:proofErr w:type="spellStart"/>
      <w:r>
        <w:rPr>
          <w:rFonts w:ascii="Traditional Arabic" w:eastAsia="Traditional Arabic" w:hAnsi="Traditional Arabic" w:cs="Traditional Arabic"/>
          <w:color w:val="1A1A1A"/>
          <w:sz w:val="24"/>
          <w:szCs w:val="24"/>
          <w:rtl/>
        </w:rPr>
        <w:t>اللاكاني</w:t>
      </w:r>
      <w:proofErr w:type="spellEnd"/>
      <w:r>
        <w:rPr>
          <w:rFonts w:ascii="Traditional Arabic" w:eastAsia="Traditional Arabic" w:hAnsi="Traditional Arabic" w:cs="Traditional Arabic"/>
          <w:color w:val="1A1A1A"/>
          <w:sz w:val="24"/>
          <w:szCs w:val="24"/>
          <w:rtl/>
        </w:rPr>
        <w:t xml:space="preserve"> بتفسير الأعراض بل يستهدف، عبر مسار طويل من "المحادثة الحرة" (</w:t>
      </w:r>
      <w:proofErr w:type="spellStart"/>
      <w:r>
        <w:rPr>
          <w:rFonts w:ascii="Traditional Arabic" w:eastAsia="Traditional Arabic" w:hAnsi="Traditional Arabic" w:cs="Traditional Arabic"/>
          <w:color w:val="1A1A1A"/>
          <w:sz w:val="24"/>
          <w:szCs w:val="24"/>
          <w:rtl/>
        </w:rPr>
        <w:t>association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libre</w:t>
      </w:r>
      <w:proofErr w:type="spellEnd"/>
      <w:r>
        <w:rPr>
          <w:rFonts w:ascii="Traditional Arabic" w:eastAsia="Traditional Arabic" w:hAnsi="Traditional Arabic" w:cs="Traditional Arabic"/>
          <w:color w:val="1A1A1A"/>
          <w:sz w:val="24"/>
          <w:szCs w:val="24"/>
          <w:rtl/>
        </w:rPr>
        <w:t xml:space="preserve">) وتفكيك التماهيات الخيالية، تمكين المُحلَّل من </w:t>
      </w:r>
      <w:proofErr w:type="spellStart"/>
      <w:r>
        <w:rPr>
          <w:rFonts w:ascii="Traditional Arabic" w:eastAsia="Traditional Arabic" w:hAnsi="Traditional Arabic" w:cs="Traditional Arabic"/>
          <w:color w:val="1A1A1A"/>
          <w:sz w:val="24"/>
          <w:szCs w:val="24"/>
          <w:rtl/>
        </w:rPr>
        <w:t>موضعة</w:t>
      </w:r>
      <w:proofErr w:type="spellEnd"/>
      <w:r>
        <w:rPr>
          <w:rFonts w:ascii="Traditional Arabic" w:eastAsia="Traditional Arabic" w:hAnsi="Traditional Arabic" w:cs="Traditional Arabic"/>
          <w:color w:val="1A1A1A"/>
          <w:sz w:val="24"/>
          <w:szCs w:val="24"/>
          <w:rtl/>
        </w:rPr>
        <w:t xml:space="preserve"> نفسه كذات تجاه سلسلة المعيّنات لا كموضوع فيها. في حالة الابنة، يعني ذلك مساعدتها على تمييز رغبتها الخاصة عن الرغبة المُستبطَنة من الأب، عبر تتبع اللحظات التي "تريد" فيها شيئاً استقلالاً عن معيار رضا الآخر أو معارضته. أما بالنسبة إلى الأم، فإن أي تدخل علاجي يستهدف الجسد لا يمكن أن ينجح إن لم </w:t>
      </w:r>
      <w:proofErr w:type="spellStart"/>
      <w:r>
        <w:rPr>
          <w:rFonts w:ascii="Traditional Arabic" w:eastAsia="Traditional Arabic" w:hAnsi="Traditional Arabic" w:cs="Traditional Arabic"/>
          <w:color w:val="1A1A1A"/>
          <w:sz w:val="24"/>
          <w:szCs w:val="24"/>
          <w:rtl/>
        </w:rPr>
        <w:t>يواكبه</w:t>
      </w:r>
      <w:proofErr w:type="spellEnd"/>
      <w:r>
        <w:rPr>
          <w:rFonts w:ascii="Traditional Arabic" w:eastAsia="Traditional Arabic" w:hAnsi="Traditional Arabic" w:cs="Traditional Arabic"/>
          <w:color w:val="1A1A1A"/>
          <w:sz w:val="24"/>
          <w:szCs w:val="24"/>
          <w:rtl/>
        </w:rPr>
        <w:t xml:space="preserve"> فتح حيّز رمزي-كلامي جديد يتيح صياغة الصراع بلغة بدل تفريغه جسدياً، بما يتقاطع مع منطق التكامل بين المقاربة </w:t>
      </w:r>
      <w:proofErr w:type="spellStart"/>
      <w:r>
        <w:rPr>
          <w:rFonts w:ascii="Traditional Arabic" w:eastAsia="Traditional Arabic" w:hAnsi="Traditional Arabic" w:cs="Traditional Arabic"/>
          <w:color w:val="1A1A1A"/>
          <w:sz w:val="24"/>
          <w:szCs w:val="24"/>
          <w:rtl/>
        </w:rPr>
        <w:t>اللاكانية</w:t>
      </w:r>
      <w:proofErr w:type="spellEnd"/>
      <w:r>
        <w:rPr>
          <w:rFonts w:ascii="Traditional Arabic" w:eastAsia="Traditional Arabic" w:hAnsi="Traditional Arabic" w:cs="Traditional Arabic"/>
          <w:color w:val="1A1A1A"/>
          <w:sz w:val="24"/>
          <w:szCs w:val="24"/>
          <w:rtl/>
        </w:rPr>
        <w:t xml:space="preserve"> والمقاربات الجسدية-النفسية المعاصرة.</w:t>
      </w:r>
    </w:p>
    <w:p w14:paraId="28EF10F5" w14:textId="2590760B" w:rsidR="0049542D" w:rsidRDefault="00000000" w:rsidP="00C8196B">
      <w:pPr>
        <w:pStyle w:val="1"/>
        <w:pBdr>
          <w:bottom w:val="single" w:sz="4" w:space="4" w:color="0F6E6E"/>
        </w:pBdr>
        <w:bidi/>
        <w:spacing w:before="320" w:after="160"/>
      </w:pPr>
      <w:r>
        <w:rPr>
          <w:rFonts w:ascii="Traditional Arabic" w:eastAsia="Traditional Arabic" w:hAnsi="Traditional Arabic" w:cs="Traditional Arabic"/>
          <w:b/>
          <w:bCs/>
          <w:color w:val="1F3864"/>
          <w:sz w:val="30"/>
          <w:szCs w:val="30"/>
          <w:rtl/>
        </w:rPr>
        <w:t>خاتمة : من النقد إلى إعادة البناء</w:t>
      </w:r>
    </w:p>
    <w:p w14:paraId="766A4AD0" w14:textId="77777777" w:rsidR="0049542D" w:rsidRDefault="00000000" w:rsidP="00C8196B">
      <w:pPr>
        <w:spacing w:after="160" w:line="340" w:lineRule="auto"/>
      </w:pPr>
      <w:r>
        <w:rPr>
          <w:rFonts w:ascii="Traditional Arabic" w:eastAsia="Traditional Arabic" w:hAnsi="Traditional Arabic" w:cs="Traditional Arabic"/>
          <w:color w:val="1A1A1A"/>
          <w:sz w:val="24"/>
          <w:szCs w:val="24"/>
          <w:rtl/>
        </w:rPr>
        <w:t>يخلص هذا التوسيع إلى أن الحالة لا تُختزل في ثنائية "أب مستبد/ضحايا خاضعات"، بل تكشف عن بنية أسرية بأكملها تفتقر إلى موقع رمزي ثالث فاعل يمكن لأي طرف أن يستند إليه لصياغة رغبته المستقلة. الزواج بوصفه حدثاً بيوغرافياً ليس حلاً بذاته ولا تكراراً حتمياً للنمط، بل لحظة مفتوحة يتقرر مصيرها بمدى ما يرافقها من عمل رمزي فعلي على الرغبة، لا بمجرد التغيير الجغرافي أو الاجتماعي. هذا ما يجعل التوصية الإكلينيكية الأهم هي إتاحة مسار تحليلي أو علاجي طويل النفس للابنة تحديداً، يتيح لها بناء "اسم أب" داخلي رمزي -بالمعنى الوظيفي لا الشخصي- تستند إليه في علاقاتها المقبلة، بدل الاكتفاء بتغيير موضع "الآخر الكبير" من الأب إلى الزوج.</w:t>
      </w:r>
    </w:p>
    <w:p w14:paraId="66C4F629" w14:textId="77777777" w:rsidR="0049542D" w:rsidRDefault="00000000" w:rsidP="00C8196B">
      <w:pPr>
        <w:pStyle w:val="1"/>
        <w:pBdr>
          <w:bottom w:val="single" w:sz="4" w:space="4" w:color="0F6E6E"/>
        </w:pBdr>
        <w:bidi/>
        <w:spacing w:before="320" w:after="160"/>
      </w:pPr>
      <w:r>
        <w:rPr>
          <w:rFonts w:ascii="Traditional Arabic" w:eastAsia="Traditional Arabic" w:hAnsi="Traditional Arabic" w:cs="Traditional Arabic"/>
          <w:b/>
          <w:bCs/>
          <w:color w:val="1F3864"/>
          <w:sz w:val="30"/>
          <w:szCs w:val="30"/>
          <w:rtl/>
        </w:rPr>
        <w:t>قائمة المراجع</w:t>
      </w:r>
    </w:p>
    <w:p w14:paraId="2D24729D"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Lacan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Jacques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Écrits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Éditions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du</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Seuil</w:t>
      </w:r>
      <w:proofErr w:type="spellEnd"/>
      <w:r>
        <w:rPr>
          <w:rFonts w:ascii="Traditional Arabic" w:eastAsia="Traditional Arabic" w:hAnsi="Traditional Arabic" w:cs="Traditional Arabic"/>
          <w:color w:val="1A1A1A"/>
          <w:sz w:val="24"/>
          <w:szCs w:val="24"/>
          <w:rtl/>
        </w:rPr>
        <w:t>, 1966.</w:t>
      </w:r>
    </w:p>
    <w:p w14:paraId="6A4DC434"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Lacan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Jacques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Séminaire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Livre</w:t>
      </w:r>
      <w:proofErr w:type="spellEnd"/>
      <w:r>
        <w:rPr>
          <w:rFonts w:ascii="Traditional Arabic" w:eastAsia="Traditional Arabic" w:hAnsi="Traditional Arabic" w:cs="Traditional Arabic"/>
          <w:i/>
          <w:iCs/>
          <w:color w:val="1A1A1A"/>
          <w:sz w:val="24"/>
          <w:szCs w:val="24"/>
          <w:rtl/>
        </w:rPr>
        <w:t xml:space="preserve"> III: </w:t>
      </w:r>
      <w:proofErr w:type="spellStart"/>
      <w:r>
        <w:rPr>
          <w:rFonts w:ascii="Traditional Arabic" w:eastAsia="Traditional Arabic" w:hAnsi="Traditional Arabic" w:cs="Traditional Arabic"/>
          <w:i/>
          <w:iCs/>
          <w:color w:val="1A1A1A"/>
          <w:sz w:val="24"/>
          <w:szCs w:val="24"/>
          <w:rtl/>
        </w:rPr>
        <w:t>Les</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psychoses</w:t>
      </w:r>
      <w:proofErr w:type="spellEnd"/>
      <w:r>
        <w:rPr>
          <w:rFonts w:ascii="Traditional Arabic" w:eastAsia="Traditional Arabic" w:hAnsi="Traditional Arabic" w:cs="Traditional Arabic"/>
          <w:color w:val="1A1A1A"/>
          <w:sz w:val="24"/>
          <w:szCs w:val="24"/>
          <w:rtl/>
        </w:rPr>
        <w:t xml:space="preserve"> (1955-1956).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Seuil</w:t>
      </w:r>
      <w:proofErr w:type="spellEnd"/>
      <w:r>
        <w:rPr>
          <w:rFonts w:ascii="Traditional Arabic" w:eastAsia="Traditional Arabic" w:hAnsi="Traditional Arabic" w:cs="Traditional Arabic"/>
          <w:color w:val="1A1A1A"/>
          <w:sz w:val="24"/>
          <w:szCs w:val="24"/>
          <w:rtl/>
        </w:rPr>
        <w:t>, 1981.</w:t>
      </w:r>
    </w:p>
    <w:p w14:paraId="446CF08F"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Lacan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Jacques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Séminaire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Livre</w:t>
      </w:r>
      <w:proofErr w:type="spellEnd"/>
      <w:r>
        <w:rPr>
          <w:rFonts w:ascii="Traditional Arabic" w:eastAsia="Traditional Arabic" w:hAnsi="Traditional Arabic" w:cs="Traditional Arabic"/>
          <w:i/>
          <w:iCs/>
          <w:color w:val="1A1A1A"/>
          <w:sz w:val="24"/>
          <w:szCs w:val="24"/>
          <w:rtl/>
        </w:rPr>
        <w:t xml:space="preserve"> V: </w:t>
      </w:r>
      <w:proofErr w:type="spellStart"/>
      <w:r>
        <w:rPr>
          <w:rFonts w:ascii="Traditional Arabic" w:eastAsia="Traditional Arabic" w:hAnsi="Traditional Arabic" w:cs="Traditional Arabic"/>
          <w:i/>
          <w:iCs/>
          <w:color w:val="1A1A1A"/>
          <w:sz w:val="24"/>
          <w:szCs w:val="24"/>
          <w:rtl/>
        </w:rPr>
        <w:t>Les</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formations</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l'inconscient</w:t>
      </w:r>
      <w:proofErr w:type="spellEnd"/>
      <w:r>
        <w:rPr>
          <w:rFonts w:ascii="Traditional Arabic" w:eastAsia="Traditional Arabic" w:hAnsi="Traditional Arabic" w:cs="Traditional Arabic"/>
          <w:color w:val="1A1A1A"/>
          <w:sz w:val="24"/>
          <w:szCs w:val="24"/>
          <w:rtl/>
        </w:rPr>
        <w:t xml:space="preserve"> (1957-1958).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Seuil</w:t>
      </w:r>
      <w:proofErr w:type="spellEnd"/>
      <w:r>
        <w:rPr>
          <w:rFonts w:ascii="Traditional Arabic" w:eastAsia="Traditional Arabic" w:hAnsi="Traditional Arabic" w:cs="Traditional Arabic"/>
          <w:color w:val="1A1A1A"/>
          <w:sz w:val="24"/>
          <w:szCs w:val="24"/>
          <w:rtl/>
        </w:rPr>
        <w:t>, 1998.</w:t>
      </w:r>
    </w:p>
    <w:p w14:paraId="2255667B"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Lacan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Jacques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Séminaire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Livre</w:t>
      </w:r>
      <w:proofErr w:type="spellEnd"/>
      <w:r>
        <w:rPr>
          <w:rFonts w:ascii="Traditional Arabic" w:eastAsia="Traditional Arabic" w:hAnsi="Traditional Arabic" w:cs="Traditional Arabic"/>
          <w:i/>
          <w:iCs/>
          <w:color w:val="1A1A1A"/>
          <w:sz w:val="24"/>
          <w:szCs w:val="24"/>
          <w:rtl/>
        </w:rPr>
        <w:t xml:space="preserve"> XVII: </w:t>
      </w:r>
      <w:proofErr w:type="spellStart"/>
      <w:r>
        <w:rPr>
          <w:rFonts w:ascii="Traditional Arabic" w:eastAsia="Traditional Arabic" w:hAnsi="Traditional Arabic" w:cs="Traditional Arabic"/>
          <w:i/>
          <w:iCs/>
          <w:color w:val="1A1A1A"/>
          <w:sz w:val="24"/>
          <w:szCs w:val="24"/>
          <w:rtl/>
        </w:rPr>
        <w:t>L'envers</w:t>
      </w:r>
      <w:proofErr w:type="spellEnd"/>
      <w:r>
        <w:rPr>
          <w:rFonts w:ascii="Traditional Arabic" w:eastAsia="Traditional Arabic" w:hAnsi="Traditional Arabic" w:cs="Traditional Arabic"/>
          <w:i/>
          <w:iCs/>
          <w:color w:val="1A1A1A"/>
          <w:sz w:val="24"/>
          <w:szCs w:val="24"/>
          <w:rtl/>
        </w:rPr>
        <w:t xml:space="preserve"> de </w:t>
      </w:r>
      <w:proofErr w:type="spellStart"/>
      <w:r>
        <w:rPr>
          <w:rFonts w:ascii="Traditional Arabic" w:eastAsia="Traditional Arabic" w:hAnsi="Traditional Arabic" w:cs="Traditional Arabic"/>
          <w:i/>
          <w:iCs/>
          <w:color w:val="1A1A1A"/>
          <w:sz w:val="24"/>
          <w:szCs w:val="24"/>
          <w:rtl/>
        </w:rPr>
        <w:t>la</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psychanalyse</w:t>
      </w:r>
      <w:proofErr w:type="spellEnd"/>
      <w:r>
        <w:rPr>
          <w:rFonts w:ascii="Traditional Arabic" w:eastAsia="Traditional Arabic" w:hAnsi="Traditional Arabic" w:cs="Traditional Arabic"/>
          <w:color w:val="1A1A1A"/>
          <w:sz w:val="24"/>
          <w:szCs w:val="24"/>
          <w:rtl/>
        </w:rPr>
        <w:t xml:space="preserve"> (1969-1970).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Seuil</w:t>
      </w:r>
      <w:proofErr w:type="spellEnd"/>
      <w:r>
        <w:rPr>
          <w:rFonts w:ascii="Traditional Arabic" w:eastAsia="Traditional Arabic" w:hAnsi="Traditional Arabic" w:cs="Traditional Arabic"/>
          <w:color w:val="1A1A1A"/>
          <w:sz w:val="24"/>
          <w:szCs w:val="24"/>
          <w:rtl/>
        </w:rPr>
        <w:t>, 1991.</w:t>
      </w:r>
    </w:p>
    <w:p w14:paraId="41494FEE"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Fink</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Bruce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The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Lacanian</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Subject</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Between</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Language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and</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Jouissance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Princeton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Princeton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University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 1995.</w:t>
      </w:r>
    </w:p>
    <w:p w14:paraId="348C2FBC"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Fink</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Bruce</w:t>
      </w:r>
      <w:proofErr w:type="spellEnd"/>
      <w:r>
        <w:rPr>
          <w:rFonts w:ascii="Traditional Arabic" w:eastAsia="Traditional Arabic" w:hAnsi="Traditional Arabic" w:cs="Traditional Arabic"/>
          <w:color w:val="1A1A1A"/>
          <w:sz w:val="24"/>
          <w:szCs w:val="24"/>
          <w:rtl/>
        </w:rPr>
        <w:t xml:space="preserve">. </w:t>
      </w:r>
      <w:r>
        <w:rPr>
          <w:rFonts w:ascii="Traditional Arabic" w:eastAsia="Traditional Arabic" w:hAnsi="Traditional Arabic" w:cs="Traditional Arabic"/>
          <w:i/>
          <w:iCs/>
          <w:color w:val="1A1A1A"/>
          <w:sz w:val="24"/>
          <w:szCs w:val="24"/>
          <w:rtl/>
        </w:rPr>
        <w:t xml:space="preserve">A </w:t>
      </w:r>
      <w:proofErr w:type="spellStart"/>
      <w:r>
        <w:rPr>
          <w:rFonts w:ascii="Traditional Arabic" w:eastAsia="Traditional Arabic" w:hAnsi="Traditional Arabic" w:cs="Traditional Arabic"/>
          <w:i/>
          <w:iCs/>
          <w:color w:val="1A1A1A"/>
          <w:sz w:val="24"/>
          <w:szCs w:val="24"/>
          <w:rtl/>
        </w:rPr>
        <w:t>Clinical</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Introduction</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to</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Lacanian</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Psychoanalysis</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Theory</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and</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Technique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Cambridge</w:t>
      </w:r>
      <w:proofErr w:type="spellEnd"/>
      <w:r>
        <w:rPr>
          <w:rFonts w:ascii="Traditional Arabic" w:eastAsia="Traditional Arabic" w:hAnsi="Traditional Arabic" w:cs="Traditional Arabic"/>
          <w:color w:val="1A1A1A"/>
          <w:sz w:val="24"/>
          <w:szCs w:val="24"/>
          <w:rtl/>
        </w:rPr>
        <w:t xml:space="preserve">, MA: </w:t>
      </w:r>
      <w:proofErr w:type="spellStart"/>
      <w:r>
        <w:rPr>
          <w:rFonts w:ascii="Traditional Arabic" w:eastAsia="Traditional Arabic" w:hAnsi="Traditional Arabic" w:cs="Traditional Arabic"/>
          <w:color w:val="1A1A1A"/>
          <w:sz w:val="24"/>
          <w:szCs w:val="24"/>
          <w:rtl/>
        </w:rPr>
        <w:t>Harvard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University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 1997.</w:t>
      </w:r>
    </w:p>
    <w:p w14:paraId="011003B6"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Evans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Dylan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An</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Introductory</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Dictionary</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of</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Lacanian</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Psychoanalysis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London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Routledge</w:t>
      </w:r>
      <w:proofErr w:type="spellEnd"/>
      <w:r>
        <w:rPr>
          <w:rFonts w:ascii="Traditional Arabic" w:eastAsia="Traditional Arabic" w:hAnsi="Traditional Arabic" w:cs="Traditional Arabic"/>
          <w:color w:val="1A1A1A"/>
          <w:sz w:val="24"/>
          <w:szCs w:val="24"/>
          <w:rtl/>
        </w:rPr>
        <w:t>, 1996.</w:t>
      </w:r>
    </w:p>
    <w:p w14:paraId="5E6B0A5F"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Verhaeghe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Paul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On</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Being</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Normal</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and</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Other</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Disorders</w:t>
      </w:r>
      <w:proofErr w:type="spellEnd"/>
      <w:r>
        <w:rPr>
          <w:rFonts w:ascii="Traditional Arabic" w:eastAsia="Traditional Arabic" w:hAnsi="Traditional Arabic" w:cs="Traditional Arabic"/>
          <w:i/>
          <w:iCs/>
          <w:color w:val="1A1A1A"/>
          <w:sz w:val="24"/>
          <w:szCs w:val="24"/>
          <w:rtl/>
        </w:rPr>
        <w:t xml:space="preserve">: A </w:t>
      </w:r>
      <w:proofErr w:type="spellStart"/>
      <w:r>
        <w:rPr>
          <w:rFonts w:ascii="Traditional Arabic" w:eastAsia="Traditional Arabic" w:hAnsi="Traditional Arabic" w:cs="Traditional Arabic"/>
          <w:i/>
          <w:iCs/>
          <w:color w:val="1A1A1A"/>
          <w:sz w:val="24"/>
          <w:szCs w:val="24"/>
          <w:rtl/>
        </w:rPr>
        <w:t>Manual</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for</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Clinical</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Psychodiagnostics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New</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York</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Other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 2004.</w:t>
      </w:r>
    </w:p>
    <w:p w14:paraId="4B79D3A0"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Recalcati</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Massimo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Complexe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Télémaque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Parents</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et</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enfants</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après</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déclin</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du</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père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Payot</w:t>
      </w:r>
      <w:proofErr w:type="spellEnd"/>
      <w:r>
        <w:rPr>
          <w:rFonts w:ascii="Traditional Arabic" w:eastAsia="Traditional Arabic" w:hAnsi="Traditional Arabic" w:cs="Traditional Arabic"/>
          <w:color w:val="1A1A1A"/>
          <w:sz w:val="24"/>
          <w:szCs w:val="24"/>
          <w:rtl/>
        </w:rPr>
        <w:t>, 2013.</w:t>
      </w:r>
    </w:p>
    <w:p w14:paraId="1BB882C2"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Kristeva</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Julia</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Pouvoirs</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l'horreur</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Essai</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sur</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l'abjection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Seuil</w:t>
      </w:r>
      <w:proofErr w:type="spellEnd"/>
      <w:r>
        <w:rPr>
          <w:rFonts w:ascii="Traditional Arabic" w:eastAsia="Traditional Arabic" w:hAnsi="Traditional Arabic" w:cs="Traditional Arabic"/>
          <w:color w:val="1A1A1A"/>
          <w:sz w:val="24"/>
          <w:szCs w:val="24"/>
          <w:rtl/>
        </w:rPr>
        <w:t>, 1980.</w:t>
      </w:r>
    </w:p>
    <w:p w14:paraId="107D19F5"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Marty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Pierre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et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M'Uzan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Michel</w:t>
      </w:r>
      <w:proofErr w:type="spellEnd"/>
      <w:r>
        <w:rPr>
          <w:rFonts w:ascii="Traditional Arabic" w:eastAsia="Traditional Arabic" w:hAnsi="Traditional Arabic" w:cs="Traditional Arabic"/>
          <w:color w:val="1A1A1A"/>
          <w:sz w:val="24"/>
          <w:szCs w:val="24"/>
          <w:rtl/>
        </w:rPr>
        <w:t xml:space="preserve">. « </w:t>
      </w:r>
      <w:proofErr w:type="spellStart"/>
      <w:r>
        <w:rPr>
          <w:rFonts w:ascii="Traditional Arabic" w:eastAsia="Traditional Arabic" w:hAnsi="Traditional Arabic" w:cs="Traditional Arabic"/>
          <w:color w:val="1A1A1A"/>
          <w:sz w:val="24"/>
          <w:szCs w:val="24"/>
          <w:rtl/>
        </w:rPr>
        <w:t>La</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pensée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opératoire</w:t>
      </w:r>
      <w:proofErr w:type="spellEnd"/>
      <w:r>
        <w:rPr>
          <w:rFonts w:ascii="Traditional Arabic" w:eastAsia="Traditional Arabic" w:hAnsi="Traditional Arabic" w:cs="Traditional Arabic"/>
          <w:color w:val="1A1A1A"/>
          <w:sz w:val="24"/>
          <w:szCs w:val="24"/>
          <w:rtl/>
        </w:rPr>
        <w:t xml:space="preserve"> ». </w:t>
      </w:r>
      <w:proofErr w:type="spellStart"/>
      <w:r>
        <w:rPr>
          <w:rFonts w:ascii="Traditional Arabic" w:eastAsia="Traditional Arabic" w:hAnsi="Traditional Arabic" w:cs="Traditional Arabic"/>
          <w:i/>
          <w:iCs/>
          <w:color w:val="1A1A1A"/>
          <w:sz w:val="24"/>
          <w:szCs w:val="24"/>
          <w:rtl/>
        </w:rPr>
        <w:t>Revue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française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de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psychanalyse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vol</w:t>
      </w:r>
      <w:proofErr w:type="spellEnd"/>
      <w:r>
        <w:rPr>
          <w:rFonts w:ascii="Traditional Arabic" w:eastAsia="Traditional Arabic" w:hAnsi="Traditional Arabic" w:cs="Traditional Arabic"/>
          <w:color w:val="1A1A1A"/>
          <w:sz w:val="24"/>
          <w:szCs w:val="24"/>
          <w:rtl/>
        </w:rPr>
        <w:t>. 27, 1963.</w:t>
      </w:r>
    </w:p>
    <w:p w14:paraId="2A597870" w14:textId="77777777" w:rsidR="0049542D" w:rsidRDefault="00000000" w:rsidP="00C8196B">
      <w:pPr>
        <w:spacing w:after="100"/>
        <w:ind w:right="431" w:hanging="360"/>
      </w:pPr>
      <w:r>
        <w:rPr>
          <w:rFonts w:ascii="Traditional Arabic" w:eastAsia="Traditional Arabic" w:hAnsi="Traditional Arabic" w:cs="Traditional Arabic"/>
          <w:color w:val="B8860B"/>
          <w:sz w:val="22"/>
          <w:szCs w:val="22"/>
          <w:rtl/>
        </w:rPr>
        <w:t xml:space="preserve">• </w:t>
      </w:r>
      <w:proofErr w:type="spellStart"/>
      <w:r>
        <w:rPr>
          <w:rFonts w:ascii="Traditional Arabic" w:eastAsia="Traditional Arabic" w:hAnsi="Traditional Arabic" w:cs="Traditional Arabic"/>
          <w:color w:val="1A1A1A"/>
          <w:sz w:val="24"/>
          <w:szCs w:val="24"/>
          <w:rtl/>
        </w:rPr>
        <w:t>Miller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Jacques-Alain</w:t>
      </w:r>
      <w:proofErr w:type="spellEnd"/>
      <w:r>
        <w:rPr>
          <w:rFonts w:ascii="Traditional Arabic" w:eastAsia="Traditional Arabic" w:hAnsi="Traditional Arabic" w:cs="Traditional Arabic"/>
          <w:color w:val="1A1A1A"/>
          <w:sz w:val="24"/>
          <w:szCs w:val="24"/>
          <w:rtl/>
        </w:rPr>
        <w:t xml:space="preserve">. « </w:t>
      </w:r>
      <w:proofErr w:type="spellStart"/>
      <w:r>
        <w:rPr>
          <w:rFonts w:ascii="Traditional Arabic" w:eastAsia="Traditional Arabic" w:hAnsi="Traditional Arabic" w:cs="Traditional Arabic"/>
          <w:color w:val="1A1A1A"/>
          <w:sz w:val="24"/>
          <w:szCs w:val="24"/>
          <w:rtl/>
        </w:rPr>
        <w:t>Les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six</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paradigmes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la</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jouissance</w:t>
      </w:r>
      <w:proofErr w:type="spellEnd"/>
      <w:r>
        <w:rPr>
          <w:rFonts w:ascii="Traditional Arabic" w:eastAsia="Traditional Arabic" w:hAnsi="Traditional Arabic" w:cs="Traditional Arabic"/>
          <w:color w:val="1A1A1A"/>
          <w:sz w:val="24"/>
          <w:szCs w:val="24"/>
          <w:rtl/>
        </w:rPr>
        <w:t xml:space="preserve"> ». </w:t>
      </w:r>
      <w:proofErr w:type="spellStart"/>
      <w:r>
        <w:rPr>
          <w:rFonts w:ascii="Traditional Arabic" w:eastAsia="Traditional Arabic" w:hAnsi="Traditional Arabic" w:cs="Traditional Arabic"/>
          <w:i/>
          <w:iCs/>
          <w:color w:val="1A1A1A"/>
          <w:sz w:val="24"/>
          <w:szCs w:val="24"/>
          <w:rtl/>
        </w:rPr>
        <w:t>La</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Cause</w:t>
      </w:r>
      <w:proofErr w:type="spellEnd"/>
      <w:r>
        <w:rPr>
          <w:rFonts w:ascii="Traditional Arabic" w:eastAsia="Traditional Arabic" w:hAnsi="Traditional Arabic" w:cs="Traditional Arabic"/>
          <w:i/>
          <w:iCs/>
          <w:color w:val="1A1A1A"/>
          <w:sz w:val="24"/>
          <w:szCs w:val="24"/>
          <w:rtl/>
        </w:rPr>
        <w:t xml:space="preserve"> </w:t>
      </w:r>
      <w:proofErr w:type="spellStart"/>
      <w:r>
        <w:rPr>
          <w:rFonts w:ascii="Traditional Arabic" w:eastAsia="Traditional Arabic" w:hAnsi="Traditional Arabic" w:cs="Traditional Arabic"/>
          <w:i/>
          <w:iCs/>
          <w:color w:val="1A1A1A"/>
          <w:sz w:val="24"/>
          <w:szCs w:val="24"/>
          <w:rtl/>
        </w:rPr>
        <w:t>freudienne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no</w:t>
      </w:r>
      <w:proofErr w:type="spellEnd"/>
      <w:r>
        <w:rPr>
          <w:rFonts w:ascii="Traditional Arabic" w:eastAsia="Traditional Arabic" w:hAnsi="Traditional Arabic" w:cs="Traditional Arabic"/>
          <w:color w:val="1A1A1A"/>
          <w:sz w:val="24"/>
          <w:szCs w:val="24"/>
          <w:rtl/>
        </w:rPr>
        <w:t>. 43, 1999.</w:t>
      </w:r>
    </w:p>
    <w:p w14:paraId="456E2F83" w14:textId="77777777" w:rsidR="0049542D" w:rsidRDefault="00000000" w:rsidP="00C8196B">
      <w:pPr>
        <w:spacing w:after="160" w:line="340" w:lineRule="auto"/>
      </w:pPr>
      <w:r>
        <w:rPr>
          <w:rFonts w:ascii="Traditional Arabic" w:eastAsia="Traditional Arabic" w:hAnsi="Traditional Arabic" w:cs="Traditional Arabic"/>
          <w:i/>
          <w:iCs/>
          <w:color w:val="1A1A1A"/>
          <w:sz w:val="24"/>
          <w:szCs w:val="24"/>
          <w:rtl/>
        </w:rPr>
        <w:t>ملاحظة منهجية ختامية</w:t>
      </w:r>
      <w:r>
        <w:rPr>
          <w:rFonts w:ascii="Traditional Arabic" w:eastAsia="Traditional Arabic" w:hAnsi="Traditional Arabic" w:cs="Traditional Arabic"/>
          <w:color w:val="1A1A1A"/>
          <w:sz w:val="24"/>
          <w:szCs w:val="24"/>
          <w:rtl/>
        </w:rPr>
        <w:t xml:space="preserve">: يبقى هذا التحليل قراءة نظرية ضمن إطار التحليل النفسي </w:t>
      </w:r>
      <w:proofErr w:type="spellStart"/>
      <w:r>
        <w:rPr>
          <w:rFonts w:ascii="Traditional Arabic" w:eastAsia="Traditional Arabic" w:hAnsi="Traditional Arabic" w:cs="Traditional Arabic"/>
          <w:color w:val="1A1A1A"/>
          <w:sz w:val="24"/>
          <w:szCs w:val="24"/>
          <w:rtl/>
        </w:rPr>
        <w:t>اللاكاني</w:t>
      </w:r>
      <w:proofErr w:type="spellEnd"/>
      <w:r>
        <w:rPr>
          <w:rFonts w:ascii="Traditional Arabic" w:eastAsia="Traditional Arabic" w:hAnsi="Traditional Arabic" w:cs="Traditional Arabic"/>
          <w:color w:val="1A1A1A"/>
          <w:sz w:val="24"/>
          <w:szCs w:val="24"/>
          <w:rtl/>
        </w:rPr>
        <w:t>، لا تشخيصاً إكلينيكياً قاطعاً لأفراد بعينهم، وينبغي التعامل معه بوصفه أداة تأويلية قابلة للنقاش لا حكماً نهائياً على الحالة.</w:t>
      </w:r>
    </w:p>
    <w:sectPr w:rsidR="0049542D">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35F6A" w14:textId="77777777" w:rsidR="00EB6724" w:rsidRDefault="00EB6724">
      <w:r>
        <w:separator/>
      </w:r>
    </w:p>
  </w:endnote>
  <w:endnote w:type="continuationSeparator" w:id="0">
    <w:p w14:paraId="43E19E25" w14:textId="77777777" w:rsidR="00EB6724" w:rsidRDefault="00EB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AD36" w14:textId="77777777" w:rsidR="0049542D" w:rsidRDefault="00000000">
    <w:pPr>
      <w:jc w:val="center"/>
    </w:pPr>
    <w:r>
      <w:rPr>
        <w:rFonts w:ascii="Traditional Arabic" w:eastAsia="Traditional Arabic" w:hAnsi="Traditional Arabic" w:cs="Traditional Arabic"/>
        <w:color w:val="1F3864"/>
        <w:sz w:val="18"/>
        <w:szCs w:val="18"/>
        <w:rtl/>
      </w:rPr>
      <w:t xml:space="preserve">صفحة </w:t>
    </w:r>
    <w:r>
      <w:rPr>
        <w:rFonts w:ascii="Traditional Arabic" w:eastAsia="Traditional Arabic" w:hAnsi="Traditional Arabic" w:cs="Traditional Arabic"/>
        <w:color w:val="1F3864"/>
        <w:sz w:val="18"/>
        <w:szCs w:val="18"/>
      </w:rPr>
      <w:fldChar w:fldCharType="begin"/>
    </w:r>
    <w:r>
      <w:rPr>
        <w:rFonts w:ascii="Traditional Arabic" w:eastAsia="Traditional Arabic" w:hAnsi="Traditional Arabic" w:cs="Traditional Arabic"/>
        <w:color w:val="1F3864"/>
        <w:sz w:val="18"/>
        <w:szCs w:val="18"/>
      </w:rPr>
      <w:instrText>PAGE</w:instrText>
    </w:r>
    <w:r>
      <w:rPr>
        <w:rFonts w:ascii="Traditional Arabic" w:eastAsia="Traditional Arabic" w:hAnsi="Traditional Arabic" w:cs="Traditional Arabic"/>
        <w:color w:val="1F3864"/>
        <w:sz w:val="18"/>
        <w:szCs w:val="18"/>
      </w:rPr>
      <w:fldChar w:fldCharType="separate"/>
    </w:r>
    <w:r>
      <w:rPr>
        <w:rFonts w:ascii="Traditional Arabic" w:eastAsia="Traditional Arabic" w:hAnsi="Traditional Arabic" w:cs="Traditional Arabic"/>
        <w:color w:val="1F3864"/>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049EF" w14:textId="77777777" w:rsidR="00EB6724" w:rsidRDefault="00EB6724">
      <w:r>
        <w:separator/>
      </w:r>
    </w:p>
  </w:footnote>
  <w:footnote w:type="continuationSeparator" w:id="0">
    <w:p w14:paraId="38459976" w14:textId="77777777" w:rsidR="00EB6724" w:rsidRDefault="00EB6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554E" w14:textId="77777777" w:rsidR="0049542D" w:rsidRDefault="00000000">
    <w:pPr>
      <w:jc w:val="center"/>
    </w:pPr>
    <w:r>
      <w:rPr>
        <w:rFonts w:ascii="Traditional Arabic" w:eastAsia="Traditional Arabic" w:hAnsi="Traditional Arabic" w:cs="Traditional Arabic"/>
        <w:color w:val="0F6E6E"/>
        <w:sz w:val="18"/>
        <w:szCs w:val="18"/>
        <w:rtl/>
      </w:rPr>
      <w:t>علم النفس الاستخلافي — دراسة لاكانية موسّعة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14491"/>
    <w:multiLevelType w:val="hybridMultilevel"/>
    <w:tmpl w:val="FFFFFFFF"/>
    <w:lvl w:ilvl="0" w:tplc="417C7D48">
      <w:start w:val="1"/>
      <w:numFmt w:val="bullet"/>
      <w:lvlText w:val="●"/>
      <w:lvlJc w:val="left"/>
      <w:pPr>
        <w:ind w:left="720" w:hanging="360"/>
      </w:pPr>
    </w:lvl>
    <w:lvl w:ilvl="1" w:tplc="BB925822">
      <w:start w:val="1"/>
      <w:numFmt w:val="bullet"/>
      <w:lvlText w:val="○"/>
      <w:lvlJc w:val="left"/>
      <w:pPr>
        <w:ind w:left="1440" w:hanging="360"/>
      </w:pPr>
    </w:lvl>
    <w:lvl w:ilvl="2" w:tplc="8DEE4474">
      <w:start w:val="1"/>
      <w:numFmt w:val="bullet"/>
      <w:lvlText w:val="■"/>
      <w:lvlJc w:val="left"/>
      <w:pPr>
        <w:ind w:left="2160" w:hanging="360"/>
      </w:pPr>
    </w:lvl>
    <w:lvl w:ilvl="3" w:tplc="73E45862">
      <w:start w:val="1"/>
      <w:numFmt w:val="bullet"/>
      <w:lvlText w:val="●"/>
      <w:lvlJc w:val="left"/>
      <w:pPr>
        <w:ind w:left="2880" w:hanging="360"/>
      </w:pPr>
    </w:lvl>
    <w:lvl w:ilvl="4" w:tplc="1EA641C0">
      <w:start w:val="1"/>
      <w:numFmt w:val="bullet"/>
      <w:lvlText w:val="○"/>
      <w:lvlJc w:val="left"/>
      <w:pPr>
        <w:ind w:left="3600" w:hanging="360"/>
      </w:pPr>
    </w:lvl>
    <w:lvl w:ilvl="5" w:tplc="B3FEA8E2">
      <w:start w:val="1"/>
      <w:numFmt w:val="bullet"/>
      <w:lvlText w:val="■"/>
      <w:lvlJc w:val="left"/>
      <w:pPr>
        <w:ind w:left="4320" w:hanging="360"/>
      </w:pPr>
    </w:lvl>
    <w:lvl w:ilvl="6" w:tplc="51A46C94">
      <w:start w:val="1"/>
      <w:numFmt w:val="bullet"/>
      <w:lvlText w:val="●"/>
      <w:lvlJc w:val="left"/>
      <w:pPr>
        <w:ind w:left="5040" w:hanging="360"/>
      </w:pPr>
    </w:lvl>
    <w:lvl w:ilvl="7" w:tplc="CD4ED82E">
      <w:start w:val="1"/>
      <w:numFmt w:val="bullet"/>
      <w:lvlText w:val="●"/>
      <w:lvlJc w:val="left"/>
      <w:pPr>
        <w:ind w:left="5760" w:hanging="360"/>
      </w:pPr>
    </w:lvl>
    <w:lvl w:ilvl="8" w:tplc="F34EA514">
      <w:start w:val="1"/>
      <w:numFmt w:val="bullet"/>
      <w:lvlText w:val="●"/>
      <w:lvlJc w:val="left"/>
      <w:pPr>
        <w:ind w:left="6480" w:hanging="360"/>
      </w:pPr>
    </w:lvl>
  </w:abstractNum>
  <w:num w:numId="1" w16cid:durableId="6849846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42D"/>
    <w:rsid w:val="00054EFA"/>
    <w:rsid w:val="00216EB6"/>
    <w:rsid w:val="0049542D"/>
    <w:rsid w:val="005F7DA2"/>
    <w:rsid w:val="006D40C3"/>
    <w:rsid w:val="008A467C"/>
    <w:rsid w:val="009B796D"/>
    <w:rsid w:val="00AF041E"/>
    <w:rsid w:val="00C8196B"/>
    <w:rsid w:val="00D64672"/>
    <w:rsid w:val="00DC6FFA"/>
    <w:rsid w:val="00EB6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4ADE25C"/>
  <w15:docId w15:val="{62EACC04-BC2D-494B-B1D0-509011D2C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1838</Words>
  <Characters>10481</Characters>
  <Application>Microsoft Office Word</Application>
  <DocSecurity>0</DocSecurity>
  <Lines>87</Lines>
  <Paragraphs>24</Paragraphs>
  <ScaleCrop>false</ScaleCrop>
  <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8</cp:revision>
  <dcterms:created xsi:type="dcterms:W3CDTF">2026-08-21T09:03:00Z</dcterms:created>
  <dcterms:modified xsi:type="dcterms:W3CDTF">2026-08-21T09:35:00Z</dcterms:modified>
</cp:coreProperties>
</file>