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CED09" w14:textId="77777777" w:rsidR="005744D8" w:rsidRDefault="007C151B" w:rsidP="00875BFD">
      <w:pPr>
        <w:pStyle w:val="a8"/>
      </w:pPr>
      <w:r>
        <w:rPr>
          <w:rFonts w:hint="cs"/>
          <w:lang w:bidi="ar-EG"/>
        </w:rPr>
        <w:t>د</w:t>
      </w:r>
      <w:r>
        <w:t>راسة تحليلية مقارنة</w:t>
      </w:r>
    </w:p>
    <w:p w14:paraId="64AE3FD2" w14:textId="0673D2F0" w:rsidR="005744D8" w:rsidRPr="001711F4" w:rsidRDefault="00FB02FF" w:rsidP="00875BFD">
      <w:pPr>
        <w:pStyle w:val="SubtitleArabic"/>
        <w:jc w:val="right"/>
        <w:rPr>
          <w:sz w:val="36"/>
          <w:szCs w:val="36"/>
        </w:rPr>
      </w:pPr>
      <w:r w:rsidRPr="001711F4">
        <w:rPr>
          <w:rFonts w:cs="Arial" w:hint="cs"/>
          <w:sz w:val="36"/>
          <w:szCs w:val="36"/>
          <w:rtl/>
        </w:rPr>
        <w:t>السحر</w:t>
      </w:r>
      <w:r w:rsidRPr="001711F4">
        <w:rPr>
          <w:rFonts w:cs="Arial"/>
          <w:sz w:val="36"/>
          <w:szCs w:val="36"/>
          <w:rtl/>
        </w:rPr>
        <w:t xml:space="preserve"> </w:t>
      </w:r>
      <w:r w:rsidRPr="001711F4">
        <w:rPr>
          <w:rFonts w:cs="Arial" w:hint="cs"/>
          <w:sz w:val="36"/>
          <w:szCs w:val="36"/>
          <w:rtl/>
        </w:rPr>
        <w:t>الخارق</w:t>
      </w:r>
      <w:r w:rsidRPr="001711F4">
        <w:rPr>
          <w:rFonts w:cs="Arial"/>
          <w:sz w:val="36"/>
          <w:szCs w:val="36"/>
          <w:rtl/>
        </w:rPr>
        <w:t xml:space="preserve"> </w:t>
      </w:r>
      <w:r w:rsidRPr="001711F4">
        <w:rPr>
          <w:rFonts w:cs="Arial" w:hint="cs"/>
          <w:sz w:val="36"/>
          <w:szCs w:val="36"/>
          <w:rtl/>
        </w:rPr>
        <w:t>للطبيعة</w:t>
      </w:r>
      <w:r w:rsidRPr="001711F4">
        <w:rPr>
          <w:rFonts w:cs="Arial"/>
          <w:sz w:val="36"/>
          <w:szCs w:val="36"/>
          <w:rtl/>
        </w:rPr>
        <w:t xml:space="preserve"> </w:t>
      </w:r>
      <w:r w:rsidRPr="001711F4">
        <w:rPr>
          <w:rFonts w:cs="Arial" w:hint="cs"/>
          <w:sz w:val="36"/>
          <w:szCs w:val="36"/>
          <w:rtl/>
        </w:rPr>
        <w:t>وفن</w:t>
      </w:r>
      <w:r w:rsidRPr="001711F4">
        <w:rPr>
          <w:rFonts w:cs="Arial"/>
          <w:sz w:val="36"/>
          <w:szCs w:val="36"/>
          <w:rtl/>
        </w:rPr>
        <w:t xml:space="preserve"> </w:t>
      </w:r>
      <w:r w:rsidRPr="001711F4">
        <w:rPr>
          <w:rFonts w:cs="Arial" w:hint="cs"/>
          <w:sz w:val="36"/>
          <w:szCs w:val="36"/>
          <w:rtl/>
        </w:rPr>
        <w:t>الوهم</w:t>
      </w:r>
      <w:r w:rsidRPr="001711F4">
        <w:rPr>
          <w:rFonts w:cs="Arial"/>
          <w:sz w:val="36"/>
          <w:szCs w:val="36"/>
          <w:rtl/>
        </w:rPr>
        <w:t xml:space="preserve"> </w:t>
      </w:r>
      <w:r w:rsidRPr="001711F4">
        <w:rPr>
          <w:rFonts w:cs="Arial" w:hint="cs"/>
          <w:sz w:val="36"/>
          <w:szCs w:val="36"/>
          <w:rtl/>
        </w:rPr>
        <w:t>المسرح</w:t>
      </w:r>
    </w:p>
    <w:p w14:paraId="40A724CA" w14:textId="7BA32709" w:rsidR="005744D8" w:rsidRDefault="00DE650D" w:rsidP="00164B71">
      <w:pPr>
        <w:jc w:val="right"/>
      </w:pPr>
      <w:r>
        <w:rPr>
          <w:rFonts w:hint="cs"/>
          <w:b/>
          <w:rtl/>
        </w:rPr>
        <w:t xml:space="preserve">بقلم </w:t>
      </w:r>
      <w:r w:rsidR="00F0745A">
        <w:rPr>
          <w:rFonts w:hint="cs"/>
          <w:b/>
          <w:rtl/>
        </w:rPr>
        <w:t xml:space="preserve">:عبد السلام الزراع </w:t>
      </w:r>
    </w:p>
    <w:p w14:paraId="673B36E4" w14:textId="77777777" w:rsidR="005744D8" w:rsidRDefault="007C151B" w:rsidP="00875BFD">
      <w:pPr>
        <w:pStyle w:val="1"/>
      </w:pPr>
      <w:r>
        <w:t>مقدمة منهجية</w:t>
      </w:r>
    </w:p>
    <w:p w14:paraId="65B5BD0A" w14:textId="77777777" w:rsidR="005744D8" w:rsidRDefault="007C151B" w:rsidP="00875BFD">
      <w:pPr>
        <w:jc w:val="right"/>
      </w:pPr>
      <w:r>
        <w:t>يشكّل التمييز بين السحر بوصفه ممارسة غيبية تدّعي التأثير في الواقع، وبين فن الوهم المسرحي بوصفه مهارة أدائية طبيعية، أحد أهم الإشكاليات المعرفية التي تتقاطع فيها حقول متعددة: علم الأديان، والفقه المقارن، وعلم النفس المعرفي، وفلسفة الأداء. وتتضاعف أهمية هذه المقارنة إذا ما أدركنا أن الالتباس بينهما لم يكن يوماً مجرد خطأ معرفي عابر، بل كان دائماً ساحةً للصراع بين أنظمة المعرفة المختلفة. وتكمن إشكالية البحث الجوهرية في سؤال مركزي: ما هي المعايير الفاصلة بين السحر الخارق للطبيعة وفن الوهم المسرحي؟ ويتفرع عن هذا السؤال الرئيسي تساؤلان: أولاً، كيف تُصنّف هذه المعايير في الفقه الإسلامي والأديان التوحيدية؟ وثانياً، ما هي الأسس المعرفية والعلمية التي يقوم عليها فن الوهم كظاهرة نفسية ومسرحية مشروعة؟</w:t>
      </w:r>
    </w:p>
    <w:p w14:paraId="08221E46" w14:textId="77777777" w:rsidR="005744D8" w:rsidRDefault="007C151B" w:rsidP="00875BFD">
      <w:pPr>
        <w:pStyle w:val="1"/>
      </w:pPr>
      <w:r>
        <w:t>المحور الأول: السحر كقوة خارقة للطبيعة</w:t>
      </w:r>
    </w:p>
    <w:p w14:paraId="1FF01DA7" w14:textId="77777777" w:rsidR="005744D8" w:rsidRDefault="007C151B" w:rsidP="00875BFD">
      <w:pPr>
        <w:pStyle w:val="21"/>
      </w:pPr>
      <w:r>
        <w:t>1.1 الماهية والتعريف اللغوي والاصطلاحي</w:t>
      </w:r>
    </w:p>
    <w:p w14:paraId="59AE4850" w14:textId="77777777" w:rsidR="005744D8" w:rsidRDefault="007C151B" w:rsidP="00875BFD">
      <w:pPr>
        <w:jc w:val="right"/>
      </w:pPr>
      <w:r>
        <w:t>يُجمع اللغويون على أن مادة سحر في العربية تدور على معنى الخفاء والدقة واللطف في السبب. فيُقال: سحره أي خدعه واستماله، وسحرت الصبي أي خادعته واستملته، ومنه قولهم إن من البيان لسحراً. وقد ورد في لسان العرب وغيره من المعاجم أن كل ما لطف مأخذه ودقّ وخفي سببه يُسمى سحراً.</w:t>
      </w:r>
    </w:p>
    <w:p w14:paraId="0E190B31" w14:textId="77777777" w:rsidR="005744D8" w:rsidRDefault="007C151B" w:rsidP="00875BFD">
      <w:pPr>
        <w:jc w:val="right"/>
      </w:pPr>
      <w:r>
        <w:t>أما في الاصطلاح الشرعي، فقد تعدّدت التعريفات بتعدد المذاهب والاتجاهات. فعند الحنابلة، يعرّفه أبو محمد المقدسي في الكافي بأنه: عزائم ورُقىً وعقد، يؤثر في القلوب والأبدان، فيُمرض ويقتل، ويفرّق بين المرء وزوجه. وهذا التعريف يقرر أن للسحر حقيقةً واقعيةً وأثراً ملموساً، وهو ما رجّحه جمهور أهل السنة مستندين إلى قوله تعالى: ﴿فيتعلمون منهما ما يفرّقون به بين المرء وزوجه﴾ (البقرة: 102)، وإلى الحديث الصحيح في سحر النبي ﷺ.</w:t>
      </w:r>
    </w:p>
    <w:p w14:paraId="71CF2061" w14:textId="77777777" w:rsidR="005744D8" w:rsidRDefault="007C151B" w:rsidP="00875BFD">
      <w:pPr>
        <w:jc w:val="right"/>
      </w:pPr>
      <w:r>
        <w:t>ويُعرّفه بعض المتكلمين بأنه: أمر خارق للعادة صادر عن نفس شريرة لا يتعذّر معارضته. وهذا التعريف يُدخل عنصر النفس الشريرة كمصدر للقدرة، مما يميزه عن المعجزة والكرامة.</w:t>
      </w:r>
    </w:p>
    <w:p w14:paraId="321A1151" w14:textId="77777777" w:rsidR="005744D8" w:rsidRDefault="007C151B" w:rsidP="00875BFD">
      <w:pPr>
        <w:jc w:val="right"/>
      </w:pPr>
      <w:r>
        <w:t>وقد لخّص ابن تيمية الموقف بقوله إن اسم الساحر معروف في جميع الأمم، مؤكداً أن الظاهرة لم تكن يوماً حكراً على أمة دون أخرى، بل هي ظاهرة إنسانية عابرة للثقافات.</w:t>
      </w:r>
    </w:p>
    <w:p w14:paraId="2D170F71" w14:textId="77777777" w:rsidR="005744D8" w:rsidRDefault="007C151B" w:rsidP="00875BFD">
      <w:pPr>
        <w:pStyle w:val="21"/>
      </w:pPr>
      <w:r>
        <w:t>1.2 الوسائل والأدوات: من الطقوس إلى السحر التعاطفي</w:t>
      </w:r>
    </w:p>
    <w:p w14:paraId="68B832AC" w14:textId="77777777" w:rsidR="005744D8" w:rsidRDefault="007C151B" w:rsidP="00875BFD">
      <w:pPr>
        <w:jc w:val="right"/>
      </w:pPr>
      <w:r>
        <w:t>يستند السحر الخارق في مختلف التقاليد إلى منظومة وسائل وأدوات متكاملة، يمكن تصنيفها في أربع فئات:</w:t>
      </w:r>
    </w:p>
    <w:p w14:paraId="7D7CDB67" w14:textId="77777777" w:rsidR="005744D8" w:rsidRDefault="007C151B" w:rsidP="00875BFD">
      <w:pPr>
        <w:jc w:val="right"/>
      </w:pPr>
      <w:r>
        <w:t>أولاً: الطقوس والعزائم والعقد: وهي جوهر العمل السحري في التصور الإسلامي، حيث تتكون الممارسة من عزائم (كلمات تُتلى) ورقى (تعاويذ) وعقد (عقد تُربط وتُنفث فيها). وقد أشار القرآن الكريم إلى هذا النمط تحديداً في سورة الفلق: ﴿ومن شر النفاثات في العقد﴾، وهي إشارة صريحة إلى ممارسة سحرية معروفة في البيئة العربية.</w:t>
      </w:r>
    </w:p>
    <w:p w14:paraId="39FA0657" w14:textId="77777777" w:rsidR="005744D8" w:rsidRDefault="007C151B" w:rsidP="00875BFD">
      <w:pPr>
        <w:jc w:val="right"/>
      </w:pPr>
      <w:r>
        <w:t>ثانياً: استدعاء الكائنات غير المرئية: كاستدعاء الجن والأرواح والشياطين، وهو العنصر الذي يربط السحر بالكهانة والتنجيم، إذ إن مرجع كل منهما الشياطين، مما يجعلهما من واد واحد في التحليل الفقهي.</w:t>
      </w:r>
    </w:p>
    <w:p w14:paraId="47D1FE1D" w14:textId="77777777" w:rsidR="005744D8" w:rsidRDefault="007C151B" w:rsidP="00875BFD">
      <w:pPr>
        <w:jc w:val="right"/>
      </w:pPr>
      <w:r>
        <w:t>ثالثاً: السحر التعاطفي (Sympathetic Magic): وهو مبدأ أنثروبولوجي رصده جيمس فريزر في الغصن الذهبي، ويقوم على قانونين: قانون التشابه (أن يُؤثر في الشيء بمحاكاة صورته)، وقانون المماسة (أن يُؤثر في الشخص عبر شيء كان على اتصال به كشعر أو ثوب).</w:t>
      </w:r>
    </w:p>
    <w:p w14:paraId="5E0E7573" w14:textId="77777777" w:rsidR="005744D8" w:rsidRDefault="007C151B" w:rsidP="00875BFD">
      <w:pPr>
        <w:jc w:val="right"/>
      </w:pPr>
      <w:r>
        <w:t>رابعاً: الأدوات المادية: من تمائم وطلاسم ورموز وكتابات، وهي أدوات تُستخدم لتوجيه العمل السحري أو حفظه.</w:t>
      </w:r>
    </w:p>
    <w:p w14:paraId="6BBCB197" w14:textId="77777777" w:rsidR="005744D8" w:rsidRDefault="007C151B" w:rsidP="00875BFD">
      <w:pPr>
        <w:pStyle w:val="21"/>
      </w:pPr>
      <w:r>
        <w:t>1.3 الموقف الديني: التصنيف والتحريم</w:t>
      </w:r>
    </w:p>
    <w:p w14:paraId="40F5CE83" w14:textId="77777777" w:rsidR="005744D8" w:rsidRDefault="007C151B" w:rsidP="00875BFD">
      <w:pPr>
        <w:jc w:val="right"/>
      </w:pPr>
      <w:r>
        <w:t>تُصنّف الأديان التوحيدية — الإسلام واليهودية والمسيحية — السحر ضمن المحرّمات الكبرى التي تمسّ جوهر العقيدة التوحيدية. وقد أشار القرآن الكريم إلى أن تحريم السحر محرم في جميع أديان الرسل عليهم السلام، ونصّ على أن الساحر لا حظّ له في الآخرة ولا يُفلح حيث أتى.</w:t>
      </w:r>
    </w:p>
    <w:p w14:paraId="31005D92" w14:textId="77777777" w:rsidR="005744D8" w:rsidRDefault="007C151B" w:rsidP="00875BFD">
      <w:pPr>
        <w:jc w:val="right"/>
      </w:pPr>
      <w:r>
        <w:t>وفي الفقه الإسلامي، يُميّز العلماء بين السحر الحقيقي الذي له أثر واقعي ملموس — كالقتل والتمريض والتفريق بين الزوجين — والسحر التخييلي الذي لا حقيقة له وإنما هو خيال وشعوذة. وهذا التمييز بالغ الأهمية، لأنه يفتح الباب أمام تصنيف فنون الخداع البصري كما سنرى لاحقاً.</w:t>
      </w:r>
    </w:p>
    <w:p w14:paraId="761265AE" w14:textId="77777777" w:rsidR="005744D8" w:rsidRDefault="007C151B" w:rsidP="00875BFD">
      <w:pPr>
        <w:jc w:val="right"/>
      </w:pPr>
      <w:r>
        <w:t>وقد أشار ابن حجر في شرحه لحديث سحر النبي ﷺ إلى أن التأثير في بدنه ﷺ لم يكن من حيث إنه نبي، وإنما كان في بدنه من حيث إنه إنسان أو بشر، مؤكداً أن السحر يؤثر في الطبيعة البشرية دون أن يمسّ العصمة النبوية.</w:t>
      </w:r>
    </w:p>
    <w:p w14:paraId="3AD3B487" w14:textId="77777777" w:rsidR="005744D8" w:rsidRDefault="007C151B" w:rsidP="00875BFD">
      <w:pPr>
        <w:pStyle w:val="1"/>
      </w:pPr>
      <w:r>
        <w:t>المحور الثاني: فن الوهم المسرحي</w:t>
      </w:r>
    </w:p>
    <w:p w14:paraId="66C183AB" w14:textId="77777777" w:rsidR="005744D8" w:rsidRDefault="007C151B" w:rsidP="00875BFD">
      <w:pPr>
        <w:pStyle w:val="21"/>
      </w:pPr>
      <w:r>
        <w:t>2.1 الماهية والتعريف الأكاديمي</w:t>
      </w:r>
    </w:p>
    <w:p w14:paraId="28E53527" w14:textId="77777777" w:rsidR="005744D8" w:rsidRDefault="007C151B" w:rsidP="00875BFD">
      <w:pPr>
        <w:jc w:val="right"/>
      </w:pPr>
      <w:r>
        <w:t>يُعرّف سيمون دورينغ في دراسته المرجعية Modern Enchantments فن الوهم المسرحي (Secular Magic / Illusionism) بأنه: السحر المُنتَج تقنياً في عروض الخداع والمؤثرات المسرحية، الذي لا يدّعي أي اتصال جدي بالقوى الخارقة للطبيعة. ويُفرّق دورينغ تحليلياً بين السحر الخارق للطبيعة (Supernatural Magic) الذي يُمارَس في السياقات الدينية والطقسية حيث يُعتقد بفاعليته، وبين السحر الدنيوي (Secular Magic) الذي نشأ كظاهرة ثقافية تجارية منذ منتصف القرن التاسع عشر، وهو سحر واعٍ بذاته كونه وهمياً.</w:t>
      </w:r>
    </w:p>
    <w:p w14:paraId="7C34E092" w14:textId="77777777" w:rsidR="005744D8" w:rsidRDefault="007C151B" w:rsidP="00875BFD">
      <w:pPr>
        <w:pStyle w:val="21"/>
      </w:pPr>
      <w:r>
        <w:t>2.2 الوسائل والتقنيات: من خفة اليد إلى هندسة الإدراك</w:t>
      </w:r>
    </w:p>
    <w:p w14:paraId="13984537" w14:textId="77777777" w:rsidR="005744D8" w:rsidRDefault="007C151B" w:rsidP="00875BFD">
      <w:pPr>
        <w:jc w:val="right"/>
      </w:pPr>
      <w:r>
        <w:t>يقوم فن الوهم على أربع ركائز تقنية متكاملة:</w:t>
      </w:r>
    </w:p>
    <w:p w14:paraId="53A41257" w14:textId="77777777" w:rsidR="005744D8" w:rsidRDefault="007C151B" w:rsidP="00875BFD">
      <w:pPr>
        <w:jc w:val="right"/>
      </w:pPr>
      <w:r>
        <w:t>أولاً: خفة اليد (Sleight of Hand): وهي المهارة الحركية الدقيقة التي تتيح للفنان إجراء عمليات التحويل والإخفاء والاستبدال بسرعة تفوق قدرة العين على التتبع. وقد أظهرت دراسة نُشرت في مجلة Scientific Reports عام 2022 أن الحركات المنحنية لها تأثير أكبر في تضليل المراقب مقارنة بالحركات المستقيمة.</w:t>
      </w:r>
    </w:p>
    <w:p w14:paraId="586078C2" w14:textId="77777777" w:rsidR="005744D8" w:rsidRDefault="007C151B" w:rsidP="00875BFD">
      <w:pPr>
        <w:jc w:val="right"/>
      </w:pPr>
      <w:r>
        <w:t>ثانياً: التضليل (Misdirection): وهو جوهر فن الوهم وأكثر تقنياته تعقيداً. يُعرّفه ليدنغتون بأنه: الفن الذي لا يُخفي فيه الساحر الشيء بقدر ما يُخفي حقيقة ما يفعله؛ إنه يُخفيك عن الحقيقة، لا يُخفي الحقيقة عنك. ويُصنّف لامونت ووايزمان التضليل إلى أنواع متعددة: التضليل الزمني (استغلال لحظات عدم اليقين)، والتضليل المكاني (توجيه الانتباه بعيداً عن الفعل الحقيقي)، والتضليل النفسي (استغلال توقعات الجمهور وميولهم).</w:t>
      </w:r>
    </w:p>
    <w:p w14:paraId="08058C90" w14:textId="77777777" w:rsidR="005744D8" w:rsidRDefault="007C151B" w:rsidP="00875BFD">
      <w:pPr>
        <w:jc w:val="right"/>
      </w:pPr>
      <w:r>
        <w:t>ثالثاً: الآليات النفسية للتوجيه: كتقنية التوجيه غير المباشر (Forcing) التي تدفع المتفرج بشكل حر إلى اختيار ما يريده الفنان دون أن يدرك أنه وُجّه. وتشمل أيضاً استغلال الانحيازات المعرفية كالانحياز التأكيدي ووهم السيطرة.</w:t>
      </w:r>
    </w:p>
    <w:p w14:paraId="57EE1ADF" w14:textId="77777777" w:rsidR="005744D8" w:rsidRDefault="007C151B" w:rsidP="00875BFD">
      <w:pPr>
        <w:jc w:val="right"/>
      </w:pPr>
      <w:r>
        <w:t>رابعاً: التجهيزات الهندسية المسرحية: من مرايا وأبواب سرية وإضاءة وتقنيات صوتية، وهي أدوات تُوسّع نطاق الخداع البصري بما يتجاوز قدرات الجسد وحده.</w:t>
      </w:r>
    </w:p>
    <w:p w14:paraId="6489BD71" w14:textId="77777777" w:rsidR="005744D8" w:rsidRDefault="007C151B" w:rsidP="00875BFD">
      <w:pPr>
        <w:pStyle w:val="21"/>
      </w:pPr>
      <w:r>
        <w:t>2.3 العقد الضمني: نحن نعلم أننا نُخدَع ونُخدَع رغم ذلك</w:t>
      </w:r>
    </w:p>
    <w:p w14:paraId="13358F7D" w14:textId="77777777" w:rsidR="005744D8" w:rsidRDefault="007C151B" w:rsidP="00875BFD">
      <w:pPr>
        <w:jc w:val="right"/>
      </w:pPr>
      <w:r>
        <w:t>يُميّز الباحثون بين فن الوهم والاحتيال الفعلي بمعيار جوهري هو العقد الضمني بين الفنان والجمهور. يصف ليدنغتون هذا العقد بأنه يقوم على عدم التصديق الفعّال (Active Disbelief) : فالمتفرج ليس مطالباً بتعليق حكمه العقلاني كما في المسرح، بل هو مطالب بـعدم التصديق على الرغم من أن الحواس تشير إلى وقوع المستحيل. وهنا يظهر التناقض المعرفي الجميل الذي يميز هذا الفن: نحن نعلم أننا نُخدَع، ومع ذلك نُخدَع.</w:t>
      </w:r>
    </w:p>
    <w:p w14:paraId="08CE766C" w14:textId="77777777" w:rsidR="005744D8" w:rsidRDefault="007C151B" w:rsidP="00875BFD">
      <w:pPr>
        <w:jc w:val="right"/>
      </w:pPr>
      <w:r>
        <w:t>هذا العقد الضمني هو ما يفرّق جوهرياً بين فن الوهم والسحر الخارق. ففي السحر الخارق، يستغل المشعوذ خفاء السبب لإيهام الضحية بالسيطرة الحقيقية على قوى غيبية، بينما في فن الوهم، يكون كشف السبب (أو على الأقل، الاعتراف بوجود سبب طبيعي) جزءاً لا يتجزأ من العقد الترفيهي نفسه.</w:t>
      </w:r>
    </w:p>
    <w:p w14:paraId="73A1AFB3" w14:textId="77777777" w:rsidR="005744D8" w:rsidRDefault="007C151B" w:rsidP="00875BFD">
      <w:pPr>
        <w:pStyle w:val="1"/>
      </w:pPr>
      <w:r>
        <w:t>المحور الثالث: مصفوفة الفوارق الجوهرية — تحليل مقارن</w:t>
      </w:r>
    </w:p>
    <w:p w14:paraId="1CDE5526" w14:textId="77777777" w:rsidR="005744D8" w:rsidRDefault="007C151B" w:rsidP="00875BFD">
      <w:pPr>
        <w:pStyle w:val="21"/>
      </w:pPr>
      <w:r>
        <w:t>3.1 القوانين الطبيعية: بين خرق الفيزياء واستغلالها</w:t>
      </w:r>
    </w:p>
    <w:p w14:paraId="187554AB" w14:textId="77777777" w:rsidR="005744D8" w:rsidRDefault="007C151B" w:rsidP="00875BFD">
      <w:pPr>
        <w:jc w:val="right"/>
      </w:pPr>
      <w:r>
        <w:t>يكمن الفارق الأكثر جوهرية بين السحر الخارق وفن الوهم في العلاقة بالقوانين الطبيعية. السحر الخارق يدّعي خرق قوانين الفيزياء — أي إنتاج أثر لا يمكن تفسيره بالسنن الكونية المعتادة. وهو ما يُعبّر عنه الفقهاء بأنه أمر خارق للعادة. أما فن الوهم، فهو على النقيض التام، يستغل قوانين الفيزياء وعلم النفس لإيهام الحواس دون خرق أي قانون طبيعي. كل خدعة، من أبسطها إلى أعقدها، يمكن — مبدئياً على الأقل — تفسيرها تفسيراً طبيعياً كاملاً.</w:t>
      </w:r>
    </w:p>
    <w:p w14:paraId="683DF0FF" w14:textId="77777777" w:rsidR="005744D8" w:rsidRDefault="007C151B" w:rsidP="00875BFD">
      <w:pPr>
        <w:jc w:val="right"/>
      </w:pPr>
      <w:r>
        <w:t>وهذا الفارق ليس مجرد تمييز وصفياً، بل هو الأساس الذي تقوم عليه مشروعية فن الوهم في الفقه الإسلامي. فالعلماء يفرّقون بين السحر الحقيقي (ما له حقيقة وأثر واقعي) والسحر التخييلي (ما لا حقيقة له وإنما هو خيال وخداع)، ويُدرجون فنون الخفة في النوع الثاني الذي ليس من السحر المحرم. وقد أفتت دائرة الإفتاء الأردنية رسمياً بأن خدع خفة اليد والخداع البصري لا تدخل في مفهوم السحر المحرّم، مع التنبيه إلى أن الأَولى للمسلم أن يشغل وقته بما هو أنفع.</w:t>
      </w:r>
    </w:p>
    <w:p w14:paraId="2B534E6A" w14:textId="77777777" w:rsidR="005744D8" w:rsidRDefault="007C151B" w:rsidP="00875BFD">
      <w:pPr>
        <w:pStyle w:val="21"/>
      </w:pPr>
      <w:r>
        <w:t>3.2 مصدر القدرة: القوى الغيبية مقابل المهارة البشرية</w:t>
      </w:r>
    </w:p>
    <w:p w14:paraId="35F401F0" w14:textId="77777777" w:rsidR="005744D8" w:rsidRDefault="007C151B" w:rsidP="00875BFD">
      <w:pPr>
        <w:jc w:val="right"/>
      </w:pPr>
      <w:r>
        <w:t>في السحر الخارق، يُعزى الأثر إلى قوى غيبية أو أرواح أو نفوس شريرة. وقد أشار ابن تيمية إلى أن الكثيرين من أرباب السحر ممن يدخل في الباطل الخفي الدقيق، ويحتاج إلى أعمال عظيمة وأفكار، مما يعني أن العمل السحري في تصوّره يقوم على علاقة مع كيانات خفية.</w:t>
      </w:r>
    </w:p>
    <w:p w14:paraId="6CFB2E53" w14:textId="77777777" w:rsidR="005744D8" w:rsidRDefault="007C151B" w:rsidP="00875BFD">
      <w:pPr>
        <w:jc w:val="right"/>
      </w:pPr>
      <w:r>
        <w:t>في المقابل، يستند فن الوهم إلى سنوات من التدريب الجسدي المكثّف والذكاء النفسي والمسرحي. وقد أظهرت دراسة نُشرت في Scientific Reports أن السحرة المحترفين يحتاجون إلى أكثر من خمس سنوات من الممارسة المتعمدة قبل أن يصبحوا قادرين على اكتشاف خفة اليد في أداء سحري أمامهم، مما يدل على أن المهارة السحرية (المسرحية) مهارة مكتسبة عالية التخصص.</w:t>
      </w:r>
    </w:p>
    <w:p w14:paraId="7B2D13B2" w14:textId="77777777" w:rsidR="005744D8" w:rsidRDefault="007C151B" w:rsidP="00875BFD">
      <w:pPr>
        <w:pStyle w:val="21"/>
      </w:pPr>
      <w:r>
        <w:t>3.3 الهدف والادعاء: الإيهام بالسيطرة مقابل الترفيه الواعي</w:t>
      </w:r>
    </w:p>
    <w:p w14:paraId="0B5982F0" w14:textId="77777777" w:rsidR="005744D8" w:rsidRDefault="007C151B" w:rsidP="00875BFD">
      <w:pPr>
        <w:jc w:val="right"/>
      </w:pPr>
      <w:r>
        <w:t>في السحر الخارق، يزعم الممارس امتلاك قدرة غيبية حقيقية لإحداث آثار واقعية ملموسة: الشفاء، جلب المنافع، إلحاق الأذى، التنبؤ بالغيب. وهذا الادعاء هو ما يجعله مرفوضاً في الأديان التوحيدية، لأنه يتضمن ادعاء علم الغيب أو التصرف في الكون بغير إذن الله، وهو ما يُصنّف ضمن الشرك أو الكبائر.</w:t>
      </w:r>
    </w:p>
    <w:p w14:paraId="0400DAA0" w14:textId="77777777" w:rsidR="005744D8" w:rsidRDefault="007C151B" w:rsidP="00875BFD">
      <w:pPr>
        <w:jc w:val="right"/>
      </w:pPr>
      <w:r>
        <w:t>في فن الوهم، يكون الهدف الترفيه والتسلية العقلية، حيث يدرك الجمهور مسبقاً أن ما يشاهده ليس إلا مهارة فائقة وخدعة بصرية متقنة. ولا يوجد ادعاء بامتلاك قوى غيبية، بل إن الفنان المسرحي المعاصر يحرص على التمييز الواعي بين نفسه وبين الوسطاء الروحانيين والمشعوذين الذين يدّعون امتلاك قوى حقيقية.</w:t>
      </w:r>
    </w:p>
    <w:p w14:paraId="2FCFF0C3" w14:textId="77777777" w:rsidR="005744D8" w:rsidRDefault="007C151B" w:rsidP="00875BFD">
      <w:pPr>
        <w:pStyle w:val="1"/>
      </w:pPr>
      <w:r>
        <w:t>المحور الرابع: البعد المعرفي والعلمي لفن الوهم</w:t>
      </w:r>
    </w:p>
    <w:p w14:paraId="57542B00" w14:textId="77777777" w:rsidR="005744D8" w:rsidRDefault="007C151B" w:rsidP="00875BFD">
      <w:pPr>
        <w:pStyle w:val="21"/>
      </w:pPr>
      <w:r>
        <w:t>4.1 فن الوهم كأداة لدراسة الإدراك والانتباه</w:t>
      </w:r>
    </w:p>
    <w:p w14:paraId="530287C0" w14:textId="77777777" w:rsidR="005744D8" w:rsidRDefault="007C151B" w:rsidP="00875BFD">
      <w:pPr>
        <w:jc w:val="right"/>
      </w:pPr>
      <w:r>
        <w:t>يُدرَس فن الوهم اليوم في مختبرات علم النفس المعرفي وعلم الأعصاب كأداة بالغة الفعالية لفهم آليات الإدراك والانتباه والانحيازات الذهنية. وقد أظهرت أطروحة دكتوراه في جامعة أكسفورد أن تقنيات التضليل التي يستخدمها السحرة في عروضهم سبقت تطورات علم النفس التجريبي بمئات السنين، وأن فكرة دراسة آليات الخدع السحرية لعبت دوراً محورياً في نشأة علم النفس التجريبي كتخصص علمي في القرن التاسع عشر.</w:t>
      </w:r>
    </w:p>
    <w:p w14:paraId="231EA80B" w14:textId="77777777" w:rsidR="005744D8" w:rsidRDefault="007C151B" w:rsidP="00875BFD">
      <w:pPr>
        <w:pStyle w:val="21"/>
      </w:pPr>
      <w:r>
        <w:t>4.2 العمى غير المتعمد: كيف يرى الدماغ ما يتوقع رؤيته</w:t>
      </w:r>
    </w:p>
    <w:p w14:paraId="6A2178EC" w14:textId="77777777" w:rsidR="005744D8" w:rsidRDefault="007C151B" w:rsidP="00875BFD">
      <w:pPr>
        <w:jc w:val="right"/>
      </w:pPr>
      <w:r>
        <w:t>من أهم المفاهيم العلمية التي يتقاطع فيها علم النفس المعرفي مع فن الوهم مفهوم العمى غير المتعمد (Inattentional Blindness) . يشير هذا المفهوم إلى أن الإنسان قد يفشل في رؤية شيء مرئي وواضح تماماً إذا كان انتباهه موجهاً إلى شيء آخر. وهذا ليس عيباً في العين، بل إشارة إلى حدود العقل؛ فالجهاز البصري يعمل وفق اختصارات تتيح له معالجة الكم الهائل من المعلومات بكفاءة، لكن هذه الاختصارات ذاتها هي التي يستغلها الساحر المسرحي.</w:t>
      </w:r>
    </w:p>
    <w:p w14:paraId="2128E827" w14:textId="77777777" w:rsidR="005744D8" w:rsidRDefault="007C151B" w:rsidP="00875BFD">
      <w:pPr>
        <w:jc w:val="right"/>
      </w:pPr>
      <w:r>
        <w:t>والأهم من ذلك — وهو ما يُفسّر نجاح فن الوهم — أن الناس يخطئون في تقدير قدراتهم الانتباهية؛ فهم يعتقدون زوراً أنهم سيلاحظون الأشياء غير المتوقعة، بينما تشير التجارب إلى أنهم لا يفعلون ذلك. وهذا الخطأ في التقييم الذاتي هو ما يسميه الباحثون وهم الانتباه (The Illusion of Attention)، وهو ذاته ما يجعله أداة مثالية للخداع المسرحي.</w:t>
      </w:r>
    </w:p>
    <w:p w14:paraId="395EE1A8" w14:textId="77777777" w:rsidR="005744D8" w:rsidRDefault="007C151B" w:rsidP="00875BFD">
      <w:pPr>
        <w:pStyle w:val="21"/>
      </w:pPr>
      <w:r>
        <w:t>4.3 التضليل بين العلم والفن: نماذج من البحث التجريبي</w:t>
      </w:r>
    </w:p>
    <w:p w14:paraId="0803BA6F" w14:textId="77777777" w:rsidR="005744D8" w:rsidRDefault="007C151B" w:rsidP="00875BFD">
      <w:pPr>
        <w:jc w:val="right"/>
      </w:pPr>
      <w:r>
        <w:t>تُظهر الدراسات الحديثة أن التضليل ليس مجرد حيلة مبتكرة، بل هو نظام معرفي دقيق يمكن تحليله وتفكيكه بالمناهج العلمية. وقد اقترح باحثون نموذجاً بايزياً لفهم الخدع السحرية، يقوم على أن التضليل يهدف إلى تعظيم المفاجأة من خلال توليد معتقدات جديدة أو تحريف المعتقدات المسبقة للمتفرج. وتُصنّف تقنيات التضليل وفق هذا النموذج إلى: التضليل المكاني (توجيه الانتباه بعيداً)، والتضليل الزمني (استغلال لحظات الغفلة)، والتضليل النفسي (استغلال التوقعات والافتراضات).</w:t>
      </w:r>
    </w:p>
    <w:p w14:paraId="1213E3FB" w14:textId="77777777" w:rsidR="005744D8" w:rsidRDefault="007C151B" w:rsidP="00875BFD">
      <w:pPr>
        <w:jc w:val="right"/>
      </w:pPr>
      <w:r>
        <w:t>وهذا الفهم العلمي للتضليل يفتح آفاقاً تطبيقية تتجاوز المسرح الترفيهي، إذ تُستخدم هذه التقنيات اليوم في مجالات متعددة: من التوعية بمخاطر المعلومات المضللة، إلى تحسين واجهات التفاعل بين الإنسان والحاسوب، إلى تطوير استراتيجيات للكشف عن الاحتيال.</w:t>
      </w:r>
    </w:p>
    <w:p w14:paraId="201DDBBE" w14:textId="77777777" w:rsidR="005744D8" w:rsidRDefault="007C151B" w:rsidP="00875BFD">
      <w:pPr>
        <w:pStyle w:val="1"/>
      </w:pPr>
      <w:r>
        <w:t>خاتمة استنتاجية</w:t>
      </w:r>
    </w:p>
    <w:p w14:paraId="3483CD68" w14:textId="77777777" w:rsidR="005744D8" w:rsidRDefault="007C151B" w:rsidP="00875BFD">
      <w:pPr>
        <w:jc w:val="right"/>
      </w:pPr>
      <w:r>
        <w:t>إن المقارنة بين السحر الخارق للطبيعة وفن الوهم المسرحي تكشف عن مفارقة مركزية: بينما يسعى السحر الخارق إلى إخفاء السبب للسيطرة على الضحية، يسعى فن الوهم إلى إخفاء السبب لإمتاع المتفرج. السبب واحد — الخفاء — لكن الغاية والنية والعقد الاجتماعي مختلفان جذرياً.</w:t>
      </w:r>
    </w:p>
    <w:p w14:paraId="3F6BF043" w14:textId="77777777" w:rsidR="005744D8" w:rsidRDefault="007C151B" w:rsidP="00875BFD">
      <w:pPr>
        <w:jc w:val="right"/>
      </w:pPr>
      <w:r>
        <w:t>ويُمكن إيجاز الفوارق الجوهرية في أربعة معايير فاصلة:</w:t>
      </w:r>
    </w:p>
    <w:p w14:paraId="2AED203E" w14:textId="77777777" w:rsidR="005744D8" w:rsidRDefault="007C151B" w:rsidP="00875BFD">
      <w:pPr>
        <w:jc w:val="right"/>
      </w:pPr>
      <w:r>
        <w:t>1. معيار القوانين الطبيعية: السحر الخارق يدّعي خرقها، وفن الوهم يستغلها ويحترمها.</w:t>
      </w:r>
    </w:p>
    <w:p w14:paraId="65FAC58F" w14:textId="77777777" w:rsidR="005744D8" w:rsidRDefault="007C151B" w:rsidP="00875BFD">
      <w:pPr>
        <w:jc w:val="right"/>
      </w:pPr>
      <w:r>
        <w:t>2. معيار مصدر القدرة: السحر الخارق يعزوها إلى قوى غيبية، وفن الوهم يعزوها إلى مهارة بشرية مكتسبة.</w:t>
      </w:r>
    </w:p>
    <w:p w14:paraId="6079F363" w14:textId="77777777" w:rsidR="005744D8" w:rsidRDefault="007C151B" w:rsidP="00875BFD">
      <w:pPr>
        <w:jc w:val="right"/>
      </w:pPr>
      <w:r>
        <w:t>3. معيار العقد الاجتماعي: السحر الخارق يقوم على الغش والإيهام بالسيطرة الحقيقية، وفن الوهم يقوم على اتفاق ضمني على الترفيه يعرفه الطرفان.</w:t>
      </w:r>
    </w:p>
    <w:p w14:paraId="417B0125" w14:textId="77777777" w:rsidR="005744D8" w:rsidRDefault="007C151B" w:rsidP="00875BFD">
      <w:pPr>
        <w:jc w:val="right"/>
      </w:pPr>
      <w:r>
        <w:t>4. معيار النية والغاية: السحر الخارق يستهدف النفع أو الإضرار عبر الإيهام، وفن الوهم يستهدف الإمتاع والتسلية.</w:t>
      </w:r>
    </w:p>
    <w:p w14:paraId="26E7BCAA" w14:textId="77777777" w:rsidR="005744D8" w:rsidRDefault="007C151B" w:rsidP="00875BFD">
      <w:pPr>
        <w:jc w:val="right"/>
      </w:pPr>
      <w:r>
        <w:t>وهذه المعايير الأربعة هي ما يفسر لماذا يُحرّم السحر في الأديان التوحيدية بينما تُقرّ المؤسسات الفقهية مشروعية ألعاب الخفة والخداع البصري. فالحُرمة لا تتعلق بالفعل المادي بذاته — فالحركة اليدوية السريعة ليست محرّمة بذاتها — بل تتعلق بالنية والادعاء والعقد الاجتماعي الذي يحيط بالفعل. وبهذا المعنى، فإن الفارق بين الساحر والمشعوذ ليس فارقاً في المهارة، بل فارق في الأخلاقيات المعرفية: أحدهما يستغل جهل المتفرج ليفرض عليه سلطة زائفة، والآخر يستدعي ذكاء المتفرج ليشاركه لعبة المعرفة ذاتها.</w:t>
      </w:r>
    </w:p>
    <w:p w14:paraId="233D7F88" w14:textId="77777777" w:rsidR="005744D8" w:rsidRDefault="007C151B" w:rsidP="00875BFD">
      <w:pPr>
        <w:pStyle w:val="1"/>
      </w:pPr>
      <w:r>
        <w:t>قائمة المصادر والمراجع</w:t>
      </w:r>
    </w:p>
    <w:p w14:paraId="0952399C" w14:textId="77777777" w:rsidR="005744D8" w:rsidRDefault="007C151B" w:rsidP="00875BFD">
      <w:pPr>
        <w:jc w:val="right"/>
      </w:pPr>
      <w:r>
        <w:t>أولاً: المصادر الدينية والفقهية</w:t>
      </w:r>
    </w:p>
    <w:p w14:paraId="3278C7CD" w14:textId="77777777" w:rsidR="005744D8" w:rsidRDefault="007C151B" w:rsidP="00875BFD">
      <w:pPr>
        <w:jc w:val="right"/>
      </w:pPr>
      <w:r>
        <w:t>1. البخاري، محمد بن إسماعيل. صحيح البخاري، كتاب الطب، باب السحر. تحقيق: محمد زهير الناصر. دار طوق النجاة، 1422هـ.</w:t>
      </w:r>
    </w:p>
    <w:p w14:paraId="5E95CACE" w14:textId="77777777" w:rsidR="005744D8" w:rsidRDefault="007C151B" w:rsidP="00875BFD">
      <w:pPr>
        <w:jc w:val="right"/>
      </w:pPr>
      <w:r>
        <w:t>2. ابن حجر العسكري، أحمد بن علي. فتح الباري بشرح صحيح البخاري. تحقيق: عبد العزيز بن عبد الله بن باز. دار المعرفة، 1379هـ.</w:t>
      </w:r>
    </w:p>
    <w:p w14:paraId="339217AE" w14:textId="77777777" w:rsidR="005744D8" w:rsidRDefault="007C151B" w:rsidP="00875BFD">
      <w:pPr>
        <w:jc w:val="right"/>
      </w:pPr>
      <w:r>
        <w:t>3. ابن تيمية، أحمد بن عبد الحليم. مجموع الفتاوى. تحقيق: أنور الباز وعامر الجزار. دار الوفاء، 1426هـ.</w:t>
      </w:r>
    </w:p>
    <w:p w14:paraId="06A335B2" w14:textId="77777777" w:rsidR="005744D8" w:rsidRDefault="007C151B" w:rsidP="00875BFD">
      <w:pPr>
        <w:jc w:val="right"/>
      </w:pPr>
      <w:r>
        <w:t>4. ابن قيم الجوزية، محمد بن أبي بكر. بدائع التفسير. تحقيق: يسري السيد محمد. دار ابن الجوزي، 1427هـ.</w:t>
      </w:r>
    </w:p>
    <w:p w14:paraId="3E4FAC14" w14:textId="77777777" w:rsidR="005744D8" w:rsidRDefault="007C151B" w:rsidP="00875BFD">
      <w:pPr>
        <w:jc w:val="right"/>
      </w:pPr>
      <w:r>
        <w:t>5. المقدسي، أبو محمد عبد الله بن أحمد. الكافي في فقه الإمام أحمد. تحقيق: محمد فارس. دار الكتب العلمية، 1414هـ.</w:t>
      </w:r>
    </w:p>
    <w:p w14:paraId="118960DF" w14:textId="77777777" w:rsidR="005744D8" w:rsidRDefault="007C151B" w:rsidP="00875BFD">
      <w:pPr>
        <w:jc w:val="right"/>
      </w:pPr>
      <w:r>
        <w:t>6. العيني، بدر الدين محمود بن أحمد. عمدة القاري شرح صحيح البخاري. دار إحياء التراث العربي، بيروت.</w:t>
      </w:r>
    </w:p>
    <w:p w14:paraId="5E560A2D" w14:textId="77777777" w:rsidR="005744D8" w:rsidRDefault="007C151B" w:rsidP="00875BFD">
      <w:pPr>
        <w:jc w:val="right"/>
      </w:pPr>
      <w:r>
        <w:t>7. آل الشيخ، سليمان بن عبد الله. تيسير العزيز الحميد في شرح كتاب التوحيد. تحقيق: عبد الرحمن بن حسن. دار الصميعي، 1422هـ.</w:t>
      </w:r>
    </w:p>
    <w:p w14:paraId="25D13EE9" w14:textId="77777777" w:rsidR="005744D8" w:rsidRDefault="007C151B" w:rsidP="00875BFD">
      <w:pPr>
        <w:jc w:val="right"/>
      </w:pPr>
      <w:r>
        <w:t>8. الفوزان، صالح بن فوزان. إعانة المستفيد بشرح كتاب التوحيد. دار الإمام أحمد، 1424هـ.</w:t>
      </w:r>
    </w:p>
    <w:p w14:paraId="67672CF6" w14:textId="77777777" w:rsidR="005744D8" w:rsidRDefault="007C151B" w:rsidP="00875BFD">
      <w:pPr>
        <w:jc w:val="right"/>
      </w:pPr>
      <w:r>
        <w:t>9. دائرة الإفتاء الأردنية. الفتوى رقم (3196)، بتاريخ 30-05-2016. حكم العمل كمؤدٍ لخدع خفة اليد والخداع البصري.</w:t>
      </w:r>
    </w:p>
    <w:p w14:paraId="7C34BBAB" w14:textId="77777777" w:rsidR="005744D8" w:rsidRDefault="007C151B" w:rsidP="00875BFD">
      <w:pPr>
        <w:jc w:val="right"/>
      </w:pPr>
      <w:r>
        <w:t>10. IslamQA. Sleight-of-Hand Tricks and Illusions aren't from Prohibited Magic. 20 February 2022.</w:t>
      </w:r>
    </w:p>
    <w:p w14:paraId="0E109B51" w14:textId="77777777" w:rsidR="005744D8" w:rsidRDefault="007C151B" w:rsidP="00875BFD">
      <w:pPr>
        <w:jc w:val="right"/>
      </w:pPr>
      <w:r>
        <w:t>ثانياً: المراجع الأكاديمية والدراسات العلمية</w:t>
      </w:r>
    </w:p>
    <w:p w14:paraId="2E232035" w14:textId="77777777" w:rsidR="005744D8" w:rsidRDefault="007C151B" w:rsidP="00875BFD">
      <w:pPr>
        <w:jc w:val="right"/>
      </w:pPr>
      <w:r>
        <w:t>11. During, Simon. Modern Enchantments: The Cultural Power of Secular Magic. Cambridge, MA: Harvard University Press, 2002.</w:t>
      </w:r>
    </w:p>
    <w:p w14:paraId="14976A6C" w14:textId="77777777" w:rsidR="005744D8" w:rsidRDefault="007C151B" w:rsidP="00875BFD">
      <w:pPr>
        <w:jc w:val="right"/>
      </w:pPr>
      <w:r>
        <w:t>12. Da Silva Baptista, I. Magicians are Conscious to Differentiate Themselves from Psychics and Other Performers. PhD Thesis, University College London.</w:t>
      </w:r>
    </w:p>
    <w:p w14:paraId="0FDA6A8F" w14:textId="77777777" w:rsidR="005744D8" w:rsidRDefault="007C151B" w:rsidP="00875BFD">
      <w:pPr>
        <w:jc w:val="right"/>
      </w:pPr>
      <w:r>
        <w:t>13. Lamont, Peter, and Jim Steinmeyer. The Secret History of Magic: The True Story of the Deceptive Art. New York: TarcherPerigee, 2018.</w:t>
      </w:r>
    </w:p>
    <w:p w14:paraId="4936A1B4" w14:textId="77777777" w:rsidR="005744D8" w:rsidRDefault="007C151B" w:rsidP="00875BFD">
      <w:pPr>
        <w:jc w:val="right"/>
      </w:pPr>
      <w:r>
        <w:t>14. Leddington, Jason. Magic: The Art of the Impossible. In Aesthetics: A Reader in the Philosophy of the Arts, edited by David Goldblatt, Lee B. Brown, and Stephanie Partridge, 373-379. New York: Routledge, 2017.</w:t>
      </w:r>
    </w:p>
    <w:p w14:paraId="4FE6413E" w14:textId="77777777" w:rsidR="005744D8" w:rsidRDefault="007C151B" w:rsidP="00875BFD">
      <w:pPr>
        <w:jc w:val="right"/>
      </w:pPr>
      <w:r>
        <w:t>15. Maskelyne, John Nevil. Sharps and Flats: A Complete Revelation of the Secrets of Cheating at Games of Chance and Skill. London: DigiCat, 2022 (reprint).</w:t>
      </w:r>
    </w:p>
    <w:p w14:paraId="4F61D2F8" w14:textId="77777777" w:rsidR="005744D8" w:rsidRDefault="007C151B" w:rsidP="00875BFD">
      <w:pPr>
        <w:jc w:val="right"/>
      </w:pPr>
      <w:r>
        <w:t>16. Tompkins, M. L. Observations on Invisibility: An Investigation on the Role of Expectation and Attentional Set on Visual Awareness. DPhil Thesis, University of Oxford, 2018.</w:t>
      </w:r>
    </w:p>
    <w:p w14:paraId="76E76010" w14:textId="77777777" w:rsidR="005744D8" w:rsidRDefault="007C151B" w:rsidP="00875BFD">
      <w:pPr>
        <w:jc w:val="right"/>
      </w:pPr>
      <w:r>
        <w:t>17. Simons, Daniel J. Inattentional Blindness and the Illusion of Attention. In The Oxford Compendium of Visual Illusions, edited by Arthur G. Shapiro and Dejan Todorovic, 715-718. Oxford: Oxford University Press, 2017.</w:t>
      </w:r>
    </w:p>
    <w:p w14:paraId="255D3C33" w14:textId="77777777" w:rsidR="005744D8" w:rsidRDefault="007C151B" w:rsidP="00875BFD">
      <w:pPr>
        <w:jc w:val="right"/>
      </w:pPr>
      <w:r>
        <w:t>18. Kuhn, Gustav, et al. Investigating Expert Performance When Observing Magic Effects. Scientific Reports 12, Article number: 5141 (2022).</w:t>
      </w:r>
    </w:p>
    <w:p w14:paraId="04DB4A12" w14:textId="77777777" w:rsidR="005744D8" w:rsidRDefault="007C151B" w:rsidP="00875BFD">
      <w:pPr>
        <w:jc w:val="right"/>
      </w:pPr>
      <w:r>
        <w:t>19. Lamont, Peter, and Richard Wiseman. Misdirection — Past, Present, and the Future. Frontiers in Human Neuroscience 5 (2012): 172.</w:t>
      </w:r>
    </w:p>
    <w:p w14:paraId="6BB54A56" w14:textId="77777777" w:rsidR="005744D8" w:rsidRDefault="007C151B" w:rsidP="00875BFD">
      <w:pPr>
        <w:jc w:val="right"/>
      </w:pPr>
      <w:r>
        <w:t>20. Frazer, James George. The Golden Bough: A Study in Magic and Religion. London: Macmillan, 1922.</w:t>
      </w:r>
    </w:p>
    <w:p w14:paraId="24F1AF1E" w14:textId="77777777" w:rsidR="005744D8" w:rsidRDefault="007C151B" w:rsidP="00875BFD">
      <w:pPr>
        <w:jc w:val="right"/>
      </w:pPr>
      <w:r>
        <w:t>ثالثاً: المراجع العربية والأجنبية الإضافية</w:t>
      </w:r>
    </w:p>
    <w:p w14:paraId="66D7DEB3" w14:textId="77777777" w:rsidR="005744D8" w:rsidRDefault="007C151B" w:rsidP="00875BFD">
      <w:pPr>
        <w:jc w:val="right"/>
      </w:pPr>
      <w:r>
        <w:t>21. الزحيلي، وهبة. التفسير المنير في العقيدة والشريعة والمنهج. دار الفكر المعاصر، دمشق، 1418هـ.</w:t>
      </w:r>
    </w:p>
    <w:p w14:paraId="028759D7" w14:textId="77777777" w:rsidR="005744D8" w:rsidRDefault="007C151B" w:rsidP="00875BFD">
      <w:pPr>
        <w:jc w:val="right"/>
      </w:pPr>
      <w:r>
        <w:t>22. الراغب الأصفهاني، الحسين بن محمد. المفردات في غريب القرآن. تحقيق: صفوان عدنان الداودي. دار القلم، دمشق، 1412هـ.</w:t>
      </w:r>
    </w:p>
    <w:p w14:paraId="1D8E344C" w14:textId="77777777" w:rsidR="005744D8" w:rsidRDefault="007C151B" w:rsidP="00875BFD">
      <w:pPr>
        <w:jc w:val="right"/>
      </w:pPr>
      <w:r>
        <w:t>23. Frazier, Kendrick. Magic and Neuroscience: A Conversation with Susana Martinez-Conde. Skeptical Inquirer, 2023.</w:t>
      </w:r>
    </w:p>
    <w:p w14:paraId="7378FB02" w14:textId="77777777" w:rsidR="005744D8" w:rsidRDefault="007C151B" w:rsidP="00875BFD">
      <w:pPr>
        <w:jc w:val="right"/>
      </w:pPr>
      <w:r>
        <w:t>24. Nardi, Peter. The Sociology of Magic. Sociological Perspectives 63, no. 4 (2020): 567-583.</w:t>
      </w:r>
    </w:p>
    <w:p w14:paraId="034283CD" w14:textId="77777777" w:rsidR="005744D8" w:rsidRPr="00B21A61" w:rsidRDefault="007C151B" w:rsidP="00875BFD">
      <w:pPr>
        <w:jc w:val="right"/>
        <w:rPr>
          <w:color w:val="4BACC6" w:themeColor="accent5"/>
          <w:sz w:val="32"/>
          <w:szCs w:val="32"/>
        </w:rPr>
      </w:pPr>
      <w:r w:rsidRPr="00B21A61">
        <w:rPr>
          <w:color w:val="4BACC6" w:themeColor="accent5"/>
          <w:sz w:val="32"/>
          <w:szCs w:val="32"/>
        </w:rPr>
        <w:t>من التمييز الفقهي إلى التشخيص الوجودي: قراءة استخلافية موسّعة في السحر وفن الوهم المسرحي</w:t>
      </w:r>
    </w:p>
    <w:p w14:paraId="29C6FD8E" w14:textId="77777777" w:rsidR="005744D8" w:rsidRDefault="007C151B" w:rsidP="00875BFD">
      <w:pPr>
        <w:jc w:val="right"/>
      </w:pPr>
      <w:r>
        <w:t>تمهيد منهجي: في ضرورة تجاوز المصفوفة الثنائية</w:t>
      </w:r>
    </w:p>
    <w:p w14:paraId="51F9FF43" w14:textId="77777777" w:rsidR="005744D8" w:rsidRDefault="007C151B" w:rsidP="00875BFD">
      <w:pPr>
        <w:jc w:val="right"/>
      </w:pPr>
      <w:r>
        <w:t>تُقدّم الدراسة المُعروضة تحليلاً أكاديمياً دقيقاً للتمييز بين السحر الخارق للطبيعة وفن الوهم المسرحي ، عبر مصفوفة من أربعة معايير فاصلة : معيار القوانين الطبيعية، ومعيار مصدر القدرة، ومعيار العقد الاجتماعي، ومعيار النية والغاية. وهذا التحليل – رغم دقته وشموليته – يظلّ – في منظور علم النفس الاستخلافي كما صاغه الباحث عبد السلام الزراع – تحليلاً أفقياً يتوقف عند حدود البارادايم الفقهي-الطبائي والبارادايم المعرفي الغربي، دون أن ينفذ إلى البنية الأنطولوجية التي تحكم العلاقة بين الإنسان والوهم والغيب والمرجعية المتعالية.</w:t>
      </w:r>
    </w:p>
    <w:p w14:paraId="7EC2938A" w14:textId="77777777" w:rsidR="005744D8" w:rsidRDefault="007C151B" w:rsidP="00875BFD">
      <w:pPr>
        <w:jc w:val="right"/>
      </w:pPr>
      <w:r>
        <w:t>فالدراسة – كما نرى – تُصنّف السحر وفن الوهم ضمن مصفوفة ثنائية: أحدهما خارق والآخر طبيعي، أحدهما محرّم والآخر مشروع. لكن علم النفس الاستخلافي – في قراءته – لا يُصنّف الظواهر فقط، بل يسأل: ما الطاقة الوجودية التي تتحرك في كل منهما؟ وأي ضلع من الأضلاع الثمانية تُفعّل؟ وما موقعها من 'خريطة الدين النفسي'؟ وكيف تُخاطب 'البعد الرابع' (الشيطان) و'الرحمة الإلهية'؟ .</w:t>
      </w:r>
    </w:p>
    <w:p w14:paraId="09A30C0C" w14:textId="77777777" w:rsidR="005744D8" w:rsidRDefault="007C151B" w:rsidP="00875BFD">
      <w:pPr>
        <w:jc w:val="right"/>
      </w:pPr>
      <w:r>
        <w:t>هذه القراءة الاستخلافية – التي تتجاوز التصنيف إلى التشخيص الوجودي – تسعى إلى تفكيك الظاهرتين في ضوء النموذج الهرمي القرآني، وبيان مواقعها من الأضلاع الثمانية، وكشف علاقتها بـ سيادة الانتباه والفصام الأخلاقي والمرجعية المتعالية.</w:t>
      </w:r>
    </w:p>
    <w:p w14:paraId="4F11E606" w14:textId="77777777" w:rsidR="005744D8" w:rsidRDefault="007C151B" w:rsidP="00875BFD">
      <w:pPr>
        <w:pStyle w:val="1"/>
      </w:pPr>
      <w:r>
        <w:t>الفصل الأول: السحر الخارق – من خرق القوانين إلى استعمار الطاقة الوجودية</w:t>
      </w:r>
    </w:p>
    <w:p w14:paraId="7CB260D3" w14:textId="77777777" w:rsidR="005744D8" w:rsidRDefault="007C151B" w:rsidP="00875BFD">
      <w:pPr>
        <w:pStyle w:val="21"/>
      </w:pPr>
      <w:r>
        <w:t>1.1 السحر كـتفعيل مكثف للضلع الثالث (شيطان ← أمارة)</w:t>
      </w:r>
    </w:p>
    <w:p w14:paraId="62396707" w14:textId="77777777" w:rsidR="005744D8" w:rsidRDefault="007C151B" w:rsidP="00875BFD">
      <w:pPr>
        <w:jc w:val="right"/>
      </w:pPr>
      <w:r>
        <w:t>تُشير الدراسة – في محورها الأول – إلى أن السحر الخارق يستدعي قوى غيبية وأرواحاً وكيانات خفية، ويقوم على علاقة معها. وفي النموذج الهرمي القرآني، هذا الاستدعاء – في جوهره – هو تفعيل مكثف للضلع الثالث (شيطان ← أمارة) : الشيطان – في هذا التصور – ليس كياناً خارجياً فقط، بل هو قوة إغواء تُحرك الأمارة وتُضخم شهواتها وتَدفعها إلى الاستجابة للوسوسة والاستسلام للوهم.</w:t>
      </w:r>
    </w:p>
    <w:p w14:paraId="4F32526E" w14:textId="77777777" w:rsidR="005744D8" w:rsidRDefault="007C151B" w:rsidP="00875BFD">
      <w:pPr>
        <w:jc w:val="right"/>
      </w:pPr>
      <w:r>
        <w:t>وهذا الضلع – كما يُلاحظ – هو المسار الأخطر في الهرم، لأنه يَستهدف القاعدة الفطرية من ثغرتها الأضعف (الفجور)، ويُوهم الإنسان بأنه يُسيطر على الغيب ويَتحكم في السنن، بينما هو – في الحقيقة – أسير لوهمه ورهين لشهواته.</w:t>
      </w:r>
    </w:p>
    <w:p w14:paraId="58912C76" w14:textId="77777777" w:rsidR="005744D8" w:rsidRDefault="007C151B" w:rsidP="00875BFD">
      <w:pPr>
        <w:pStyle w:val="21"/>
      </w:pPr>
      <w:r>
        <w:t>1.2 السحر وخريطة الدين النفسي: ديون حقيقية ووهمية</w:t>
      </w:r>
    </w:p>
    <w:p w14:paraId="5463974A" w14:textId="77777777" w:rsidR="005744D8" w:rsidRDefault="007C151B" w:rsidP="00875BFD">
      <w:pPr>
        <w:jc w:val="right"/>
      </w:pPr>
      <w:r>
        <w:t>في بروتوكول TLRT، خريطة الدين النفسي أداة تشخيصية تُميّز بين الديون الحقيقية (ما يَجب فعله) والديون الوهمية (ما تَفرضه الأوهام). وفي حالة الساحر، يمكن رصد ديون متعددة:</w:t>
      </w:r>
    </w:p>
    <w:p w14:paraId="0BAFC55B" w14:textId="77777777" w:rsidR="005744D8" w:rsidRDefault="007C151B" w:rsidP="00875BFD">
      <w:pPr>
        <w:ind w:left="340" w:hanging="170"/>
        <w:jc w:val="right"/>
      </w:pPr>
      <w:r>
        <w:t>· ديون حقيقية : التعدّي على حقوق الآخرين (بالمرض، القتل، التفريق)، والاعتداء على حرمة الغيب (التي هي حق الله وحده)، والاستعانة بالشياطين (التي تُخالف الميثاق الأزلي).</w:t>
      </w:r>
    </w:p>
    <w:p w14:paraId="7132F4DE" w14:textId="77777777" w:rsidR="005744D8" w:rsidRDefault="007C151B" w:rsidP="00875BFD">
      <w:pPr>
        <w:ind w:left="340" w:hanging="170"/>
        <w:jc w:val="right"/>
      </w:pPr>
      <w:r>
        <w:t>· ديون وهمية : الشعور بالقدرة المطلقة والسيطرة على السنن، والاعتقاد بأن القرابين والطقوس تُسدد ديناً للشياطين. وهذه الديون – كما يُجادل الزراع – هي الوقود الذي يُغذي الوهم ويُعمّق الاغتراب.</w:t>
      </w:r>
    </w:p>
    <w:p w14:paraId="4AE8ED6C" w14:textId="77777777" w:rsidR="005744D8" w:rsidRDefault="007C151B" w:rsidP="00875BFD">
      <w:pPr>
        <w:pStyle w:val="21"/>
      </w:pPr>
      <w:r>
        <w:t>1.3 السحر وسيادة الانتباه: استعمار الوعي وتفتيت التركيز</w:t>
      </w:r>
    </w:p>
    <w:p w14:paraId="64E91CFA" w14:textId="77777777" w:rsidR="005744D8" w:rsidRDefault="007C151B" w:rsidP="00875BFD">
      <w:pPr>
        <w:jc w:val="right"/>
      </w:pPr>
      <w:r>
        <w:t>السحر الخارق – كما يُلاحظ – لا يُخاطب العقل الواعي للمتلقي فحسب، بل يَستهدف سيادة انتباهه : يُشتت انتباهه بالتضليل، ويُوهمه بخرق القوانين، ويُفقد عقله التوازن بين ما يراه وما يعرفه. وهذا – في التحليل الاستخلافي – هو استعمار للوعي من نوع خاص؛ إنه استعمار غيبي يَستهدف القلب لا الجسد، ويُحوّل المتلقي من خليفة مُسيطر إلى أسير للخوف والوهم.</w:t>
      </w:r>
    </w:p>
    <w:p w14:paraId="5E098D5E" w14:textId="77777777" w:rsidR="005744D8" w:rsidRDefault="007C151B" w:rsidP="00875BFD">
      <w:pPr>
        <w:pStyle w:val="1"/>
      </w:pPr>
      <w:r>
        <w:t>الفصل الثاني: فن الوهم – من خداع الحواس إلى هندسة الانتباه الواعية</w:t>
      </w:r>
    </w:p>
    <w:p w14:paraId="2F81343A" w14:textId="77777777" w:rsidR="005744D8" w:rsidRDefault="007C151B" w:rsidP="00875BFD">
      <w:pPr>
        <w:pStyle w:val="21"/>
      </w:pPr>
      <w:r>
        <w:t>2.1 فن الوهم كـتفعيل للضلع الخامس (أمارة ← لوامة)</w:t>
      </w:r>
    </w:p>
    <w:p w14:paraId="0ABD7030" w14:textId="77777777" w:rsidR="005744D8" w:rsidRDefault="007C151B" w:rsidP="00875BFD">
      <w:pPr>
        <w:jc w:val="right"/>
      </w:pPr>
      <w:r>
        <w:t>في مُقابل السحر الخارق، فن الوهم المسرحي – رغم اشتراكه مع السحر في الآلية الفنية (خفة اليد، التضليل) – يُفعّل الضلع الخامس (أمارة ← لوامة) بشكل إيجابي: المُتفرج – هنا – لا يُستَغل جهله ولا يُستعمر وعيه، بل يُشارك بوعي في اللعبة المعرفية، ويُستدعى عقله النقدي للتساؤل: كيف حدث هذا؟. إنه انتقال من الاستسلام للوهم إلى التفاعل الواعي مع الوهم.</w:t>
      </w:r>
    </w:p>
    <w:p w14:paraId="2085901F" w14:textId="77777777" w:rsidR="005744D8" w:rsidRDefault="007C151B" w:rsidP="00875BFD">
      <w:pPr>
        <w:pStyle w:val="21"/>
      </w:pPr>
      <w:r>
        <w:t>2.2 فن الوهم وخريطة الدين النفسي: لا ديون حقيقية ولا وهمية</w:t>
      </w:r>
    </w:p>
    <w:p w14:paraId="3EF6AEF5" w14:textId="77777777" w:rsidR="005744D8" w:rsidRDefault="007C151B" w:rsidP="00875BFD">
      <w:pPr>
        <w:jc w:val="right"/>
      </w:pPr>
      <w:r>
        <w:t>فن الوهم – في التحليل الاستخلافي – لا يُرتب على المتلقي ديوناً حقيقية (فهو لا يَستدعي أرواحاً ولا يُعتدي على حقوق)، ولا ديوناً وهمية (فالمتلقي على علم مسبق بوجود خدعة، ولا يُصدّق قدرة خارقة للفنان). إنه علاقة تعاقدية واضحة بين طرفين حُرّين: فنان يُقدّم عرضاً، ومتفرج يَقبل التفاعل معه في حدود العقد المسرحي. وهذا – في النموذج الاستخلافي – هو ما يُسميه الزراع الجسر السلوكي المبني على وعي متبادل، لا على خداع أحادي.</w:t>
      </w:r>
    </w:p>
    <w:p w14:paraId="18A2C19A" w14:textId="77777777" w:rsidR="005744D8" w:rsidRDefault="007C151B" w:rsidP="00875BFD">
      <w:pPr>
        <w:pStyle w:val="21"/>
      </w:pPr>
      <w:r>
        <w:t>2.3 فن الوهم وسيادة الانتباه: تدريب الوعي على التمييز</w:t>
      </w:r>
    </w:p>
    <w:p w14:paraId="36E9E732" w14:textId="77777777" w:rsidR="005744D8" w:rsidRDefault="007C151B" w:rsidP="00875BFD">
      <w:pPr>
        <w:jc w:val="right"/>
      </w:pPr>
      <w:r>
        <w:t>فن الوهم – كما تُشير الدراسات – يُدرَّس اليوم في مختبرات علم النفس المعرفي لأنه يُعلّمنا حدود انتباهنا ووهم سيطرتنا على ما نراه. وهذا – في التحليل الاستخلافي – هو تدريب على سيادة الانتباه بمعنى إيجابي: المتلقي – عبر مشاهدة الخدعة – يُدرك أن عقله محدود، وأن إدراكه قابل للتضليل، وأن يقظته يَجب أن تُمارس باستمرار. إنه تمرين على اليقظة والتواضع المعرفي.</w:t>
      </w:r>
    </w:p>
    <w:p w14:paraId="4657301F" w14:textId="77777777" w:rsidR="005744D8" w:rsidRDefault="007C151B" w:rsidP="00875BFD">
      <w:pPr>
        <w:pStyle w:val="1"/>
      </w:pPr>
      <w:r>
        <w:t>الفصل الثالث: المصفوفة الاستخلافية – قراءة مقارنة معمّقة</w:t>
      </w:r>
    </w:p>
    <w:p w14:paraId="19DDEFA1" w14:textId="77777777" w:rsidR="005744D8" w:rsidRDefault="007C151B" w:rsidP="00875BFD">
      <w:pPr>
        <w:pStyle w:val="21"/>
      </w:pPr>
      <w:r>
        <w:t>3.1 المعيار الأول: العلاقة بالقوانين الطبيعية</w:t>
      </w:r>
    </w:p>
    <w:p w14:paraId="723EA936" w14:textId="77777777" w:rsidR="005744D8" w:rsidRDefault="007C151B" w:rsidP="00875BFD">
      <w:pPr>
        <w:jc w:val="right"/>
      </w:pPr>
      <w:r>
        <w:t>البعد السحر الخارق فن الوهم المسرحي</w:t>
      </w:r>
    </w:p>
    <w:p w14:paraId="68EE5F85" w14:textId="77777777" w:rsidR="005744D8" w:rsidRDefault="007C151B" w:rsidP="00875BFD">
      <w:pPr>
        <w:jc w:val="right"/>
      </w:pPr>
      <w:r>
        <w:t>الادعاء خرق القوانين الفيزيائية احترام القوانين واستغلالها</w:t>
      </w:r>
    </w:p>
    <w:p w14:paraId="1BD36888" w14:textId="77777777" w:rsidR="005744D8" w:rsidRDefault="007C151B" w:rsidP="00875BFD">
      <w:pPr>
        <w:jc w:val="right"/>
      </w:pPr>
      <w:r>
        <w:t>التصويل الأنطولوجي تفعيل للضلع السابع (تضخيم الوهم) تفعيل للضلع الخامس (صحوة التمييز)</w:t>
      </w:r>
    </w:p>
    <w:p w14:paraId="185DDC83" w14:textId="77777777" w:rsidR="005744D8" w:rsidRDefault="007C151B" w:rsidP="00875BFD">
      <w:pPr>
        <w:jc w:val="right"/>
      </w:pPr>
      <w:r>
        <w:t>الخلفية الأنطولوجية خرق لسنن الله في الكون تكامل مع سنن الله السببية</w:t>
      </w:r>
    </w:p>
    <w:p w14:paraId="63E13C6B" w14:textId="77777777" w:rsidR="005744D8" w:rsidRDefault="007C151B" w:rsidP="00875BFD">
      <w:pPr>
        <w:jc w:val="right"/>
      </w:pPr>
      <w:r>
        <w:t>وهنا يَظهر الفارق الأنطولوجي الأساسي: السحر يدّعي تعطيل السنن، والوهم يُظهر جمال السنن ذاتها، ويُشيد عليه فنه. فـالوهم – في جوهره – تعاون مع القوانين، لا عصيان لها.</w:t>
      </w:r>
    </w:p>
    <w:p w14:paraId="52D7C2DD" w14:textId="77777777" w:rsidR="005744D8" w:rsidRDefault="007C151B" w:rsidP="00875BFD">
      <w:pPr>
        <w:pStyle w:val="21"/>
      </w:pPr>
      <w:r>
        <w:t>3.2 المعيار الثاني: مصدر القدرة</w:t>
      </w:r>
    </w:p>
    <w:p w14:paraId="3A5B8B00" w14:textId="77777777" w:rsidR="005744D8" w:rsidRDefault="007C151B" w:rsidP="00875BFD">
      <w:pPr>
        <w:ind w:left="340" w:hanging="170"/>
        <w:jc w:val="right"/>
      </w:pPr>
      <w:r>
        <w:t>· السحر الخارق : يُعزو القدرة إلى قوى غيبية (أرواح، شياطين)، وهذا – في النموذج الاستخلافي – هو تفعيل لعلاقة غير سوية مع البعد الرابع. إنه استعانة بـالشيطان على الإنسان باسم الإنسان – وهو قمة الاستلاب.</w:t>
      </w:r>
    </w:p>
    <w:p w14:paraId="64F05C5C" w14:textId="77777777" w:rsidR="005744D8" w:rsidRDefault="007C151B" w:rsidP="00875BFD">
      <w:pPr>
        <w:ind w:left="340" w:hanging="170"/>
        <w:jc w:val="right"/>
      </w:pPr>
      <w:r>
        <w:t>· فن الوهم : يُعزو القدرة إلى مهارة بشرية مكتسبة (تدريب، ذكاء، إبداع). وهذا – في النموذج الاستخلافي – هو تفعيل لطاقة الإبداع والاستخلاف؛ الفنان يُستخدم ملكاته البشرية في إنتاج الجمال والدهشة، لا في استعباد الآخر.</w:t>
      </w:r>
    </w:p>
    <w:p w14:paraId="74141BB2" w14:textId="77777777" w:rsidR="005744D8" w:rsidRDefault="007C151B" w:rsidP="00875BFD">
      <w:pPr>
        <w:pStyle w:val="21"/>
      </w:pPr>
      <w:r>
        <w:t>3.3 المعيار الثالث: العقد الاجتماعي</w:t>
      </w:r>
    </w:p>
    <w:p w14:paraId="4277798B" w14:textId="77777777" w:rsidR="005744D8" w:rsidRDefault="007C151B" w:rsidP="00875BFD">
      <w:pPr>
        <w:ind w:left="340" w:hanging="170"/>
        <w:jc w:val="right"/>
      </w:pPr>
      <w:r>
        <w:t>· السحر الخارق : قائم على خداع أحادي واستغلال لجهل المتلقي. الساحر يُخفي السبب ليُفرض على الضحية سلطة زائفة.</w:t>
      </w:r>
    </w:p>
    <w:p w14:paraId="7C7EA953" w14:textId="77777777" w:rsidR="005744D8" w:rsidRDefault="007C151B" w:rsidP="00875BFD">
      <w:pPr>
        <w:ind w:left="340" w:hanging="170"/>
        <w:jc w:val="right"/>
      </w:pPr>
      <w:r>
        <w:t>· فن الوهم : قائم على عقد ضمني يعرفه الطرفان. المتفرج يَعلم أنه يُخدع، والفنان يَعلم أن المتفرج يَعلم، وهو ما يُسمى في الأدبيات عدم التصديق الفعّال (Active Disbelief).</w:t>
      </w:r>
    </w:p>
    <w:p w14:paraId="2232E192" w14:textId="77777777" w:rsidR="005744D8" w:rsidRDefault="007C151B" w:rsidP="00875BFD">
      <w:pPr>
        <w:jc w:val="right"/>
      </w:pPr>
      <w:r>
        <w:t>وهذا العقد – في التحليل الاستخلافي – هو تعاقد بين خليفتين حُرّين، لا بين سيد وعبد، أو مُخادع وضحية.</w:t>
      </w:r>
    </w:p>
    <w:p w14:paraId="150460A7" w14:textId="77777777" w:rsidR="005744D8" w:rsidRDefault="007C151B" w:rsidP="00875BFD">
      <w:pPr>
        <w:pStyle w:val="21"/>
      </w:pPr>
      <w:r>
        <w:t>3.4 المعيار الرابع: النية والغاية</w:t>
      </w:r>
    </w:p>
    <w:p w14:paraId="63FCAC80" w14:textId="77777777" w:rsidR="005744D8" w:rsidRDefault="007C151B" w:rsidP="00875BFD">
      <w:pPr>
        <w:ind w:left="340" w:hanging="170"/>
        <w:jc w:val="right"/>
      </w:pPr>
      <w:r>
        <w:t>· السحر الخارق : غايته النفع أو الإضرار عبر الإيهام، وهو ما يُؤدي – في التحليل الاستخلافي – إلى خيانة الاستخلاف وانحراف الطاقة الوجودية عن مسارها.</w:t>
      </w:r>
    </w:p>
    <w:p w14:paraId="6F728F6D" w14:textId="77777777" w:rsidR="005744D8" w:rsidRDefault="007C151B" w:rsidP="00875BFD">
      <w:pPr>
        <w:ind w:left="340" w:hanging="170"/>
        <w:jc w:val="right"/>
      </w:pPr>
      <w:r>
        <w:t>· فن الوهم : غايته الإمتاع والتسلية والتفكير. وهو – في التحليل الاستخلافي – تفعيل إيجابي لطاقة الإبداع وللمعنى وللجمال.</w:t>
      </w:r>
    </w:p>
    <w:p w14:paraId="18F53C24" w14:textId="77777777" w:rsidR="005744D8" w:rsidRDefault="007C151B" w:rsidP="00875BFD">
      <w:pPr>
        <w:pStyle w:val="1"/>
      </w:pPr>
      <w:r>
        <w:t>الفصل الرابع: من التحريم والمشروعية إلى التشخيص الوجودي</w:t>
      </w:r>
    </w:p>
    <w:p w14:paraId="1310E801" w14:textId="77777777" w:rsidR="005744D8" w:rsidRDefault="007C151B" w:rsidP="00875BFD">
      <w:pPr>
        <w:pStyle w:val="21"/>
      </w:pPr>
      <w:r>
        <w:t>4.1 نقد المصفوفة الثنائية – نحو كلانية استخلافية</w:t>
      </w:r>
    </w:p>
    <w:p w14:paraId="0AA12750" w14:textId="77777777" w:rsidR="005744D8" w:rsidRDefault="007C151B" w:rsidP="00875BFD">
      <w:pPr>
        <w:jc w:val="right"/>
      </w:pPr>
      <w:r>
        <w:t>الدراسة الأصلية – كما رأينا – تُصنّف الظاهرتين ضمن مصفوفة ثنائية: السحر خارق ومحرّم، والوهم طبيعي ومشروع. والفقهاء – كما تُشير – يُفرّقون بين السحر الحقيقي والسحر التخييلي، ويُدرجون فنون الخفة في النوع الثاني الذي ليس من السحر المحرّم.</w:t>
      </w:r>
    </w:p>
    <w:p w14:paraId="636DDD56" w14:textId="77777777" w:rsidR="005744D8" w:rsidRDefault="007C151B" w:rsidP="00875BFD">
      <w:pPr>
        <w:jc w:val="right"/>
      </w:pPr>
      <w:r>
        <w:t>لكن علم النفس الاستخلافي – من جهته – لا يَكتفي بهذا التصنيف، بل يَسأل: ما الذي يَجعل الظاهرتين متشابهتين ظاهرياً ومختلفتين جوهرانياً؟ الجواب – في التحليل الاستخلافي – يكمن في النية والغاية والعقد والأثر على طاقة الإنسان الوجودية.</w:t>
      </w:r>
    </w:p>
    <w:p w14:paraId="08D10BB4" w14:textId="77777777" w:rsidR="005744D8" w:rsidRDefault="007C151B" w:rsidP="00875BFD">
      <w:pPr>
        <w:pStyle w:val="21"/>
      </w:pPr>
      <w:r>
        <w:t>4.2 الكينتسوغي النفسي وتحويل الطاقة الوجودية</w:t>
      </w:r>
    </w:p>
    <w:p w14:paraId="56BABB9A" w14:textId="77777777" w:rsidR="005744D8" w:rsidRDefault="007C151B" w:rsidP="00875BFD">
      <w:pPr>
        <w:jc w:val="right"/>
      </w:pPr>
      <w:r>
        <w:t>في النموذج الاستخلافي، العلاج – مهما كان نوعه – يَهدف إلى الكينتسوغي النفسي : تحويل الجرح إلى ذهب، والوهم إلى حكمة، والطاقة المحتجزة إلى فاعلية إحسانية. وهذا يَنطبق على الظاهرتين:</w:t>
      </w:r>
    </w:p>
    <w:p w14:paraId="54BBDA29" w14:textId="77777777" w:rsidR="005744D8" w:rsidRDefault="007C151B" w:rsidP="00875BFD">
      <w:pPr>
        <w:ind w:left="340" w:hanging="170"/>
        <w:jc w:val="right"/>
      </w:pPr>
      <w:r>
        <w:t>· السحر يُنتج جرحاً يَحتاج إلى ترميم – والكينتسوغي هنا يَعني تفكيك الأوهام وإعادة بناء العلاقة مع الغيب على أساس التوحيد.</w:t>
      </w:r>
    </w:p>
    <w:p w14:paraId="45AD4138" w14:textId="77777777" w:rsidR="005744D8" w:rsidRDefault="007C151B" w:rsidP="00875BFD">
      <w:pPr>
        <w:ind w:left="340" w:hanging="170"/>
        <w:jc w:val="right"/>
      </w:pPr>
      <w:r>
        <w:t>· فن الوهم يُنتج معرفة يُمكِن أن تُثري النفس – والكينتسوغي هنا يَعني توجيه هذا الفهم نحو اليقظة والنقد والحكمة.</w:t>
      </w:r>
    </w:p>
    <w:p w14:paraId="22ABD185" w14:textId="77777777" w:rsidR="005744D8" w:rsidRDefault="007C151B" w:rsidP="00875BFD">
      <w:pPr>
        <w:pStyle w:val="21"/>
      </w:pPr>
      <w:r>
        <w:t>4.3 المرجعية المتعالية والمركزية التوحيدية</w:t>
      </w:r>
    </w:p>
    <w:p w14:paraId="34919C6E" w14:textId="77777777" w:rsidR="005744D8" w:rsidRDefault="007C151B" w:rsidP="00875BFD">
      <w:pPr>
        <w:jc w:val="right"/>
      </w:pPr>
      <w:r>
        <w:t>في التحليل الأخير، يَعود الفرق بين السحر والوهم إلى المرجعية التي يَستند إليها كل منهما:</w:t>
      </w:r>
    </w:p>
    <w:p w14:paraId="512AFBE1" w14:textId="77777777" w:rsidR="005744D8" w:rsidRDefault="007C151B" w:rsidP="00875BFD">
      <w:pPr>
        <w:ind w:left="340" w:hanging="170"/>
        <w:jc w:val="right"/>
      </w:pPr>
      <w:r>
        <w:t>· السحر يَستند إلى مرجعية غيبية مُشوَّهة (استعانة بالجن، ادعاء علم الغيب)، وهو ما يُخالف المركزية التوحيدية .</w:t>
      </w:r>
    </w:p>
    <w:p w14:paraId="790DD15C" w14:textId="77777777" w:rsidR="005744D8" w:rsidRDefault="007C151B" w:rsidP="00875BFD">
      <w:pPr>
        <w:ind w:left="340" w:hanging="170"/>
        <w:jc w:val="right"/>
      </w:pPr>
      <w:r>
        <w:t>· فن الوهم يَستند إلى مرجعية إنسانية جمالية طبيعية (الذكاء، الإبداع، التفاعل)، وهو ما يَنسجم مع الاستخلاف في بُعده الإبداعي والجمالي.</w:t>
      </w:r>
    </w:p>
    <w:p w14:paraId="2225A278" w14:textId="77777777" w:rsidR="005744D8" w:rsidRDefault="007C151B" w:rsidP="00875BFD">
      <w:pPr>
        <w:jc w:val="right"/>
      </w:pPr>
      <w:r>
        <w:t>خاتمة: من التمييز الفقهي إلى التشخيص الوجودي</w:t>
      </w:r>
    </w:p>
    <w:p w14:paraId="18D6AC97" w14:textId="77777777" w:rsidR="005744D8" w:rsidRDefault="007C151B" w:rsidP="00875BFD">
      <w:pPr>
        <w:jc w:val="right"/>
      </w:pPr>
      <w:r>
        <w:t>في نهاية هذه القراءة الاستخلافية، نخلص إلى أن الدراسة الأصلية – رغم دقتها وشموليتها – تَقف عند حدود التمييز الفقهي والبارادايم المعرفي الغربي. أما البارادايم الاستخلافي، فيُقدّم مجاوزة وجودية تُعيد قراءة الظاهرتين في ضوء النموذج الهرمي والأضلاع الثمانية والمرجعية المتعالية . وهو – بهذا – لا يُلغي قيمة الدراسة الفقهية، بل يُعمّقها ويُوسّع آفاقها، ويَنقلها من مستوى التصنيف إلى مستوى التشخيص الوجودي والتحويل.</w:t>
      </w:r>
    </w:p>
    <w:p w14:paraId="7EA7CBE8" w14:textId="77777777" w:rsidR="005744D8" w:rsidRDefault="007C151B" w:rsidP="00875BFD">
      <w:pPr>
        <w:jc w:val="right"/>
      </w:pPr>
      <w:r>
        <w:t>فـالسحر – في هذا التصور – ليس مُجرد خرق للقوانين، بل هو استعمار للطاقة الوجودية وانحراف بها نحو الوهم والشهوة. وفن الوهم – ليس مُجرد خداع للحواس، بل هو تدريب على اليقظة والتواضع المعرفي والجمال الإبداعي. وهذا – في التحليل الأخير – هو ما يُجسّد روح البارادايم الاستخلافي : أن نرى في كل ظاهرة – حتى أبسط الظواهر – موقعاً من خريطة الاستخلاف .</w:t>
      </w:r>
    </w:p>
    <w:p w14:paraId="0646862F" w14:textId="77777777" w:rsidR="005744D8" w:rsidRDefault="007C151B" w:rsidP="00875BFD">
      <w:pPr>
        <w:jc w:val="right"/>
      </w:pPr>
      <w:r>
        <w:t>{وَلَا تَقْفُ مَا لَيْسَ لَكَ بِهِ عِلْمٌ إِنَّ السَّمْعَ وَالْبَصَرَ وَالْفُؤَادَ كُلُّ أُولَٰئِكَ كَانَ عَنْهُ مَسْئُولًا} [الإسراء: 36].</w:t>
      </w:r>
    </w:p>
    <w:p w14:paraId="5A967923" w14:textId="77777777" w:rsidR="005744D8" w:rsidRDefault="007C151B" w:rsidP="00875BFD">
      <w:pPr>
        <w:pStyle w:val="1"/>
      </w:pPr>
      <w:r>
        <w:t>المراجع والمصادر</w:t>
      </w:r>
    </w:p>
    <w:p w14:paraId="59B2192B" w14:textId="77777777" w:rsidR="005744D8" w:rsidRDefault="007C151B" w:rsidP="00875BFD">
      <w:pPr>
        <w:jc w:val="right"/>
      </w:pPr>
      <w:r>
        <w:t>أولاً: المصادر الأساسية (البارادايم الاستخلافي)</w:t>
      </w:r>
    </w:p>
    <w:p w14:paraId="7A95DA11" w14:textId="61DBAECB" w:rsidR="00F73AFE" w:rsidRDefault="007C151B" w:rsidP="00F73AFE">
      <w:pPr>
        <w:pStyle w:val="aa"/>
        <w:numPr>
          <w:ilvl w:val="0"/>
          <w:numId w:val="10"/>
        </w:numPr>
        <w:jc w:val="right"/>
        <w:rPr>
          <w:rtl/>
        </w:rPr>
      </w:pPr>
      <w:r>
        <w:rPr>
          <w:rFonts w:ascii="Times New Roman" w:hAnsi="Times New Roman" w:cs="Times New Roman"/>
        </w:rPr>
        <w:t>الزراع،</w:t>
      </w:r>
      <w:r>
        <w:t xml:space="preserve"> </w:t>
      </w:r>
      <w:r>
        <w:rPr>
          <w:rFonts w:ascii="Times New Roman" w:hAnsi="Times New Roman" w:cs="Times New Roman"/>
        </w:rPr>
        <w:t>عبد</w:t>
      </w:r>
      <w:r>
        <w:t xml:space="preserve"> </w:t>
      </w:r>
      <w:r>
        <w:rPr>
          <w:rFonts w:ascii="Times New Roman" w:hAnsi="Times New Roman" w:cs="Times New Roman"/>
        </w:rPr>
        <w:t>السلام</w:t>
      </w:r>
      <w:r>
        <w:t xml:space="preserve">. (2026). </w:t>
      </w:r>
      <w:r>
        <w:rPr>
          <w:rFonts w:ascii="Times New Roman" w:hAnsi="Times New Roman" w:cs="Times New Roman"/>
        </w:rPr>
        <w:t>العلاج</w:t>
      </w:r>
      <w:r>
        <w:t xml:space="preserve"> </w:t>
      </w:r>
      <w:r>
        <w:rPr>
          <w:rFonts w:ascii="Times New Roman" w:hAnsi="Times New Roman" w:cs="Times New Roman"/>
        </w:rPr>
        <w:t>بحرث</w:t>
      </w:r>
      <w:r>
        <w:t xml:space="preserve"> </w:t>
      </w:r>
      <w:r>
        <w:rPr>
          <w:rFonts w:ascii="Times New Roman" w:hAnsi="Times New Roman" w:cs="Times New Roman"/>
        </w:rPr>
        <w:t>المصالحة</w:t>
      </w:r>
      <w:r>
        <w:t xml:space="preserve"> </w:t>
      </w:r>
      <w:r>
        <w:rPr>
          <w:rFonts w:ascii="Times New Roman" w:hAnsi="Times New Roman" w:cs="Times New Roman"/>
        </w:rPr>
        <w:t>التحويلية</w:t>
      </w:r>
      <w:r>
        <w:t xml:space="preserve"> (TLRT): </w:t>
      </w:r>
      <w:r>
        <w:rPr>
          <w:rFonts w:ascii="Times New Roman" w:hAnsi="Times New Roman" w:cs="Times New Roman"/>
        </w:rPr>
        <w:t>الدليل</w:t>
      </w:r>
      <w:r>
        <w:t xml:space="preserve"> </w:t>
      </w:r>
      <w:r>
        <w:rPr>
          <w:rFonts w:ascii="Times New Roman" w:hAnsi="Times New Roman" w:cs="Times New Roman"/>
        </w:rPr>
        <w:t>النظري</w:t>
      </w:r>
      <w:r>
        <w:t xml:space="preserve"> </w:t>
      </w:r>
      <w:r>
        <w:rPr>
          <w:rFonts w:ascii="Times New Roman" w:hAnsi="Times New Roman" w:cs="Times New Roman"/>
        </w:rPr>
        <w:t>والإكلينيكي</w:t>
      </w:r>
      <w:r>
        <w:t>. (</w:t>
      </w:r>
      <w:r>
        <w:rPr>
          <w:rFonts w:ascii="Times New Roman" w:hAnsi="Times New Roman" w:cs="Times New Roman"/>
        </w:rPr>
        <w:t>الطبعة</w:t>
      </w:r>
      <w:r>
        <w:t xml:space="preserve"> </w:t>
      </w:r>
      <w:r>
        <w:rPr>
          <w:rFonts w:ascii="Times New Roman" w:hAnsi="Times New Roman" w:cs="Times New Roman"/>
        </w:rPr>
        <w:t>التجريبية</w:t>
      </w:r>
      <w:r>
        <w:t xml:space="preserve"> </w:t>
      </w:r>
      <w:r>
        <w:rPr>
          <w:rFonts w:ascii="Times New Roman" w:hAnsi="Times New Roman" w:cs="Times New Roman"/>
        </w:rPr>
        <w:t>الأولى</w:t>
      </w:r>
    </w:p>
    <w:p w14:paraId="207C5E37" w14:textId="403E1441" w:rsidR="005744D8" w:rsidRDefault="002F22E7" w:rsidP="00F73AFE">
      <w:pPr>
        <w:pStyle w:val="aa"/>
        <w:numPr>
          <w:ilvl w:val="0"/>
          <w:numId w:val="10"/>
        </w:numPr>
        <w:jc w:val="right"/>
      </w:pPr>
      <w:r>
        <w:rPr>
          <w:rFonts w:hint="cs"/>
          <w:lang w:bidi="ar-EG"/>
        </w:rPr>
        <w:t>z</w:t>
      </w:r>
      <w:r w:rsidR="00F73AFE">
        <w:rPr>
          <w:rFonts w:hint="cs"/>
          <w:lang w:bidi="ar-EG"/>
        </w:rPr>
        <w:t>araa</w:t>
      </w:r>
      <w:r>
        <w:rPr>
          <w:rFonts w:hint="cs"/>
          <w:lang w:bidi="ar-EG"/>
        </w:rPr>
        <w:t>psychology.com</w:t>
      </w:r>
      <w:r w:rsidR="007C151B">
        <w:t>).</w:t>
      </w:r>
    </w:p>
    <w:p w14:paraId="5E37246B" w14:textId="77777777" w:rsidR="005744D8" w:rsidRDefault="007C151B" w:rsidP="00875BFD">
      <w:pPr>
        <w:jc w:val="right"/>
      </w:pPr>
      <w:r>
        <w:t>2. الزراع، عبد السلام. (2026). الفصام الأخلاقي ومصدر الأزمات النفسية: قراءة في ضوء نظرية TLRT.</w:t>
      </w:r>
    </w:p>
    <w:p w14:paraId="047CFECE" w14:textId="77777777" w:rsidR="005744D8" w:rsidRDefault="007C151B" w:rsidP="00875BFD">
      <w:pPr>
        <w:jc w:val="right"/>
      </w:pPr>
      <w:r>
        <w:t>3. الزراع، عبد السلام. (2026). نموذج قياس الشعور بالذنب: مقاربة تكاملية متعددة الأبعاد.</w:t>
      </w:r>
    </w:p>
    <w:p w14:paraId="4A47E7D2" w14:textId="77777777" w:rsidR="005744D8" w:rsidRDefault="007C151B" w:rsidP="00875BFD">
      <w:pPr>
        <w:jc w:val="right"/>
      </w:pPr>
      <w:r>
        <w:t>ثانياً: المصادر الفقهية والدينية (المصادر الأصلية للدراسة)</w:t>
      </w:r>
    </w:p>
    <w:p w14:paraId="43954BF7" w14:textId="77777777" w:rsidR="005744D8" w:rsidRDefault="007C151B" w:rsidP="00875BFD">
      <w:pPr>
        <w:jc w:val="right"/>
      </w:pPr>
      <w:r>
        <w:t>4. البخاري، محمد بن إسماعيل. صحيح البخاري، كتاب الطب، باب السحر.</w:t>
      </w:r>
    </w:p>
    <w:p w14:paraId="5190130E" w14:textId="77777777" w:rsidR="005744D8" w:rsidRDefault="007C151B" w:rsidP="00875BFD">
      <w:pPr>
        <w:jc w:val="right"/>
      </w:pPr>
      <w:r>
        <w:t>5. ابن حجر العسقلاني، أحمد بن علي. فتح الباري بشرح صحيح البخاري.</w:t>
      </w:r>
    </w:p>
    <w:p w14:paraId="1F37CF23" w14:textId="77777777" w:rsidR="005744D8" w:rsidRDefault="007C151B" w:rsidP="00875BFD">
      <w:pPr>
        <w:jc w:val="right"/>
      </w:pPr>
      <w:r>
        <w:t>6. ابن تيمية، أحمد بن عبد الحليم. مجموع الفتاوى.</w:t>
      </w:r>
    </w:p>
    <w:p w14:paraId="3B123D65" w14:textId="77777777" w:rsidR="005744D8" w:rsidRDefault="007C151B" w:rsidP="00875BFD">
      <w:pPr>
        <w:jc w:val="right"/>
      </w:pPr>
      <w:r>
        <w:t>7. ابن قيم الجوزية، محمد بن أبي بكر. بدائع التفسير.</w:t>
      </w:r>
    </w:p>
    <w:p w14:paraId="45CA10B3" w14:textId="77777777" w:rsidR="005744D8" w:rsidRDefault="007C151B" w:rsidP="00875BFD">
      <w:pPr>
        <w:jc w:val="right"/>
      </w:pPr>
      <w:r>
        <w:t>8. المقدسي، أبو محمد عبد الله بن أحمد. الكافي في فقه الإمام أحمد.</w:t>
      </w:r>
    </w:p>
    <w:p w14:paraId="73EF8807" w14:textId="77777777" w:rsidR="005744D8" w:rsidRDefault="007C151B" w:rsidP="00875BFD">
      <w:pPr>
        <w:jc w:val="right"/>
      </w:pPr>
      <w:r>
        <w:t>9. دائرة الإفتاء الأردنية. الفتوى رقم (3196)، 30-05-2016.</w:t>
      </w:r>
    </w:p>
    <w:p w14:paraId="47426F0D" w14:textId="77777777" w:rsidR="005744D8" w:rsidRDefault="007C151B" w:rsidP="00875BFD">
      <w:pPr>
        <w:jc w:val="right"/>
      </w:pPr>
      <w:r>
        <w:t>ثالثاً: المراجع الأكاديمية والدراسات العلمية</w:t>
      </w:r>
    </w:p>
    <w:p w14:paraId="5AAB1EF6" w14:textId="77777777" w:rsidR="005744D8" w:rsidRDefault="007C151B" w:rsidP="00875BFD">
      <w:pPr>
        <w:jc w:val="right"/>
      </w:pPr>
      <w:r>
        <w:t>10. During, Simon. Modern Enchantments: The Cultural Power of Secular Magic. Harvard University Press, 2002.</w:t>
      </w:r>
    </w:p>
    <w:p w14:paraId="71CFAA04" w14:textId="77777777" w:rsidR="005744D8" w:rsidRDefault="007C151B" w:rsidP="00875BFD">
      <w:pPr>
        <w:jc w:val="right"/>
      </w:pPr>
      <w:r>
        <w:t>11. Lamont, Peter, and Richard Wiseman. Misdirection — Past, Present, and the Future. Frontiers in Human Neuroscience 5 (2012): 172.</w:t>
      </w:r>
    </w:p>
    <w:p w14:paraId="46BA55D0" w14:textId="77777777" w:rsidR="005744D8" w:rsidRDefault="007C151B" w:rsidP="00875BFD">
      <w:pPr>
        <w:jc w:val="right"/>
      </w:pPr>
      <w:r>
        <w:t>12. Leddington, Jason. Magic: The Art of the Impossible. In Aesthetics: A Reader in the Philosophy of the Arts, 373-379. Routledge, 2017.</w:t>
      </w:r>
    </w:p>
    <w:p w14:paraId="757AD7DD" w14:textId="77777777" w:rsidR="005744D8" w:rsidRDefault="007C151B" w:rsidP="00875BFD">
      <w:pPr>
        <w:jc w:val="right"/>
      </w:pPr>
      <w:r>
        <w:t>13. Kuhn, Gustav, et al. Investigating Expert Performance When Observing Magic Effects. Scientific Reports 12, Article number: 5141 (2022).</w:t>
      </w:r>
    </w:p>
    <w:p w14:paraId="04B8282F" w14:textId="77777777" w:rsidR="005744D8" w:rsidRDefault="007C151B" w:rsidP="00875BFD">
      <w:pPr>
        <w:jc w:val="right"/>
      </w:pPr>
      <w:r>
        <w:t>14. Simons, Daniel J. Inattentional Blindness and the Illusion of Attention. In The Oxford Compendium of Visual Illusions, 715-718. Oxford University Press, 2017.</w:t>
      </w:r>
    </w:p>
    <w:p w14:paraId="27EA3FF5" w14:textId="77777777" w:rsidR="005744D8" w:rsidRDefault="007C151B" w:rsidP="00875BFD">
      <w:pPr>
        <w:jc w:val="right"/>
      </w:pPr>
      <w:r>
        <w:t>15. Frazer, James George. The Golden Bough: A Study in Magic and Religion. Macmillan, 1922.</w:t>
      </w:r>
    </w:p>
    <w:p w14:paraId="60A46C46" w14:textId="77777777" w:rsidR="005744D8" w:rsidRDefault="007C151B" w:rsidP="00875BFD">
      <w:pPr>
        <w:jc w:val="right"/>
      </w:pPr>
      <w:r>
        <w:t>رابعاً: مراجع في التراث الإسلامي</w:t>
      </w:r>
    </w:p>
    <w:p w14:paraId="1EDAA434" w14:textId="77777777" w:rsidR="005744D8" w:rsidRDefault="007C151B" w:rsidP="00875BFD">
      <w:pPr>
        <w:jc w:val="right"/>
      </w:pPr>
      <w:r>
        <w:t>16. القرآن الكريم.</w:t>
      </w:r>
    </w:p>
    <w:p w14:paraId="44DA3283" w14:textId="77777777" w:rsidR="005744D8" w:rsidRDefault="007C151B" w:rsidP="00875BFD">
      <w:pPr>
        <w:jc w:val="right"/>
      </w:pPr>
      <w:r>
        <w:t>17. الغزالي، أبو حامد. إحياء علوم الدين.</w:t>
      </w:r>
    </w:p>
    <w:p w14:paraId="01D09A58" w14:textId="77777777" w:rsidR="005744D8" w:rsidRDefault="007C151B" w:rsidP="00875BFD">
      <w:pPr>
        <w:jc w:val="right"/>
      </w:pPr>
      <w:r>
        <w:t>18. ابن القيم الجوزية. مدارج السالكين.</w:t>
      </w:r>
    </w:p>
    <w:p w14:paraId="3ABDD1C6" w14:textId="77777777" w:rsidR="005744D8" w:rsidRDefault="007C151B" w:rsidP="00875BFD">
      <w:pPr>
        <w:jc w:val="right"/>
      </w:pPr>
      <w:r>
        <w:rPr>
          <w:i/>
          <w:sz w:val="22"/>
        </w:rPr>
        <w:t>— نهاية الدراسة —</w:t>
      </w:r>
    </w:p>
    <w:sectPr w:rsidR="005744D8" w:rsidSect="00034616">
      <w:footerReference w:type="default" r:id="rId8"/>
      <w:pgSz w:w="12240" w:h="15840"/>
      <w:pgMar w:top="1247" w:right="1361" w:bottom="1247"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4BA85" w14:textId="77777777" w:rsidR="00BB272F" w:rsidRDefault="00BB272F">
      <w:pPr>
        <w:spacing w:after="0" w:line="240" w:lineRule="auto"/>
      </w:pPr>
      <w:r>
        <w:separator/>
      </w:r>
    </w:p>
  </w:endnote>
  <w:endnote w:type="continuationSeparator" w:id="0">
    <w:p w14:paraId="529C4913" w14:textId="77777777" w:rsidR="00BB272F" w:rsidRDefault="00BB27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Amiri">
    <w:altName w:val="Cambria"/>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4DA22" w14:textId="77777777" w:rsidR="005744D8" w:rsidRDefault="007C151B">
    <w:pPr>
      <w:pStyle w:val="a6"/>
      <w:jc w:val="center"/>
    </w:pPr>
    <w:r>
      <w:fldChar w:fldCharType="begin"/>
    </w:r>
    <w:r>
      <w:instrText>PAGE</w:instrTex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CADAB" w14:textId="77777777" w:rsidR="00BB272F" w:rsidRDefault="00BB272F">
      <w:pPr>
        <w:spacing w:after="0" w:line="240" w:lineRule="auto"/>
      </w:pPr>
      <w:r>
        <w:separator/>
      </w:r>
    </w:p>
  </w:footnote>
  <w:footnote w:type="continuationSeparator" w:id="0">
    <w:p w14:paraId="40D7847A" w14:textId="77777777" w:rsidR="00BB272F" w:rsidRDefault="00BB27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42921FB0"/>
    <w:multiLevelType w:val="hybridMultilevel"/>
    <w:tmpl w:val="C9B25E98"/>
    <w:lvl w:ilvl="0" w:tplc="FFFFFFFF">
      <w:start w:val="1"/>
      <w:numFmt w:val="decimal"/>
      <w:lvlText w:val="%1."/>
      <w:lvlJc w:val="left"/>
      <w:pPr>
        <w:ind w:left="3135" w:hanging="2775"/>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21789542">
    <w:abstractNumId w:val="8"/>
  </w:num>
  <w:num w:numId="2" w16cid:durableId="1492940741">
    <w:abstractNumId w:val="6"/>
  </w:num>
  <w:num w:numId="3" w16cid:durableId="1396511640">
    <w:abstractNumId w:val="5"/>
  </w:num>
  <w:num w:numId="4" w16cid:durableId="320621938">
    <w:abstractNumId w:val="4"/>
  </w:num>
  <w:num w:numId="5" w16cid:durableId="1617374045">
    <w:abstractNumId w:val="7"/>
  </w:num>
  <w:num w:numId="6" w16cid:durableId="1695157004">
    <w:abstractNumId w:val="3"/>
  </w:num>
  <w:num w:numId="7" w16cid:durableId="277492016">
    <w:abstractNumId w:val="2"/>
  </w:num>
  <w:num w:numId="8" w16cid:durableId="947197012">
    <w:abstractNumId w:val="1"/>
  </w:num>
  <w:num w:numId="9" w16cid:durableId="1842818432">
    <w:abstractNumId w:val="0"/>
  </w:num>
  <w:num w:numId="10" w16cid:durableId="18141296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64B71"/>
    <w:rsid w:val="001711F4"/>
    <w:rsid w:val="0029639D"/>
    <w:rsid w:val="002F22E7"/>
    <w:rsid w:val="00326F90"/>
    <w:rsid w:val="003B7700"/>
    <w:rsid w:val="005744D8"/>
    <w:rsid w:val="007C151B"/>
    <w:rsid w:val="00875BFD"/>
    <w:rsid w:val="00911ACB"/>
    <w:rsid w:val="00A94227"/>
    <w:rsid w:val="00AA1D8D"/>
    <w:rsid w:val="00B21A61"/>
    <w:rsid w:val="00B47730"/>
    <w:rsid w:val="00B52C53"/>
    <w:rsid w:val="00BB272F"/>
    <w:rsid w:val="00CB0664"/>
    <w:rsid w:val="00DE650D"/>
    <w:rsid w:val="00F0745A"/>
    <w:rsid w:val="00F73AFE"/>
    <w:rsid w:val="00FB02F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D9B2F0"/>
  <w14:defaultImageDpi w14:val="300"/>
  <w15:docId w15:val="{F693D864-F28C-914E-A39D-13688DB3C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40" w:line="360" w:lineRule="auto"/>
      <w:jc w:val="both"/>
    </w:pPr>
    <w:rPr>
      <w:rFonts w:ascii="Amiri" w:eastAsia="Amiri" w:hAnsi="Amiri"/>
      <w:sz w:val="26"/>
    </w:rPr>
  </w:style>
  <w:style w:type="paragraph" w:styleId="1">
    <w:name w:val="heading 1"/>
    <w:basedOn w:val="a1"/>
    <w:next w:val="a1"/>
    <w:link w:val="1Char"/>
    <w:uiPriority w:val="9"/>
    <w:qFormat/>
    <w:rsid w:val="00FC693F"/>
    <w:pPr>
      <w:keepNext/>
      <w:keepLines/>
      <w:spacing w:before="240" w:after="160"/>
      <w:jc w:val="right"/>
      <w:outlineLvl w:val="0"/>
    </w:pPr>
    <w:rPr>
      <w:rFonts w:asciiTheme="majorHAnsi" w:eastAsiaTheme="majorEastAsia" w:hAnsiTheme="majorHAnsi" w:cstheme="majorBidi"/>
      <w:b/>
      <w:bCs/>
      <w:color w:val="365F91" w:themeColor="accent1" w:themeShade="BF"/>
      <w:sz w:val="34"/>
      <w:szCs w:val="28"/>
    </w:rPr>
  </w:style>
  <w:style w:type="paragraph" w:styleId="21">
    <w:name w:val="heading 2"/>
    <w:basedOn w:val="a1"/>
    <w:next w:val="a1"/>
    <w:link w:val="2Char"/>
    <w:uiPriority w:val="9"/>
    <w:unhideWhenUsed/>
    <w:qFormat/>
    <w:rsid w:val="00FC693F"/>
    <w:pPr>
      <w:keepNext/>
      <w:keepLines/>
      <w:spacing w:before="240" w:after="160"/>
      <w:jc w:val="right"/>
      <w:outlineLvl w:val="1"/>
    </w:pPr>
    <w:rPr>
      <w:rFonts w:asciiTheme="majorHAnsi" w:eastAsiaTheme="majorEastAsia" w:hAnsiTheme="majorHAnsi" w:cstheme="majorBidi"/>
      <w:b/>
      <w:bCs/>
      <w:color w:val="4F81BD" w:themeColor="accent1"/>
      <w:sz w:val="30"/>
      <w:szCs w:val="26"/>
    </w:rPr>
  </w:style>
  <w:style w:type="paragraph" w:styleId="31">
    <w:name w:val="heading 3"/>
    <w:basedOn w:val="a1"/>
    <w:next w:val="a1"/>
    <w:link w:val="3Char"/>
    <w:uiPriority w:val="9"/>
    <w:unhideWhenUsed/>
    <w:qFormat/>
    <w:rsid w:val="00FC693F"/>
    <w:pPr>
      <w:keepNext/>
      <w:keepLines/>
      <w:spacing w:before="240" w:after="160"/>
      <w:jc w:val="right"/>
      <w:outlineLvl w:val="2"/>
    </w:pPr>
    <w:rPr>
      <w:rFonts w:asciiTheme="majorHAnsi" w:eastAsiaTheme="majorEastAsia" w:hAnsiTheme="majorHAnsi" w:cstheme="majorBidi"/>
      <w:b/>
      <w:bCs/>
      <w:color w:val="4F81BD" w:themeColor="accent1"/>
      <w:sz w:val="28"/>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رأس الصفحة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تذييل الصفحة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العنوان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عنوان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عنوان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before="240" w:after="160" w:line="240" w:lineRule="auto"/>
      <w:contextualSpacing/>
      <w:jc w:val="right"/>
    </w:pPr>
    <w:rPr>
      <w:rFonts w:asciiTheme="majorHAnsi" w:eastAsiaTheme="majorEastAsia" w:hAnsiTheme="majorHAnsi" w:cstheme="majorBidi"/>
      <w:b/>
      <w:color w:val="17365D" w:themeColor="text2" w:themeShade="BF"/>
      <w:spacing w:val="5"/>
      <w:kern w:val="28"/>
      <w:sz w:val="44"/>
      <w:szCs w:val="52"/>
    </w:rPr>
  </w:style>
  <w:style w:type="character" w:customStyle="1" w:styleId="Char1">
    <w:name w:val="العنوان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عنوان فرعي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نص أساسي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نص أساسي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نص أساسي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نص ماكرو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اقتباس Char"/>
    <w:basedOn w:val="a2"/>
    <w:link w:val="af"/>
    <w:uiPriority w:val="29"/>
    <w:rsid w:val="00FC693F"/>
    <w:rPr>
      <w:i/>
      <w:iCs/>
      <w:color w:val="000000" w:themeColor="text1"/>
    </w:rPr>
  </w:style>
  <w:style w:type="character" w:customStyle="1" w:styleId="4Char">
    <w:name w:val="عنوان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عنوان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عنوان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عنوان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عنوان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عنوان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اقتباس مكثف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btitleArabic">
    <w:name w:val="Subtitle Arabic"/>
    <w:pPr>
      <w:spacing w:after="320"/>
      <w:jc w:val="center"/>
    </w:pPr>
    <w:rPr>
      <w:rFonts w:ascii="Amiri" w:eastAsia="Amiri" w:hAnsi="Amiri"/>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3694</Words>
  <Characters>21062</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24707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zaraaabdesslem@gmail.com</cp:lastModifiedBy>
  <cp:revision>10</cp:revision>
  <dcterms:created xsi:type="dcterms:W3CDTF">2026-09-21T21:00:00Z</dcterms:created>
  <dcterms:modified xsi:type="dcterms:W3CDTF">2026-09-22T07:11:00Z</dcterms:modified>
  <cp:category/>
</cp:coreProperties>
</file>