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91BF4" w14:textId="77777777" w:rsidR="00D56B6D" w:rsidRDefault="00550476">
      <w:pPr>
        <w:spacing w:after="80"/>
        <w:jc w:val="center"/>
      </w:pPr>
      <w:r>
        <w:rPr>
          <w:rFonts w:ascii="Traditional Arabic" w:eastAsia="Traditional Arabic" w:hAnsi="Traditional Arabic" w:cs="Traditional Arabic"/>
          <w:b/>
          <w:bCs/>
          <w:color w:val="1B2E4A"/>
          <w:sz w:val="46"/>
          <w:szCs w:val="46"/>
          <w:rtl/>
        </w:rPr>
        <w:t xml:space="preserve">بين طموح </w:t>
      </w:r>
      <w:proofErr w:type="spellStart"/>
      <w:r>
        <w:rPr>
          <w:rFonts w:ascii="Traditional Arabic" w:eastAsia="Traditional Arabic" w:hAnsi="Traditional Arabic" w:cs="Traditional Arabic"/>
          <w:b/>
          <w:bCs/>
          <w:color w:val="1B2E4A"/>
          <w:sz w:val="46"/>
          <w:szCs w:val="46"/>
          <w:rtl/>
        </w:rPr>
        <w:t>البرادايم</w:t>
      </w:r>
      <w:proofErr w:type="spellEnd"/>
      <w:r>
        <w:rPr>
          <w:rFonts w:ascii="Traditional Arabic" w:eastAsia="Traditional Arabic" w:hAnsi="Traditional Arabic" w:cs="Traditional Arabic"/>
          <w:b/>
          <w:bCs/>
          <w:color w:val="1B2E4A"/>
          <w:sz w:val="46"/>
          <w:szCs w:val="46"/>
          <w:rtl/>
        </w:rPr>
        <w:t xml:space="preserve"> وتحديات المأسسة</w:t>
      </w:r>
    </w:p>
    <w:p w14:paraId="2BF24B3D" w14:textId="77777777" w:rsidR="00D56B6D" w:rsidRDefault="00550476">
      <w:pPr>
        <w:spacing w:after="60"/>
        <w:jc w:val="center"/>
      </w:pPr>
      <w:r>
        <w:rPr>
          <w:rFonts w:ascii="Traditional Arabic" w:eastAsia="Traditional Arabic" w:hAnsi="Traditional Arabic" w:cs="Traditional Arabic"/>
          <w:b/>
          <w:bCs/>
          <w:color w:val="0E5C5C"/>
          <w:sz w:val="32"/>
          <w:szCs w:val="32"/>
          <w:rtl/>
        </w:rPr>
        <w:t xml:space="preserve">دراسة </w:t>
      </w:r>
      <w:proofErr w:type="spellStart"/>
      <w:r>
        <w:rPr>
          <w:rFonts w:ascii="Traditional Arabic" w:eastAsia="Traditional Arabic" w:hAnsi="Traditional Arabic" w:cs="Traditional Arabic"/>
          <w:b/>
          <w:bCs/>
          <w:color w:val="0E5C5C"/>
          <w:sz w:val="32"/>
          <w:szCs w:val="32"/>
          <w:rtl/>
        </w:rPr>
        <w:t>إبستمولوجية</w:t>
      </w:r>
      <w:proofErr w:type="spellEnd"/>
      <w:r>
        <w:rPr>
          <w:rFonts w:ascii="Traditional Arabic" w:eastAsia="Traditional Arabic" w:hAnsi="Traditional Arabic" w:cs="Traditional Arabic"/>
          <w:b/>
          <w:bCs/>
          <w:color w:val="0E5C5C"/>
          <w:sz w:val="32"/>
          <w:szCs w:val="32"/>
          <w:rtl/>
        </w:rPr>
        <w:t xml:space="preserve"> نقدية موسّعة في مشروع عبد السلام الزراع</w:t>
      </w:r>
    </w:p>
    <w:p w14:paraId="093D36B5" w14:textId="77777777" w:rsidR="00D56B6D" w:rsidRDefault="00550476">
      <w:pPr>
        <w:spacing w:after="60"/>
        <w:jc w:val="center"/>
      </w:pPr>
      <w:r>
        <w:rPr>
          <w:rFonts w:ascii="Traditional Arabic" w:eastAsia="Traditional Arabic" w:hAnsi="Traditional Arabic" w:cs="Traditional Arabic"/>
          <w:i/>
          <w:iCs/>
          <w:color w:val="B8892E"/>
          <w:sz w:val="24"/>
          <w:szCs w:val="24"/>
          <w:rtl/>
        </w:rPr>
        <w:t xml:space="preserve">مواطن القوة، </w:t>
      </w:r>
      <w:proofErr w:type="spellStart"/>
      <w:r>
        <w:rPr>
          <w:rFonts w:ascii="Traditional Arabic" w:eastAsia="Traditional Arabic" w:hAnsi="Traditional Arabic" w:cs="Traditional Arabic"/>
          <w:i/>
          <w:iCs/>
          <w:color w:val="B8892E"/>
          <w:sz w:val="24"/>
          <w:szCs w:val="24"/>
          <w:rtl/>
        </w:rPr>
        <w:t>سوسيولوجيا</w:t>
      </w:r>
      <w:proofErr w:type="spellEnd"/>
      <w:r>
        <w:rPr>
          <w:rFonts w:ascii="Traditional Arabic" w:eastAsia="Traditional Arabic" w:hAnsi="Traditional Arabic" w:cs="Traditional Arabic"/>
          <w:i/>
          <w:iCs/>
          <w:color w:val="B8892E"/>
          <w:sz w:val="24"/>
          <w:szCs w:val="24"/>
          <w:rtl/>
        </w:rPr>
        <w:t xml:space="preserve"> العوائق، ودراسات حالة مقارنة في آفاق التحول إلى "نظام تشغيل اجتماعي"</w:t>
      </w:r>
    </w:p>
    <w:p w14:paraId="0C68858A" w14:textId="77777777" w:rsidR="00D56B6D" w:rsidRDefault="00550476">
      <w:pPr>
        <w:pBdr>
          <w:bottom w:val="single" w:sz="18" w:space="10" w:color="B8892E"/>
        </w:pBdr>
        <w:spacing w:after="400"/>
        <w:jc w:val="center"/>
      </w:pPr>
      <w:r>
        <w:rPr>
          <w:rFonts w:ascii="Traditional Arabic" w:eastAsia="Traditional Arabic" w:hAnsi="Traditional Arabic" w:cs="Traditional Arabic"/>
          <w:color w:val="0E5C5C"/>
          <w:sz w:val="22"/>
          <w:szCs w:val="22"/>
          <w:rtl/>
        </w:rPr>
        <w:t>الطبعة الموسّعة — 1447هـ / 2026م</w:t>
      </w:r>
    </w:p>
    <w:p w14:paraId="20D7B30F"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ملخص تنفيذي</w:t>
      </w:r>
    </w:p>
    <w:p w14:paraId="0DFD1B92"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تقدّم هذه الدراسة الموسّعة تحليلاً </w:t>
      </w:r>
      <w:proofErr w:type="spellStart"/>
      <w:r>
        <w:rPr>
          <w:rFonts w:ascii="Traditional Arabic" w:eastAsia="Traditional Arabic" w:hAnsi="Traditional Arabic" w:cs="Traditional Arabic"/>
          <w:color w:val="1A1A1A"/>
          <w:sz w:val="28"/>
          <w:szCs w:val="28"/>
          <w:rtl/>
        </w:rPr>
        <w:t>إبستمولوجياً</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وسوسيولوجياً</w:t>
      </w:r>
      <w:proofErr w:type="spellEnd"/>
      <w:r>
        <w:rPr>
          <w:rFonts w:ascii="Traditional Arabic" w:eastAsia="Traditional Arabic" w:hAnsi="Traditional Arabic" w:cs="Traditional Arabic"/>
          <w:color w:val="1A1A1A"/>
          <w:sz w:val="28"/>
          <w:szCs w:val="28"/>
          <w:rtl/>
        </w:rPr>
        <w:t xml:space="preserve"> نقدياً لموقع مشروع عبد السلام الزراع (علم النفس الاستخلافي، وبروتوكول العلاج بحرث المصالحة التحويلية TLRT) على خريطة النماذج المعرفية المعاصرة. وتنطلق الدراسة، في طبعتها الموسّعة هذه، من إطار نظري ثلاثي المرجعية: الإطار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(نسبة إلى توماس كون) في فهم بنية الثورات العلمية وشروط نشوء "العلم السوي" (</w:t>
      </w:r>
      <w:proofErr w:type="spellStart"/>
      <w:r>
        <w:rPr>
          <w:rFonts w:ascii="Traditional Arabic" w:eastAsia="Traditional Arabic" w:hAnsi="Traditional Arabic" w:cs="Traditional Arabic"/>
          <w:color w:val="1A1A1A"/>
          <w:sz w:val="28"/>
          <w:szCs w:val="28"/>
          <w:rtl/>
        </w:rPr>
        <w:t>Normal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Science</w:t>
      </w:r>
      <w:proofErr w:type="spellEnd"/>
      <w:r>
        <w:rPr>
          <w:rFonts w:ascii="Traditional Arabic" w:eastAsia="Traditional Arabic" w:hAnsi="Traditional Arabic" w:cs="Traditional Arabic"/>
          <w:color w:val="1A1A1A"/>
          <w:sz w:val="28"/>
          <w:szCs w:val="28"/>
          <w:rtl/>
        </w:rPr>
        <w:t xml:space="preserve">)؛ والإطار </w:t>
      </w:r>
      <w:proofErr w:type="spellStart"/>
      <w:r>
        <w:rPr>
          <w:rFonts w:ascii="Traditional Arabic" w:eastAsia="Traditional Arabic" w:hAnsi="Traditional Arabic" w:cs="Traditional Arabic"/>
          <w:color w:val="1A1A1A"/>
          <w:sz w:val="28"/>
          <w:szCs w:val="28"/>
          <w:rtl/>
        </w:rPr>
        <w:t>البورديوي</w:t>
      </w:r>
      <w:proofErr w:type="spellEnd"/>
      <w:r>
        <w:rPr>
          <w:rFonts w:ascii="Traditional Arabic" w:eastAsia="Traditional Arabic" w:hAnsi="Traditional Arabic" w:cs="Traditional Arabic"/>
          <w:color w:val="1A1A1A"/>
          <w:sz w:val="28"/>
          <w:szCs w:val="28"/>
          <w:rtl/>
        </w:rPr>
        <w:t xml:space="preserve"> في </w:t>
      </w:r>
      <w:proofErr w:type="spellStart"/>
      <w:r>
        <w:rPr>
          <w:rFonts w:ascii="Traditional Arabic" w:eastAsia="Traditional Arabic" w:hAnsi="Traditional Arabic" w:cs="Traditional Arabic"/>
          <w:color w:val="1A1A1A"/>
          <w:sz w:val="28"/>
          <w:szCs w:val="28"/>
          <w:rtl/>
        </w:rPr>
        <w:t>سوسيولوجيا</w:t>
      </w:r>
      <w:proofErr w:type="spellEnd"/>
      <w:r>
        <w:rPr>
          <w:rFonts w:ascii="Traditional Arabic" w:eastAsia="Traditional Arabic" w:hAnsi="Traditional Arabic" w:cs="Traditional Arabic"/>
          <w:color w:val="1A1A1A"/>
          <w:sz w:val="28"/>
          <w:szCs w:val="28"/>
          <w:rtl/>
        </w:rPr>
        <w:t xml:space="preserve"> الحقل العلمي ورأس المال الرمزي؛ والإطار </w:t>
      </w:r>
      <w:proofErr w:type="spellStart"/>
      <w:r>
        <w:rPr>
          <w:rFonts w:ascii="Traditional Arabic" w:eastAsia="Traditional Arabic" w:hAnsi="Traditional Arabic" w:cs="Traditional Arabic"/>
          <w:color w:val="1A1A1A"/>
          <w:sz w:val="28"/>
          <w:szCs w:val="28"/>
          <w:rtl/>
        </w:rPr>
        <w:t>الخلدوني</w:t>
      </w:r>
      <w:proofErr w:type="spellEnd"/>
      <w:r>
        <w:rPr>
          <w:rFonts w:ascii="Traditional Arabic" w:eastAsia="Traditional Arabic" w:hAnsi="Traditional Arabic" w:cs="Traditional Arabic"/>
          <w:color w:val="1A1A1A"/>
          <w:sz w:val="28"/>
          <w:szCs w:val="28"/>
          <w:rtl/>
        </w:rPr>
        <w:t xml:space="preserve"> في فهم شروط تحوّل الفكرة إلى مدرسة عبر آليتي العصبية والمأسسة.</w:t>
      </w:r>
    </w:p>
    <w:p w14:paraId="421770B4"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وتتوسّع الدراسة، مقارنة بنسختها الأولى، في ثلاثة اتجاهات رئيسة: أولاً، تعميق تحليل مواطن القوة بإضافة محور جديد حول التماسك الأنطولوجي للجهاز </w:t>
      </w:r>
      <w:proofErr w:type="spellStart"/>
      <w:r>
        <w:rPr>
          <w:rFonts w:ascii="Traditional Arabic" w:eastAsia="Traditional Arabic" w:hAnsi="Traditional Arabic" w:cs="Traditional Arabic"/>
          <w:color w:val="1A1A1A"/>
          <w:sz w:val="28"/>
          <w:szCs w:val="28"/>
          <w:rtl/>
        </w:rPr>
        <w:t>المفاهيمي</w:t>
      </w:r>
      <w:proofErr w:type="spellEnd"/>
      <w:r>
        <w:rPr>
          <w:rFonts w:ascii="Traditional Arabic" w:eastAsia="Traditional Arabic" w:hAnsi="Traditional Arabic" w:cs="Traditional Arabic"/>
          <w:color w:val="1A1A1A"/>
          <w:sz w:val="28"/>
          <w:szCs w:val="28"/>
          <w:rtl/>
        </w:rPr>
        <w:t xml:space="preserve">؛ ثانياً، تعميق تحليل العوائق البنيوية بإضافة محورين جديدين حول غياب البنية التحتية المعرفية بالمعنى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(المجتمع العلمي، الدوريات المحكّمة، طلبة الدراسات العليا)، وحول عائق اللغة والترجمة الذي يحجب المشروع عن الأوساط الأكاديمية العالمية؛ ثالثاً، وهو الأهم، إضافة فصلين جديدين بالكامل: فصل في دراسات الحالة المقارنة (كيف تحوّلت مشاريع فردية مشابهة — علم النفس الإيجابي لدى </w:t>
      </w:r>
      <w:proofErr w:type="spellStart"/>
      <w:r>
        <w:rPr>
          <w:rFonts w:ascii="Traditional Arabic" w:eastAsia="Traditional Arabic" w:hAnsi="Traditional Arabic" w:cs="Traditional Arabic"/>
          <w:color w:val="1A1A1A"/>
          <w:sz w:val="28"/>
          <w:szCs w:val="28"/>
          <w:rtl/>
        </w:rPr>
        <w:t>سليجمان</w:t>
      </w:r>
      <w:proofErr w:type="spellEnd"/>
      <w:r>
        <w:rPr>
          <w:rFonts w:ascii="Traditional Arabic" w:eastAsia="Traditional Arabic" w:hAnsi="Traditional Arabic" w:cs="Traditional Arabic"/>
          <w:color w:val="1A1A1A"/>
          <w:sz w:val="28"/>
          <w:szCs w:val="28"/>
          <w:rtl/>
        </w:rPr>
        <w:t xml:space="preserve">، العلاج بالمعنى لدى </w:t>
      </w:r>
      <w:proofErr w:type="spellStart"/>
      <w:r>
        <w:rPr>
          <w:rFonts w:ascii="Traditional Arabic" w:eastAsia="Traditional Arabic" w:hAnsi="Traditional Arabic" w:cs="Traditional Arabic"/>
          <w:color w:val="1A1A1A"/>
          <w:sz w:val="28"/>
          <w:szCs w:val="28"/>
          <w:rtl/>
        </w:rPr>
        <w:t>فرانكل</w:t>
      </w:r>
      <w:proofErr w:type="spellEnd"/>
      <w:r>
        <w:rPr>
          <w:rFonts w:ascii="Traditional Arabic" w:eastAsia="Traditional Arabic" w:hAnsi="Traditional Arabic" w:cs="Traditional Arabic"/>
          <w:color w:val="1A1A1A"/>
          <w:sz w:val="28"/>
          <w:szCs w:val="28"/>
          <w:rtl/>
        </w:rPr>
        <w:t xml:space="preserve">، مشروع فضل الرحمن الإصلاحي — إلى مدارس مؤسسية معترف بها)، وفصل في استشراف خارطة طريق عملية </w:t>
      </w:r>
      <w:r>
        <w:rPr>
          <w:rFonts w:ascii="Traditional Arabic" w:eastAsia="Traditional Arabic" w:hAnsi="Traditional Arabic" w:cs="Traditional Arabic"/>
          <w:color w:val="1A1A1A"/>
          <w:sz w:val="28"/>
          <w:szCs w:val="28"/>
          <w:rtl/>
        </w:rPr>
        <w:t>للمأسسة.</w:t>
      </w:r>
    </w:p>
    <w:p w14:paraId="184B79DE"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وتخلص الدراسة إلى أن مشروع الزراع، في حالته الراهنة، يمثّل ما يمكن تسميته </w:t>
      </w:r>
      <w:proofErr w:type="spellStart"/>
      <w:r>
        <w:rPr>
          <w:rFonts w:ascii="Traditional Arabic" w:eastAsia="Traditional Arabic" w:hAnsi="Traditional Arabic" w:cs="Traditional Arabic"/>
          <w:color w:val="1A1A1A"/>
          <w:sz w:val="28"/>
          <w:szCs w:val="28"/>
          <w:rtl/>
        </w:rPr>
        <w:t>بـ"مشروعاً</w:t>
      </w:r>
      <w:proofErr w:type="spellEnd"/>
      <w:r>
        <w:rPr>
          <w:rFonts w:ascii="Traditional Arabic" w:eastAsia="Traditional Arabic" w:hAnsi="Traditional Arabic" w:cs="Traditional Arabic"/>
          <w:color w:val="1A1A1A"/>
          <w:sz w:val="28"/>
          <w:szCs w:val="28"/>
          <w:rtl/>
        </w:rPr>
        <w:t xml:space="preserve"> نهضوياً قيد التشكّل"، يمتلك المادة الخام الضرورية (الجهاز </w:t>
      </w:r>
      <w:proofErr w:type="spellStart"/>
      <w:r>
        <w:rPr>
          <w:rFonts w:ascii="Traditional Arabic" w:eastAsia="Traditional Arabic" w:hAnsi="Traditional Arabic" w:cs="Traditional Arabic"/>
          <w:color w:val="1A1A1A"/>
          <w:sz w:val="28"/>
          <w:szCs w:val="28"/>
          <w:rtl/>
        </w:rPr>
        <w:t>المفاهيمي</w:t>
      </w:r>
      <w:proofErr w:type="spellEnd"/>
      <w:r>
        <w:rPr>
          <w:rFonts w:ascii="Traditional Arabic" w:eastAsia="Traditional Arabic" w:hAnsi="Traditional Arabic" w:cs="Traditional Arabic"/>
          <w:color w:val="1A1A1A"/>
          <w:sz w:val="28"/>
          <w:szCs w:val="28"/>
          <w:rtl/>
        </w:rPr>
        <w:t xml:space="preserve"> المتماسك، والأدوات الإجرائية القابلة للتطبيق)، لكنه لا يزال يفتقر إلى الكتلة الحرجة من الممارسة المؤسسية والاعتراف الأكاديمي الشامل، وهو ما تُظهره دراسات الحالة المقارنة أنه ليس عائقاً حتمياً، بل عتبة تاريخية عبرها غيره من المشاريع الفردية عبر مسارات محدّدة يمكن استلهامها.</w:t>
      </w:r>
    </w:p>
    <w:p w14:paraId="228EF046" w14:textId="77777777" w:rsidR="00D56B6D" w:rsidRDefault="00550476">
      <w:pPr>
        <w:spacing w:after="300"/>
        <w:jc w:val="both"/>
      </w:pPr>
      <w:r>
        <w:rPr>
          <w:rFonts w:ascii="Traditional Arabic" w:eastAsia="Traditional Arabic" w:hAnsi="Traditional Arabic" w:cs="Traditional Arabic"/>
          <w:b/>
          <w:bCs/>
          <w:color w:val="1B2E4A"/>
          <w:sz w:val="28"/>
          <w:szCs w:val="28"/>
          <w:rtl/>
        </w:rPr>
        <w:t xml:space="preserve">الكلمات المفتاحية: </w:t>
      </w:r>
      <w:r>
        <w:rPr>
          <w:rFonts w:ascii="Traditional Arabic" w:eastAsia="Traditional Arabic" w:hAnsi="Traditional Arabic" w:cs="Traditional Arabic"/>
          <w:color w:val="1A1A1A"/>
          <w:sz w:val="28"/>
          <w:szCs w:val="28"/>
          <w:rtl/>
        </w:rPr>
        <w:t xml:space="preserve">عبد السلام الزراع، علم النفس الاستخلافي، TLRT، </w:t>
      </w:r>
      <w:proofErr w:type="spellStart"/>
      <w:r>
        <w:rPr>
          <w:rFonts w:ascii="Traditional Arabic" w:eastAsia="Traditional Arabic" w:hAnsi="Traditional Arabic" w:cs="Traditional Arabic"/>
          <w:color w:val="1A1A1A"/>
          <w:sz w:val="28"/>
          <w:szCs w:val="28"/>
          <w:rtl/>
        </w:rPr>
        <w:t>البرادايم</w:t>
      </w:r>
      <w:proofErr w:type="spellEnd"/>
      <w:r>
        <w:rPr>
          <w:rFonts w:ascii="Traditional Arabic" w:eastAsia="Traditional Arabic" w:hAnsi="Traditional Arabic" w:cs="Traditional Arabic"/>
          <w:color w:val="1A1A1A"/>
          <w:sz w:val="28"/>
          <w:szCs w:val="28"/>
          <w:rtl/>
        </w:rPr>
        <w:t xml:space="preserve">، القطيعة </w:t>
      </w:r>
      <w:proofErr w:type="spellStart"/>
      <w:r>
        <w:rPr>
          <w:rFonts w:ascii="Traditional Arabic" w:eastAsia="Traditional Arabic" w:hAnsi="Traditional Arabic" w:cs="Traditional Arabic"/>
          <w:color w:val="1A1A1A"/>
          <w:sz w:val="28"/>
          <w:szCs w:val="28"/>
          <w:rtl/>
        </w:rPr>
        <w:t>الإبستمولوجية</w:t>
      </w:r>
      <w:proofErr w:type="spellEnd"/>
      <w:r>
        <w:rPr>
          <w:rFonts w:ascii="Traditional Arabic" w:eastAsia="Traditional Arabic" w:hAnsi="Traditional Arabic" w:cs="Traditional Arabic"/>
          <w:color w:val="1A1A1A"/>
          <w:sz w:val="28"/>
          <w:szCs w:val="28"/>
          <w:rtl/>
        </w:rPr>
        <w:t xml:space="preserve">، المأسسة، </w:t>
      </w:r>
      <w:proofErr w:type="spellStart"/>
      <w:r>
        <w:rPr>
          <w:rFonts w:ascii="Traditional Arabic" w:eastAsia="Traditional Arabic" w:hAnsi="Traditional Arabic" w:cs="Traditional Arabic"/>
          <w:color w:val="1A1A1A"/>
          <w:sz w:val="28"/>
          <w:szCs w:val="28"/>
          <w:rtl/>
        </w:rPr>
        <w:t>سوسيولوجيا</w:t>
      </w:r>
      <w:proofErr w:type="spellEnd"/>
      <w:r>
        <w:rPr>
          <w:rFonts w:ascii="Traditional Arabic" w:eastAsia="Traditional Arabic" w:hAnsi="Traditional Arabic" w:cs="Traditional Arabic"/>
          <w:color w:val="1A1A1A"/>
          <w:sz w:val="28"/>
          <w:szCs w:val="28"/>
          <w:rtl/>
        </w:rPr>
        <w:t xml:space="preserve"> المعرفة، الحقل العلمي، الاندماج الخالق.</w:t>
      </w:r>
    </w:p>
    <w:p w14:paraId="60A470DD"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تمهيد: الإطار النظري — جدلية العبقرية الفردية والاعتراف المؤسسي</w:t>
      </w:r>
    </w:p>
    <w:p w14:paraId="1F8ABA69"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في تاريخ الأفكار، نادراً ما تتحوّل العبقرية الفردية — مهما بلغت من العمق والأصالة — إلى </w:t>
      </w:r>
      <w:proofErr w:type="spellStart"/>
      <w:r>
        <w:rPr>
          <w:rFonts w:ascii="Traditional Arabic" w:eastAsia="Traditional Arabic" w:hAnsi="Traditional Arabic" w:cs="Traditional Arabic"/>
          <w:color w:val="1A1A1A"/>
          <w:sz w:val="28"/>
          <w:szCs w:val="28"/>
          <w:rtl/>
        </w:rPr>
        <w:t>برادايم</w:t>
      </w:r>
      <w:proofErr w:type="spellEnd"/>
      <w:r>
        <w:rPr>
          <w:rFonts w:ascii="Traditional Arabic" w:eastAsia="Traditional Arabic" w:hAnsi="Traditional Arabic" w:cs="Traditional Arabic"/>
          <w:color w:val="1A1A1A"/>
          <w:sz w:val="28"/>
          <w:szCs w:val="28"/>
          <w:rtl/>
        </w:rPr>
        <w:t xml:space="preserve"> مهيمن ومدرسة مؤثرة دون المرور بعملية معقّدة وطويلة من المأسسة (</w:t>
      </w:r>
      <w:proofErr w:type="spellStart"/>
      <w:r>
        <w:rPr>
          <w:rFonts w:ascii="Traditional Arabic" w:eastAsia="Traditional Arabic" w:hAnsi="Traditional Arabic" w:cs="Traditional Arabic"/>
          <w:color w:val="1A1A1A"/>
          <w:sz w:val="28"/>
          <w:szCs w:val="28"/>
          <w:rtl/>
        </w:rPr>
        <w:t>Institutionalization</w:t>
      </w:r>
      <w:proofErr w:type="spellEnd"/>
      <w:r>
        <w:rPr>
          <w:rFonts w:ascii="Traditional Arabic" w:eastAsia="Traditional Arabic" w:hAnsi="Traditional Arabic" w:cs="Traditional Arabic"/>
          <w:color w:val="1A1A1A"/>
          <w:sz w:val="28"/>
          <w:szCs w:val="28"/>
          <w:rtl/>
        </w:rPr>
        <w:t>) والاعتراف (</w:t>
      </w:r>
      <w:proofErr w:type="spellStart"/>
      <w:r>
        <w:rPr>
          <w:rFonts w:ascii="Traditional Arabic" w:eastAsia="Traditional Arabic" w:hAnsi="Traditional Arabic" w:cs="Traditional Arabic"/>
          <w:color w:val="1A1A1A"/>
          <w:sz w:val="28"/>
          <w:szCs w:val="28"/>
          <w:rtl/>
        </w:rPr>
        <w:t>Recognition</w:t>
      </w:r>
      <w:proofErr w:type="spellEnd"/>
      <w:r>
        <w:rPr>
          <w:rFonts w:ascii="Traditional Arabic" w:eastAsia="Traditional Arabic" w:hAnsi="Traditional Arabic" w:cs="Traditional Arabic"/>
          <w:color w:val="1A1A1A"/>
          <w:sz w:val="28"/>
          <w:szCs w:val="28"/>
          <w:rtl/>
        </w:rPr>
        <w:t>) والتراكم (</w:t>
      </w:r>
      <w:proofErr w:type="spellStart"/>
      <w:r>
        <w:rPr>
          <w:rFonts w:ascii="Traditional Arabic" w:eastAsia="Traditional Arabic" w:hAnsi="Traditional Arabic" w:cs="Traditional Arabic"/>
          <w:color w:val="1A1A1A"/>
          <w:sz w:val="28"/>
          <w:szCs w:val="28"/>
          <w:rtl/>
        </w:rPr>
        <w:t>Accumulation</w:t>
      </w:r>
      <w:proofErr w:type="spellEnd"/>
      <w:r>
        <w:rPr>
          <w:rFonts w:ascii="Traditional Arabic" w:eastAsia="Traditional Arabic" w:hAnsi="Traditional Arabic" w:cs="Traditional Arabic"/>
          <w:color w:val="1A1A1A"/>
          <w:sz w:val="28"/>
          <w:szCs w:val="28"/>
          <w:rtl/>
        </w:rPr>
        <w:t>). الأفكار وحدها لا تكفي، والاجتهادات مهما كانت ثورية تظلّ قاصرة ما لم تجد حاضنة مؤسسية ترعاها وتطوّرها وتدافع عنها. هذه الإشكالية — إشكالية الفجوة بين العبقرية والمأسسة — تلقي بظلالها بشكل خاص على المشاريع النهضوية في الفكر العربي والإسلامي المعاصر.</w:t>
      </w:r>
    </w:p>
    <w:p w14:paraId="281E05BE" w14:textId="77777777" w:rsidR="00D56B6D" w:rsidRDefault="00550476">
      <w:pPr>
        <w:spacing w:before="260" w:after="140"/>
        <w:jc w:val="right"/>
      </w:pPr>
      <w:r>
        <w:rPr>
          <w:rFonts w:ascii="Traditional Arabic" w:eastAsia="Traditional Arabic" w:hAnsi="Traditional Arabic" w:cs="Traditional Arabic"/>
          <w:b/>
          <w:bCs/>
          <w:i/>
          <w:iCs/>
          <w:color w:val="B8892E"/>
          <w:sz w:val="28"/>
          <w:szCs w:val="28"/>
          <w:rtl/>
        </w:rPr>
        <w:t xml:space="preserve">أولاً: الإطار </w:t>
      </w:r>
      <w:proofErr w:type="spellStart"/>
      <w:r>
        <w:rPr>
          <w:rFonts w:ascii="Traditional Arabic" w:eastAsia="Traditional Arabic" w:hAnsi="Traditional Arabic" w:cs="Traditional Arabic"/>
          <w:b/>
          <w:bCs/>
          <w:i/>
          <w:iCs/>
          <w:color w:val="B8892E"/>
          <w:sz w:val="28"/>
          <w:szCs w:val="28"/>
          <w:rtl/>
        </w:rPr>
        <w:t>الكوهني</w:t>
      </w:r>
      <w:proofErr w:type="spellEnd"/>
      <w:r>
        <w:rPr>
          <w:rFonts w:ascii="Traditional Arabic" w:eastAsia="Traditional Arabic" w:hAnsi="Traditional Arabic" w:cs="Traditional Arabic"/>
          <w:b/>
          <w:bCs/>
          <w:i/>
          <w:iCs/>
          <w:color w:val="B8892E"/>
          <w:sz w:val="28"/>
          <w:szCs w:val="28"/>
          <w:rtl/>
        </w:rPr>
        <w:t xml:space="preserve"> — من "العلم الاستثنائي" إلى "العلم السوي"</w:t>
      </w:r>
    </w:p>
    <w:p w14:paraId="22CF1B53"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يميّز توماس كون في كتابه المرجعي "بنية الثورات العلمية" (1962) بين طورين في حياة أي إطار معرفي جديد: طور "العلم الاستثنائي" (</w:t>
      </w:r>
      <w:proofErr w:type="spellStart"/>
      <w:r>
        <w:rPr>
          <w:rFonts w:ascii="Traditional Arabic" w:eastAsia="Traditional Arabic" w:hAnsi="Traditional Arabic" w:cs="Traditional Arabic"/>
          <w:color w:val="1A1A1A"/>
          <w:sz w:val="28"/>
          <w:szCs w:val="28"/>
          <w:rtl/>
        </w:rPr>
        <w:t>Extraordinary</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Science</w:t>
      </w:r>
      <w:proofErr w:type="spellEnd"/>
      <w:r>
        <w:rPr>
          <w:rFonts w:ascii="Traditional Arabic" w:eastAsia="Traditional Arabic" w:hAnsi="Traditional Arabic" w:cs="Traditional Arabic"/>
          <w:color w:val="1A1A1A"/>
          <w:sz w:val="28"/>
          <w:szCs w:val="28"/>
          <w:rtl/>
        </w:rPr>
        <w:t>)، حيث يطرح فرد أو مجموعة صغيرة رؤية بديلة تتحدّى النموذج السائد، وطور "العلم السوي" (</w:t>
      </w:r>
      <w:proofErr w:type="spellStart"/>
      <w:r>
        <w:rPr>
          <w:rFonts w:ascii="Traditional Arabic" w:eastAsia="Traditional Arabic" w:hAnsi="Traditional Arabic" w:cs="Traditional Arabic"/>
          <w:color w:val="1A1A1A"/>
          <w:sz w:val="28"/>
          <w:szCs w:val="28"/>
          <w:rtl/>
        </w:rPr>
        <w:t>Normal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Science</w:t>
      </w:r>
      <w:proofErr w:type="spellEnd"/>
      <w:r>
        <w:rPr>
          <w:rFonts w:ascii="Traditional Arabic" w:eastAsia="Traditional Arabic" w:hAnsi="Traditional Arabic" w:cs="Traditional Arabic"/>
          <w:color w:val="1A1A1A"/>
          <w:sz w:val="28"/>
          <w:szCs w:val="28"/>
          <w:rtl/>
        </w:rPr>
        <w:t>)، حيث يتحوّل هذا الطرح إلى ممارسة جماعية منظّمة تقوم على مجتمع علمي (</w:t>
      </w:r>
      <w:proofErr w:type="spellStart"/>
      <w:r>
        <w:rPr>
          <w:rFonts w:ascii="Traditional Arabic" w:eastAsia="Traditional Arabic" w:hAnsi="Traditional Arabic" w:cs="Traditional Arabic"/>
          <w:color w:val="1A1A1A"/>
          <w:sz w:val="28"/>
          <w:szCs w:val="28"/>
          <w:rtl/>
        </w:rPr>
        <w:t>Scientific</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Community</w:t>
      </w:r>
      <w:proofErr w:type="spellEnd"/>
      <w:r>
        <w:rPr>
          <w:rFonts w:ascii="Traditional Arabic" w:eastAsia="Traditional Arabic" w:hAnsi="Traditional Arabic" w:cs="Traditional Arabic"/>
          <w:color w:val="1A1A1A"/>
          <w:sz w:val="28"/>
          <w:szCs w:val="28"/>
          <w:rtl/>
        </w:rPr>
        <w:t>) له دورياته المحكّمة، وكتبه المرجعية، ومؤتمراته، وأجياله المتعاقبة من الباحثين. وبحسب هذا الإطار، فإن مشروع الزراع لا يزال — بحكم التعريف — في الطور الأول، وهو ما لا يُعدّ نقصاً في حد ذاته، بل مرحلة طبيعية سابقة على أي انتقال محتمل [</w:t>
      </w:r>
      <w:proofErr w:type="spellStart"/>
      <w:r>
        <w:rPr>
          <w:rFonts w:ascii="Traditional Arabic" w:eastAsia="Traditional Arabic" w:hAnsi="Traditional Arabic" w:cs="Traditional Arabic"/>
          <w:color w:val="1A1A1A"/>
          <w:sz w:val="28"/>
          <w:szCs w:val="28"/>
          <w:rtl/>
        </w:rPr>
        <w:t>Kuhn</w:t>
      </w:r>
      <w:proofErr w:type="spellEnd"/>
      <w:r>
        <w:rPr>
          <w:rFonts w:ascii="Traditional Arabic" w:eastAsia="Traditional Arabic" w:hAnsi="Traditional Arabic" w:cs="Traditional Arabic"/>
          <w:color w:val="1A1A1A"/>
          <w:sz w:val="28"/>
          <w:szCs w:val="28"/>
          <w:rtl/>
        </w:rPr>
        <w:t>, 1962].</w:t>
      </w:r>
    </w:p>
    <w:p w14:paraId="7E57F5B2" w14:textId="77777777" w:rsidR="00D56B6D" w:rsidRDefault="00550476">
      <w:pPr>
        <w:spacing w:before="260" w:after="140"/>
        <w:jc w:val="right"/>
      </w:pPr>
      <w:r>
        <w:rPr>
          <w:rFonts w:ascii="Traditional Arabic" w:eastAsia="Traditional Arabic" w:hAnsi="Traditional Arabic" w:cs="Traditional Arabic"/>
          <w:b/>
          <w:bCs/>
          <w:i/>
          <w:iCs/>
          <w:color w:val="B8892E"/>
          <w:sz w:val="28"/>
          <w:szCs w:val="28"/>
          <w:rtl/>
        </w:rPr>
        <w:t xml:space="preserve">ثانياً: الإطار </w:t>
      </w:r>
      <w:proofErr w:type="spellStart"/>
      <w:r>
        <w:rPr>
          <w:rFonts w:ascii="Traditional Arabic" w:eastAsia="Traditional Arabic" w:hAnsi="Traditional Arabic" w:cs="Traditional Arabic"/>
          <w:b/>
          <w:bCs/>
          <w:i/>
          <w:iCs/>
          <w:color w:val="B8892E"/>
          <w:sz w:val="28"/>
          <w:szCs w:val="28"/>
          <w:rtl/>
        </w:rPr>
        <w:t>البورديوي</w:t>
      </w:r>
      <w:proofErr w:type="spellEnd"/>
      <w:r>
        <w:rPr>
          <w:rFonts w:ascii="Traditional Arabic" w:eastAsia="Traditional Arabic" w:hAnsi="Traditional Arabic" w:cs="Traditional Arabic"/>
          <w:b/>
          <w:bCs/>
          <w:i/>
          <w:iCs/>
          <w:color w:val="B8892E"/>
          <w:sz w:val="28"/>
          <w:szCs w:val="28"/>
          <w:rtl/>
        </w:rPr>
        <w:t xml:space="preserve"> — الحقل العلمي ورأس المال الرمزي</w:t>
      </w:r>
    </w:p>
    <w:p w14:paraId="0F79B6DC"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يضيف بيير </w:t>
      </w:r>
      <w:proofErr w:type="spellStart"/>
      <w:r>
        <w:rPr>
          <w:rFonts w:ascii="Traditional Arabic" w:eastAsia="Traditional Arabic" w:hAnsi="Traditional Arabic" w:cs="Traditional Arabic"/>
          <w:color w:val="1A1A1A"/>
          <w:sz w:val="28"/>
          <w:szCs w:val="28"/>
          <w:rtl/>
        </w:rPr>
        <w:t>بورديو</w:t>
      </w:r>
      <w:proofErr w:type="spellEnd"/>
      <w:r>
        <w:rPr>
          <w:rFonts w:ascii="Traditional Arabic" w:eastAsia="Traditional Arabic" w:hAnsi="Traditional Arabic" w:cs="Traditional Arabic"/>
          <w:color w:val="1A1A1A"/>
          <w:sz w:val="28"/>
          <w:szCs w:val="28"/>
          <w:rtl/>
        </w:rPr>
        <w:t>، في تحليله لـ"الحقل العلمي" (</w:t>
      </w:r>
      <w:proofErr w:type="spellStart"/>
      <w:r>
        <w:rPr>
          <w:rFonts w:ascii="Traditional Arabic" w:eastAsia="Traditional Arabic" w:hAnsi="Traditional Arabic" w:cs="Traditional Arabic"/>
          <w:color w:val="1A1A1A"/>
          <w:sz w:val="28"/>
          <w:szCs w:val="28"/>
          <w:rtl/>
        </w:rPr>
        <w:t>Le</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champ</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scientifique</w:t>
      </w:r>
      <w:proofErr w:type="spellEnd"/>
      <w:r>
        <w:rPr>
          <w:rFonts w:ascii="Traditional Arabic" w:eastAsia="Traditional Arabic" w:hAnsi="Traditional Arabic" w:cs="Traditional Arabic"/>
          <w:color w:val="1A1A1A"/>
          <w:sz w:val="28"/>
          <w:szCs w:val="28"/>
          <w:rtl/>
        </w:rPr>
        <w:t xml:space="preserve">)، بعداً </w:t>
      </w:r>
      <w:proofErr w:type="spellStart"/>
      <w:r>
        <w:rPr>
          <w:rFonts w:ascii="Traditional Arabic" w:eastAsia="Traditional Arabic" w:hAnsi="Traditional Arabic" w:cs="Traditional Arabic"/>
          <w:color w:val="1A1A1A"/>
          <w:sz w:val="28"/>
          <w:szCs w:val="28"/>
          <w:rtl/>
        </w:rPr>
        <w:t>سوسيولوجياً</w:t>
      </w:r>
      <w:proofErr w:type="spellEnd"/>
      <w:r>
        <w:rPr>
          <w:rFonts w:ascii="Traditional Arabic" w:eastAsia="Traditional Arabic" w:hAnsi="Traditional Arabic" w:cs="Traditional Arabic"/>
          <w:color w:val="1A1A1A"/>
          <w:sz w:val="28"/>
          <w:szCs w:val="28"/>
          <w:rtl/>
        </w:rPr>
        <w:t xml:space="preserve"> لا يقل أهمية عن البعد المعرفي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فالاعتراف بفكرة جديدة ليس مجرد نتيجة لصحتها المنطقية أو قوتها التفسيرية، بل هو أيضاً نتيجة لموقع صاحبها داخل "حقل" من علاقات القوة، ومدى امتلاكه لما يسميه </w:t>
      </w:r>
      <w:proofErr w:type="spellStart"/>
      <w:r>
        <w:rPr>
          <w:rFonts w:ascii="Traditional Arabic" w:eastAsia="Traditional Arabic" w:hAnsi="Traditional Arabic" w:cs="Traditional Arabic"/>
          <w:color w:val="1A1A1A"/>
          <w:sz w:val="28"/>
          <w:szCs w:val="28"/>
          <w:rtl/>
        </w:rPr>
        <w:t>بورديو</w:t>
      </w:r>
      <w:proofErr w:type="spellEnd"/>
      <w:r>
        <w:rPr>
          <w:rFonts w:ascii="Traditional Arabic" w:eastAsia="Traditional Arabic" w:hAnsi="Traditional Arabic" w:cs="Traditional Arabic"/>
          <w:color w:val="1A1A1A"/>
          <w:sz w:val="28"/>
          <w:szCs w:val="28"/>
          <w:rtl/>
        </w:rPr>
        <w:t xml:space="preserve"> "رأس المال العلمي" (</w:t>
      </w:r>
      <w:proofErr w:type="spellStart"/>
      <w:r>
        <w:rPr>
          <w:rFonts w:ascii="Traditional Arabic" w:eastAsia="Traditional Arabic" w:hAnsi="Traditional Arabic" w:cs="Traditional Arabic"/>
          <w:color w:val="1A1A1A"/>
          <w:sz w:val="28"/>
          <w:szCs w:val="28"/>
          <w:rtl/>
        </w:rPr>
        <w:t>Capital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Scientifique</w:t>
      </w:r>
      <w:proofErr w:type="spellEnd"/>
      <w:r>
        <w:rPr>
          <w:rFonts w:ascii="Traditional Arabic" w:eastAsia="Traditional Arabic" w:hAnsi="Traditional Arabic" w:cs="Traditional Arabic"/>
          <w:color w:val="1A1A1A"/>
          <w:sz w:val="28"/>
          <w:szCs w:val="28"/>
          <w:rtl/>
        </w:rPr>
        <w:t>) — أي الاعتراف المؤسسي، والمواقع الأكاديمية، وشبكات التلمذة والمريدين. وبهذا المعنى، فإن غياب المأسسة عن مشروع الزراع ليس فقط غياباً لبنية تنظيمية، بل هو أيضاً غياب لرأس المال الرمزي الذي يمنح</w:t>
      </w:r>
      <w:r>
        <w:rPr>
          <w:rFonts w:ascii="Traditional Arabic" w:eastAsia="Traditional Arabic" w:hAnsi="Traditional Arabic" w:cs="Traditional Arabic"/>
          <w:color w:val="1A1A1A"/>
          <w:sz w:val="28"/>
          <w:szCs w:val="28"/>
          <w:rtl/>
        </w:rPr>
        <w:t xml:space="preserve"> الأفكار قابليتها للتداول والاعتراف [</w:t>
      </w:r>
      <w:proofErr w:type="spellStart"/>
      <w:r>
        <w:rPr>
          <w:rFonts w:ascii="Traditional Arabic" w:eastAsia="Traditional Arabic" w:hAnsi="Traditional Arabic" w:cs="Traditional Arabic"/>
          <w:color w:val="1A1A1A"/>
          <w:sz w:val="28"/>
          <w:szCs w:val="28"/>
          <w:rtl/>
        </w:rPr>
        <w:t>Bourdieu</w:t>
      </w:r>
      <w:proofErr w:type="spellEnd"/>
      <w:r>
        <w:rPr>
          <w:rFonts w:ascii="Traditional Arabic" w:eastAsia="Traditional Arabic" w:hAnsi="Traditional Arabic" w:cs="Traditional Arabic"/>
          <w:color w:val="1A1A1A"/>
          <w:sz w:val="28"/>
          <w:szCs w:val="28"/>
          <w:rtl/>
        </w:rPr>
        <w:t>, 1976; 1984].</w:t>
      </w:r>
    </w:p>
    <w:p w14:paraId="4B68DFE0" w14:textId="77777777" w:rsidR="00D56B6D" w:rsidRDefault="00550476">
      <w:pPr>
        <w:spacing w:before="260" w:after="140"/>
        <w:jc w:val="right"/>
      </w:pPr>
      <w:r>
        <w:rPr>
          <w:rFonts w:ascii="Traditional Arabic" w:eastAsia="Traditional Arabic" w:hAnsi="Traditional Arabic" w:cs="Traditional Arabic"/>
          <w:b/>
          <w:bCs/>
          <w:i/>
          <w:iCs/>
          <w:color w:val="B8892E"/>
          <w:sz w:val="28"/>
          <w:szCs w:val="28"/>
          <w:rtl/>
        </w:rPr>
        <w:t xml:space="preserve">ثالثاً: الإطار </w:t>
      </w:r>
      <w:proofErr w:type="spellStart"/>
      <w:r>
        <w:rPr>
          <w:rFonts w:ascii="Traditional Arabic" w:eastAsia="Traditional Arabic" w:hAnsi="Traditional Arabic" w:cs="Traditional Arabic"/>
          <w:b/>
          <w:bCs/>
          <w:i/>
          <w:iCs/>
          <w:color w:val="B8892E"/>
          <w:sz w:val="28"/>
          <w:szCs w:val="28"/>
          <w:rtl/>
        </w:rPr>
        <w:t>الخلدوني</w:t>
      </w:r>
      <w:proofErr w:type="spellEnd"/>
      <w:r>
        <w:rPr>
          <w:rFonts w:ascii="Traditional Arabic" w:eastAsia="Traditional Arabic" w:hAnsi="Traditional Arabic" w:cs="Traditional Arabic"/>
          <w:b/>
          <w:bCs/>
          <w:i/>
          <w:iCs/>
          <w:color w:val="B8892E"/>
          <w:sz w:val="28"/>
          <w:szCs w:val="28"/>
          <w:rtl/>
        </w:rPr>
        <w:t xml:space="preserve"> — العصبية كشرط لاستمرار المدرسة</w:t>
      </w:r>
    </w:p>
    <w:p w14:paraId="116178EF"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وقد سبق ابن خلدون، في مقدمته، إلى ملاحظة مشابهة من زاوية مختلفة: فالفكرة أو الدعوة، مهما بلغت من الصواب، لا تثبت ولا تستمر إلا إذا اقترنت بـ"عصبية" — أي بجماعة متماسكة تحمل الفكرة وتدافع عنها وتُوسّع دائرتها عبر الأجيال. وهذا التوازي بين المفهوم </w:t>
      </w:r>
      <w:proofErr w:type="spellStart"/>
      <w:r>
        <w:rPr>
          <w:rFonts w:ascii="Traditional Arabic" w:eastAsia="Traditional Arabic" w:hAnsi="Traditional Arabic" w:cs="Traditional Arabic"/>
          <w:color w:val="1A1A1A"/>
          <w:sz w:val="28"/>
          <w:szCs w:val="28"/>
          <w:rtl/>
        </w:rPr>
        <w:t>الخلدوني</w:t>
      </w:r>
      <w:proofErr w:type="spellEnd"/>
      <w:r>
        <w:rPr>
          <w:rFonts w:ascii="Traditional Arabic" w:eastAsia="Traditional Arabic" w:hAnsi="Traditional Arabic" w:cs="Traditional Arabic"/>
          <w:color w:val="1A1A1A"/>
          <w:sz w:val="28"/>
          <w:szCs w:val="28"/>
          <w:rtl/>
        </w:rPr>
        <w:t xml:space="preserve"> الكلاسيكي والمفهومين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والبورديوي</w:t>
      </w:r>
      <w:proofErr w:type="spellEnd"/>
      <w:r>
        <w:rPr>
          <w:rFonts w:ascii="Traditional Arabic" w:eastAsia="Traditional Arabic" w:hAnsi="Traditional Arabic" w:cs="Traditional Arabic"/>
          <w:color w:val="1A1A1A"/>
          <w:sz w:val="28"/>
          <w:szCs w:val="28"/>
          <w:rtl/>
        </w:rPr>
        <w:t xml:space="preserve"> المعاصرين يشير إلى أن إشكالية الفجوة بين العبقرية الفردية والمأسسة ليست إشكالية حديثة أو غربية المنشأ، بل هي قانون بنيوي عام في اجتماع الأفكار عبر الحضارات [ابن خلدون، المقدمة].</w:t>
      </w:r>
    </w:p>
    <w:p w14:paraId="63691328"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انطلاقاً من هذا الإطار النظري الثلاثي، تسعى هذه الدراسة إلى تفكيك جدلية العبقرية والمأسسة في مشروع الزراع عبر أربعة فصول: الفصل الأول يرصد مواطن القوة الجوهرية في المشروع من زاوية اكتمال "المادة الخام" المعرفية؛ الفصل الثاني يحلّل العوائق البنيوية التي تعيق تحوّله إلى </w:t>
      </w:r>
      <w:proofErr w:type="spellStart"/>
      <w:r>
        <w:rPr>
          <w:rFonts w:ascii="Traditional Arabic" w:eastAsia="Traditional Arabic" w:hAnsi="Traditional Arabic" w:cs="Traditional Arabic"/>
          <w:color w:val="1A1A1A"/>
          <w:sz w:val="28"/>
          <w:szCs w:val="28"/>
          <w:rtl/>
        </w:rPr>
        <w:t>برادايم</w:t>
      </w:r>
      <w:proofErr w:type="spellEnd"/>
      <w:r>
        <w:rPr>
          <w:rFonts w:ascii="Traditional Arabic" w:eastAsia="Traditional Arabic" w:hAnsi="Traditional Arabic" w:cs="Traditional Arabic"/>
          <w:color w:val="1A1A1A"/>
          <w:sz w:val="28"/>
          <w:szCs w:val="28"/>
          <w:rtl/>
        </w:rPr>
        <w:t xml:space="preserve"> مهيمن؛ الفصل الثالث يعرض دراسات حالة مقارنة لمشاريع فردية مشابهة نجحت في اجتياز عتبة المأسسة؛ والفصل الرابع يستشرف خارطة طريق عملية مستفادة من هذه المقارنات.</w:t>
      </w:r>
    </w:p>
    <w:p w14:paraId="5110D76C"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الفصل الأول. مواطن القوة: مقومات العبقرية وأسس التميّز</w:t>
      </w:r>
    </w:p>
    <w:p w14:paraId="0E2527AC"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1.1 دقة التشخيص: من الأعراض إلى الجذور</w:t>
      </w:r>
    </w:p>
    <w:p w14:paraId="426FB85E"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أولى نقاط القوة في مشروع الزراع، كما يُجمع المتابعون، هي قدرته الاستثنائية على التشخيص والتحليل. فهو لا يكتفي — كما تفعل كثير من النماذج الغربية السائدة — بوصف الأعراض وتصنيفها وفق معايير إحصائية </w:t>
      </w:r>
      <w:proofErr w:type="spellStart"/>
      <w:r>
        <w:rPr>
          <w:rFonts w:ascii="Traditional Arabic" w:eastAsia="Traditional Arabic" w:hAnsi="Traditional Arabic" w:cs="Traditional Arabic"/>
          <w:color w:val="1A1A1A"/>
          <w:sz w:val="28"/>
          <w:szCs w:val="28"/>
          <w:rtl/>
        </w:rPr>
        <w:t>ظاهراتية</w:t>
      </w:r>
      <w:proofErr w:type="spellEnd"/>
      <w:r>
        <w:rPr>
          <w:rFonts w:ascii="Traditional Arabic" w:eastAsia="Traditional Arabic" w:hAnsi="Traditional Arabic" w:cs="Traditional Arabic"/>
          <w:color w:val="1A1A1A"/>
          <w:sz w:val="28"/>
          <w:szCs w:val="28"/>
          <w:rtl/>
        </w:rPr>
        <w:t xml:space="preserve"> (كما في نموذج الدليل التشخيصي والإحصائي DSM)، بل يحفر بعمق في الطبقات الأنطولوجية والوجودية للنفس والمجتمع، ليصل إلى الجذور البنيوية للمعاناة الإنسانية المعاصرة. مفاهيم مثل "الفصام الأخلاقي" (</w:t>
      </w:r>
      <w:proofErr w:type="spellStart"/>
      <w:r>
        <w:rPr>
          <w:rFonts w:ascii="Traditional Arabic" w:eastAsia="Traditional Arabic" w:hAnsi="Traditional Arabic" w:cs="Traditional Arabic"/>
          <w:color w:val="1A1A1A"/>
          <w:sz w:val="28"/>
          <w:szCs w:val="28"/>
          <w:rtl/>
        </w:rPr>
        <w:t>Moral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Schizophrenia</w:t>
      </w:r>
      <w:proofErr w:type="spellEnd"/>
      <w:r>
        <w:rPr>
          <w:rFonts w:ascii="Traditional Arabic" w:eastAsia="Traditional Arabic" w:hAnsi="Traditional Arabic" w:cs="Traditional Arabic"/>
          <w:color w:val="1A1A1A"/>
          <w:sz w:val="28"/>
          <w:szCs w:val="28"/>
          <w:rtl/>
        </w:rPr>
        <w:t>) — الذي يُشخَّص به التمزّق بين منظومة الوحي ومنظومة الحداثة المادية — و"الديون النفسية الوهمية" — التي يُفسَّر بها كثير من القلق والاكتئاب المعاصرَين — و"استعمار الانتباه" — الذي تُكشف به آليات السيطرة الخوارزمية على الذات المعاصرة — هي شواهد دالّة على هذه العبقرية التشخيصية [976، 987، 1248</w:t>
      </w:r>
      <w:r>
        <w:rPr>
          <w:rFonts w:ascii="Traditional Arabic" w:eastAsia="Traditional Arabic" w:hAnsi="Traditional Arabic" w:cs="Traditional Arabic"/>
          <w:color w:val="1A1A1A"/>
          <w:sz w:val="28"/>
          <w:szCs w:val="28"/>
          <w:rtl/>
        </w:rPr>
        <w:t>].</w:t>
      </w:r>
    </w:p>
    <w:p w14:paraId="5300C18B"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وتجدر الإشارة إلى أن هذا النمط التشخيصي العميق يتقاطع منهجياً مع ما ينادي به المنتقدون المعاصرون لنموذج الطب النفسي البيولوجي المهيمن، من ضرورة العودة إلى تفسيرات سياقية وحضارية للمعاناة النفسية بدلاً من اختزالها في اختلالات كيميائية عصبية، وهو ما يمنح تشخيصات الزراع صدى نظرياً يتجاوز الدائرة الإسلامية الضيقة إلى نقاشات أوسع في فلسفة الطب النفسي المعاصر.</w:t>
      </w:r>
    </w:p>
    <w:p w14:paraId="5F0DD1B4"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1.2 التحوّل الإجرائي: من الفلسفة إلى البروتوكول</w:t>
      </w:r>
    </w:p>
    <w:p w14:paraId="3032C8EC"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القوة الثانية، والأكثر تميّزاً، هي قدرة الزراع على ترجمة التشخيص الفلسفي إلى بروتوكول علاجي إجرائي قابل للتطبيق. فهو، على عكس كثير من المفكرين النهضويين الذين يكتفون بالتنظير والنقد دون أن يقدّموا بديلاً عملياً، استطاع أن يبني — انطلاقاً من رؤيته الأنطولوجية — نموذجاً علاجياً متكاملاً (TLRT) يمرّ بخمس مراحل محدّدة، ويستخدم أدوات تشخيصية وعلاجية خاصة به (خريطة الدين النفسي، الجسر السلوكي، الكينتسوغي النفسي). وهذا التحوّل من الفلسفة إلى البروتوكول هو ما يمنح المشروع قابليته للتطبيق ويُخرجه من دائرة التنظير ال</w:t>
      </w:r>
      <w:r>
        <w:rPr>
          <w:rFonts w:ascii="Traditional Arabic" w:eastAsia="Traditional Arabic" w:hAnsi="Traditional Arabic" w:cs="Traditional Arabic"/>
          <w:color w:val="1A1A1A"/>
          <w:sz w:val="28"/>
          <w:szCs w:val="28"/>
          <w:rtl/>
        </w:rPr>
        <w:t>خالص إلى دائرة الممارسة الإكلينيكية القابلة للاختبار والتقييم [584، 870، 1085].</w:t>
      </w:r>
    </w:p>
    <w:p w14:paraId="2752DA1B"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ومن الناحية المنهجية، فإن هذا الانتقال من "الفلسفة" إلى "البروتوكول" يُعدّ خطوة ضرورية — وإن لم تكن كافية — نحو تحقيق ما يشترطه كارل بوبر لأي نظرية علمية جادّة، وهو قابليتها للتكذيب (</w:t>
      </w:r>
      <w:proofErr w:type="spellStart"/>
      <w:r>
        <w:rPr>
          <w:rFonts w:ascii="Traditional Arabic" w:eastAsia="Traditional Arabic" w:hAnsi="Traditional Arabic" w:cs="Traditional Arabic"/>
          <w:color w:val="1A1A1A"/>
          <w:sz w:val="28"/>
          <w:szCs w:val="28"/>
          <w:rtl/>
        </w:rPr>
        <w:t>Falsifiability</w:t>
      </w:r>
      <w:proofErr w:type="spellEnd"/>
      <w:r>
        <w:rPr>
          <w:rFonts w:ascii="Traditional Arabic" w:eastAsia="Traditional Arabic" w:hAnsi="Traditional Arabic" w:cs="Traditional Arabic"/>
          <w:color w:val="1A1A1A"/>
          <w:sz w:val="28"/>
          <w:szCs w:val="28"/>
          <w:rtl/>
        </w:rPr>
        <w:t>): فالبروتوكول الإجرائي، بخلاف الرؤية الفلسفية المجرّدة، يفتح الباب أمام دراسات تجريبية مقارنة يمكن أن تُخضع فعالية TLRT للاختبار المنهجي، وهو ما سيُناقش بتفصيل أكبر في سياق العائق المتعلق بغياب المراجعة النقدية (المبحث 2.2).</w:t>
      </w:r>
    </w:p>
    <w:p w14:paraId="30860584"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 xml:space="preserve">1.3 تجاوز </w:t>
      </w:r>
      <w:proofErr w:type="spellStart"/>
      <w:r>
        <w:rPr>
          <w:rFonts w:ascii="Traditional Arabic" w:eastAsia="Traditional Arabic" w:hAnsi="Traditional Arabic" w:cs="Traditional Arabic"/>
          <w:b/>
          <w:bCs/>
          <w:color w:val="0E5C5C"/>
          <w:sz w:val="30"/>
          <w:szCs w:val="30"/>
          <w:rtl/>
        </w:rPr>
        <w:t>الأسلمة</w:t>
      </w:r>
      <w:proofErr w:type="spellEnd"/>
      <w:r>
        <w:rPr>
          <w:rFonts w:ascii="Traditional Arabic" w:eastAsia="Traditional Arabic" w:hAnsi="Traditional Arabic" w:cs="Traditional Arabic"/>
          <w:b/>
          <w:bCs/>
          <w:color w:val="0E5C5C"/>
          <w:sz w:val="30"/>
          <w:szCs w:val="30"/>
          <w:rtl/>
        </w:rPr>
        <w:t xml:space="preserve"> السطحية: القطيعة </w:t>
      </w:r>
      <w:proofErr w:type="spellStart"/>
      <w:r>
        <w:rPr>
          <w:rFonts w:ascii="Traditional Arabic" w:eastAsia="Traditional Arabic" w:hAnsi="Traditional Arabic" w:cs="Traditional Arabic"/>
          <w:b/>
          <w:bCs/>
          <w:color w:val="0E5C5C"/>
          <w:sz w:val="30"/>
          <w:szCs w:val="30"/>
          <w:rtl/>
        </w:rPr>
        <w:t>الإبستمولوجية</w:t>
      </w:r>
      <w:proofErr w:type="spellEnd"/>
      <w:r>
        <w:rPr>
          <w:rFonts w:ascii="Traditional Arabic" w:eastAsia="Traditional Arabic" w:hAnsi="Traditional Arabic" w:cs="Traditional Arabic"/>
          <w:b/>
          <w:bCs/>
          <w:color w:val="0E5C5C"/>
          <w:sz w:val="30"/>
          <w:szCs w:val="30"/>
          <w:rtl/>
        </w:rPr>
        <w:t xml:space="preserve"> والاندماج الخالق</w:t>
      </w:r>
    </w:p>
    <w:p w14:paraId="208E6C47"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القوة الثالثة هي وعي المشروع العميق بمأزق "</w:t>
      </w:r>
      <w:proofErr w:type="spellStart"/>
      <w:r>
        <w:rPr>
          <w:rFonts w:ascii="Traditional Arabic" w:eastAsia="Traditional Arabic" w:hAnsi="Traditional Arabic" w:cs="Traditional Arabic"/>
          <w:color w:val="1A1A1A"/>
          <w:sz w:val="28"/>
          <w:szCs w:val="28"/>
          <w:rtl/>
        </w:rPr>
        <w:t>الأسلمة</w:t>
      </w:r>
      <w:proofErr w:type="spellEnd"/>
      <w:r>
        <w:rPr>
          <w:rFonts w:ascii="Traditional Arabic" w:eastAsia="Traditional Arabic" w:hAnsi="Traditional Arabic" w:cs="Traditional Arabic"/>
          <w:color w:val="1A1A1A"/>
          <w:sz w:val="28"/>
          <w:szCs w:val="28"/>
          <w:rtl/>
        </w:rPr>
        <w:t xml:space="preserve"> السطحية" والتوفيقية، وسعيه بدلاً من ذلك إلى "القطيعة </w:t>
      </w:r>
      <w:proofErr w:type="spellStart"/>
      <w:r>
        <w:rPr>
          <w:rFonts w:ascii="Traditional Arabic" w:eastAsia="Traditional Arabic" w:hAnsi="Traditional Arabic" w:cs="Traditional Arabic"/>
          <w:color w:val="1A1A1A"/>
          <w:sz w:val="28"/>
          <w:szCs w:val="28"/>
          <w:rtl/>
        </w:rPr>
        <w:t>الإبستمولوجية</w:t>
      </w:r>
      <w:proofErr w:type="spellEnd"/>
      <w:r>
        <w:rPr>
          <w:rFonts w:ascii="Traditional Arabic" w:eastAsia="Traditional Arabic" w:hAnsi="Traditional Arabic" w:cs="Traditional Arabic"/>
          <w:color w:val="1A1A1A"/>
          <w:sz w:val="28"/>
          <w:szCs w:val="28"/>
          <w:rtl/>
        </w:rPr>
        <w:t>" و"الاندماج الخالق". فالزراع، كما يصرّح، لا يريد أن يضيف بعض المفاهيم الإسلامية إلى أطر غربية جاهزة كما يفعل بعض المعاصرين، بل يريد أن يؤسّس لعلم جديد ينطلق من الوحي والفطرة، ويستوعب في الوقت نفسه منجزات العلم الحديث بعد إعادة صهرها في بوتقته الخاصة [1149، 1191، 1404].</w:t>
      </w:r>
    </w:p>
    <w:p w14:paraId="12DC92AC"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وتستحق هذه النقطة وقفة نظرية إضافية: فمفهوم "القطيعة </w:t>
      </w:r>
      <w:proofErr w:type="spellStart"/>
      <w:r>
        <w:rPr>
          <w:rFonts w:ascii="Traditional Arabic" w:eastAsia="Traditional Arabic" w:hAnsi="Traditional Arabic" w:cs="Traditional Arabic"/>
          <w:color w:val="1A1A1A"/>
          <w:sz w:val="28"/>
          <w:szCs w:val="28"/>
          <w:rtl/>
        </w:rPr>
        <w:t>الإبستمولوجية</w:t>
      </w:r>
      <w:proofErr w:type="spellEnd"/>
      <w:r>
        <w:rPr>
          <w:rFonts w:ascii="Traditional Arabic" w:eastAsia="Traditional Arabic" w:hAnsi="Traditional Arabic" w:cs="Traditional Arabic"/>
          <w:color w:val="1A1A1A"/>
          <w:sz w:val="28"/>
          <w:szCs w:val="28"/>
          <w:rtl/>
        </w:rPr>
        <w:t xml:space="preserve">" الذي يستخدمه الزراع يحيل — ولو بشكل غير مباشر — إلى تراث فلسفي غربي عريق، بدءاً من </w:t>
      </w:r>
      <w:proofErr w:type="spellStart"/>
      <w:r>
        <w:rPr>
          <w:rFonts w:ascii="Traditional Arabic" w:eastAsia="Traditional Arabic" w:hAnsi="Traditional Arabic" w:cs="Traditional Arabic"/>
          <w:color w:val="1A1A1A"/>
          <w:sz w:val="28"/>
          <w:szCs w:val="28"/>
          <w:rtl/>
        </w:rPr>
        <w:t>غاستون</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باشلار</w:t>
      </w:r>
      <w:proofErr w:type="spellEnd"/>
      <w:r>
        <w:rPr>
          <w:rFonts w:ascii="Traditional Arabic" w:eastAsia="Traditional Arabic" w:hAnsi="Traditional Arabic" w:cs="Traditional Arabic"/>
          <w:color w:val="1A1A1A"/>
          <w:sz w:val="28"/>
          <w:szCs w:val="28"/>
          <w:rtl/>
        </w:rPr>
        <w:t xml:space="preserve"> الذي صاغ المفهوم أصلاً (</w:t>
      </w:r>
      <w:proofErr w:type="spellStart"/>
      <w:r>
        <w:rPr>
          <w:rFonts w:ascii="Traditional Arabic" w:eastAsia="Traditional Arabic" w:hAnsi="Traditional Arabic" w:cs="Traditional Arabic"/>
          <w:color w:val="1A1A1A"/>
          <w:sz w:val="28"/>
          <w:szCs w:val="28"/>
          <w:rtl/>
        </w:rPr>
        <w:t>La</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rupture</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épistémologique</w:t>
      </w:r>
      <w:proofErr w:type="spellEnd"/>
      <w:r>
        <w:rPr>
          <w:rFonts w:ascii="Traditional Arabic" w:eastAsia="Traditional Arabic" w:hAnsi="Traditional Arabic" w:cs="Traditional Arabic"/>
          <w:color w:val="1A1A1A"/>
          <w:sz w:val="28"/>
          <w:szCs w:val="28"/>
          <w:rtl/>
        </w:rPr>
        <w:t xml:space="preserve">) لوصف كيفية تجاوز العلم لتصوراته المسبقة الحسّية نحو بناء موضوعه بشكل عقلاني مستقل، مروراً بلوي </w:t>
      </w:r>
      <w:proofErr w:type="spellStart"/>
      <w:r>
        <w:rPr>
          <w:rFonts w:ascii="Traditional Arabic" w:eastAsia="Traditional Arabic" w:hAnsi="Traditional Arabic" w:cs="Traditional Arabic"/>
          <w:color w:val="1A1A1A"/>
          <w:sz w:val="28"/>
          <w:szCs w:val="28"/>
          <w:rtl/>
        </w:rPr>
        <w:t>ألتوسير</w:t>
      </w:r>
      <w:proofErr w:type="spellEnd"/>
      <w:r>
        <w:rPr>
          <w:rFonts w:ascii="Traditional Arabic" w:eastAsia="Traditional Arabic" w:hAnsi="Traditional Arabic" w:cs="Traditional Arabic"/>
          <w:color w:val="1A1A1A"/>
          <w:sz w:val="28"/>
          <w:szCs w:val="28"/>
          <w:rtl/>
        </w:rPr>
        <w:t xml:space="preserve"> الذي استعمل المفهوم ذاته لوصف "القطيعة" التي أحدثها ماركس مع الفلسفة </w:t>
      </w:r>
      <w:proofErr w:type="spellStart"/>
      <w:r>
        <w:rPr>
          <w:rFonts w:ascii="Traditional Arabic" w:eastAsia="Traditional Arabic" w:hAnsi="Traditional Arabic" w:cs="Traditional Arabic"/>
          <w:color w:val="1A1A1A"/>
          <w:sz w:val="28"/>
          <w:szCs w:val="28"/>
          <w:rtl/>
        </w:rPr>
        <w:t>الهيغلية</w:t>
      </w:r>
      <w:proofErr w:type="spellEnd"/>
      <w:r>
        <w:rPr>
          <w:rFonts w:ascii="Traditional Arabic" w:eastAsia="Traditional Arabic" w:hAnsi="Traditional Arabic" w:cs="Traditional Arabic"/>
          <w:color w:val="1A1A1A"/>
          <w:sz w:val="28"/>
          <w:szCs w:val="28"/>
          <w:rtl/>
        </w:rPr>
        <w:t xml:space="preserve"> والاقتصاد الكلاسيكي [</w:t>
      </w:r>
      <w:proofErr w:type="spellStart"/>
      <w:r>
        <w:rPr>
          <w:rFonts w:ascii="Traditional Arabic" w:eastAsia="Traditional Arabic" w:hAnsi="Traditional Arabic" w:cs="Traditional Arabic"/>
          <w:color w:val="1A1A1A"/>
          <w:sz w:val="28"/>
          <w:szCs w:val="28"/>
          <w:rtl/>
        </w:rPr>
        <w:t>Bachelard</w:t>
      </w:r>
      <w:proofErr w:type="spellEnd"/>
      <w:r>
        <w:rPr>
          <w:rFonts w:ascii="Traditional Arabic" w:eastAsia="Traditional Arabic" w:hAnsi="Traditional Arabic" w:cs="Traditional Arabic"/>
          <w:color w:val="1A1A1A"/>
          <w:sz w:val="28"/>
          <w:szCs w:val="28"/>
          <w:rtl/>
        </w:rPr>
        <w:t xml:space="preserve">, 1938; </w:t>
      </w:r>
      <w:proofErr w:type="spellStart"/>
      <w:r>
        <w:rPr>
          <w:rFonts w:ascii="Traditional Arabic" w:eastAsia="Traditional Arabic" w:hAnsi="Traditional Arabic" w:cs="Traditional Arabic"/>
          <w:color w:val="1A1A1A"/>
          <w:sz w:val="28"/>
          <w:szCs w:val="28"/>
          <w:rtl/>
        </w:rPr>
        <w:t>Althusser</w:t>
      </w:r>
      <w:proofErr w:type="spellEnd"/>
      <w:r>
        <w:rPr>
          <w:rFonts w:ascii="Traditional Arabic" w:eastAsia="Traditional Arabic" w:hAnsi="Traditional Arabic" w:cs="Traditional Arabic"/>
          <w:color w:val="1A1A1A"/>
          <w:sz w:val="28"/>
          <w:szCs w:val="28"/>
          <w:rtl/>
        </w:rPr>
        <w:t xml:space="preserve">, 1965]. وتوظيف الزراع لهذا المفهوم — سواء وعى أصوله الفلسفية الدقيقة أم لم </w:t>
      </w:r>
      <w:proofErr w:type="spellStart"/>
      <w:r>
        <w:rPr>
          <w:rFonts w:ascii="Traditional Arabic" w:eastAsia="Traditional Arabic" w:hAnsi="Traditional Arabic" w:cs="Traditional Arabic"/>
          <w:color w:val="1A1A1A"/>
          <w:sz w:val="28"/>
          <w:szCs w:val="28"/>
          <w:rtl/>
        </w:rPr>
        <w:t>يعِها</w:t>
      </w:r>
      <w:proofErr w:type="spellEnd"/>
      <w:r>
        <w:rPr>
          <w:rFonts w:ascii="Traditional Arabic" w:eastAsia="Traditional Arabic" w:hAnsi="Traditional Arabic" w:cs="Traditional Arabic"/>
          <w:color w:val="1A1A1A"/>
          <w:sz w:val="28"/>
          <w:szCs w:val="28"/>
          <w:rtl/>
        </w:rPr>
        <w:t xml:space="preserve"> — يضع مشروعه في سياق نظري أوسع من مجرد</w:t>
      </w:r>
      <w:r>
        <w:rPr>
          <w:rFonts w:ascii="Traditional Arabic" w:eastAsia="Traditional Arabic" w:hAnsi="Traditional Arabic" w:cs="Traditional Arabic"/>
          <w:color w:val="1A1A1A"/>
          <w:sz w:val="28"/>
          <w:szCs w:val="28"/>
          <w:rtl/>
        </w:rPr>
        <w:t xml:space="preserve"> "الدفاع عن الهوية"، إذ يطرح ادّعاءً </w:t>
      </w:r>
      <w:proofErr w:type="spellStart"/>
      <w:r>
        <w:rPr>
          <w:rFonts w:ascii="Traditional Arabic" w:eastAsia="Traditional Arabic" w:hAnsi="Traditional Arabic" w:cs="Traditional Arabic"/>
          <w:color w:val="1A1A1A"/>
          <w:sz w:val="28"/>
          <w:szCs w:val="28"/>
          <w:rtl/>
        </w:rPr>
        <w:t>إبستمولوجياً</w:t>
      </w:r>
      <w:proofErr w:type="spellEnd"/>
      <w:r>
        <w:rPr>
          <w:rFonts w:ascii="Traditional Arabic" w:eastAsia="Traditional Arabic" w:hAnsi="Traditional Arabic" w:cs="Traditional Arabic"/>
          <w:color w:val="1A1A1A"/>
          <w:sz w:val="28"/>
          <w:szCs w:val="28"/>
          <w:rtl/>
        </w:rPr>
        <w:t xml:space="preserve"> جاداً بأن علم النفس الاستخلافي ليس "إسلاماً" لعلم نفس غربي، بل بناء مستقل لموضوعه ومنهجه من الأساس، وهو ادّعاء يستحق أن يُختبر بمعايير صرامة أعلى مما نال حتى الآن (انظر المبحث 2.2).</w:t>
      </w:r>
    </w:p>
    <w:p w14:paraId="32F390C6"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 xml:space="preserve">1.4 التماسك الأنطولوجي: البنية </w:t>
      </w:r>
      <w:proofErr w:type="spellStart"/>
      <w:r>
        <w:rPr>
          <w:rFonts w:ascii="Traditional Arabic" w:eastAsia="Traditional Arabic" w:hAnsi="Traditional Arabic" w:cs="Traditional Arabic"/>
          <w:b/>
          <w:bCs/>
          <w:color w:val="0E5C5C"/>
          <w:sz w:val="30"/>
          <w:szCs w:val="30"/>
          <w:rtl/>
        </w:rPr>
        <w:t>المفاهيمية</w:t>
      </w:r>
      <w:proofErr w:type="spellEnd"/>
      <w:r>
        <w:rPr>
          <w:rFonts w:ascii="Traditional Arabic" w:eastAsia="Traditional Arabic" w:hAnsi="Traditional Arabic" w:cs="Traditional Arabic"/>
          <w:b/>
          <w:bCs/>
          <w:color w:val="0E5C5C"/>
          <w:sz w:val="30"/>
          <w:szCs w:val="30"/>
          <w:rtl/>
        </w:rPr>
        <w:t xml:space="preserve"> الداخلية للمشروع</w:t>
      </w:r>
    </w:p>
    <w:p w14:paraId="4505CFED"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وثمة مبحث رابع لا يقل أهمية عن سابقيه، وإن كان أقل بروزاً في القراءات السابقة للمشروع، وهو ما يمكن تسميته بـ"التماسك الأنطولوجي" لجهازه </w:t>
      </w:r>
      <w:proofErr w:type="spellStart"/>
      <w:r>
        <w:rPr>
          <w:rFonts w:ascii="Traditional Arabic" w:eastAsia="Traditional Arabic" w:hAnsi="Traditional Arabic" w:cs="Traditional Arabic"/>
          <w:color w:val="1A1A1A"/>
          <w:sz w:val="28"/>
          <w:szCs w:val="28"/>
          <w:rtl/>
        </w:rPr>
        <w:t>المفاهيمي</w:t>
      </w:r>
      <w:proofErr w:type="spellEnd"/>
      <w:r>
        <w:rPr>
          <w:rFonts w:ascii="Traditional Arabic" w:eastAsia="Traditional Arabic" w:hAnsi="Traditional Arabic" w:cs="Traditional Arabic"/>
          <w:color w:val="1A1A1A"/>
          <w:sz w:val="28"/>
          <w:szCs w:val="28"/>
          <w:rtl/>
        </w:rPr>
        <w:t>. فخلافاً لكثير من محاولات "التأصيل الإسلامي" للعلوم الإنسانية التي تنتج مجموعة مفاهيم متناثرة دون رابط نظري واضح بينها، تُظهر مفاهيم الزراع (الفصام الأخلاقي، الديون النفسية الوهمية، استعمار الانتباه، خريطة الدين النفسي) ترابطاً بنيوياً واضحاً: فكلها تصدر عن أنطولوجيا واحدة للنفس البشرية قوامها ثنائية الفطرة/الانحراف، وكلها تتقاطع في نقطة واحدة هي أن الاضطراب النفسي المعاصر ناتج، في جوهره، عن انقطاع الصلة بين الذات ووظيفتها الاستخلافية.</w:t>
      </w:r>
    </w:p>
    <w:p w14:paraId="0B068254"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وهذا التماسك البنيوي هو ما يمنح المشروع، من الناحية المعرفية الصرفة، أهلية حقيقية لأن يُصنَّف كمحاولة "</w:t>
      </w:r>
      <w:proofErr w:type="spellStart"/>
      <w:r>
        <w:rPr>
          <w:rFonts w:ascii="Traditional Arabic" w:eastAsia="Traditional Arabic" w:hAnsi="Traditional Arabic" w:cs="Traditional Arabic"/>
          <w:color w:val="1A1A1A"/>
          <w:sz w:val="28"/>
          <w:szCs w:val="28"/>
          <w:rtl/>
        </w:rPr>
        <w:t>برادايم</w:t>
      </w:r>
      <w:proofErr w:type="spellEnd"/>
      <w:r>
        <w:rPr>
          <w:rFonts w:ascii="Traditional Arabic" w:eastAsia="Traditional Arabic" w:hAnsi="Traditional Arabic" w:cs="Traditional Arabic"/>
          <w:color w:val="1A1A1A"/>
          <w:sz w:val="28"/>
          <w:szCs w:val="28"/>
          <w:rtl/>
        </w:rPr>
        <w:t xml:space="preserve">" بالمعنى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الدقيق، لا مجرد مجموعة اجتهادات متفرقة؛ إذ يشترط كون في تعريفه </w:t>
      </w:r>
      <w:proofErr w:type="spellStart"/>
      <w:r>
        <w:rPr>
          <w:rFonts w:ascii="Traditional Arabic" w:eastAsia="Traditional Arabic" w:hAnsi="Traditional Arabic" w:cs="Traditional Arabic"/>
          <w:color w:val="1A1A1A"/>
          <w:sz w:val="28"/>
          <w:szCs w:val="28"/>
          <w:rtl/>
        </w:rPr>
        <w:t>للبرادايم</w:t>
      </w:r>
      <w:proofErr w:type="spellEnd"/>
      <w:r>
        <w:rPr>
          <w:rFonts w:ascii="Traditional Arabic" w:eastAsia="Traditional Arabic" w:hAnsi="Traditional Arabic" w:cs="Traditional Arabic"/>
          <w:color w:val="1A1A1A"/>
          <w:sz w:val="28"/>
          <w:szCs w:val="28"/>
          <w:rtl/>
        </w:rPr>
        <w:t xml:space="preserve"> أن يقدّم "إنجازاً" (</w:t>
      </w:r>
      <w:proofErr w:type="spellStart"/>
      <w:r>
        <w:rPr>
          <w:rFonts w:ascii="Traditional Arabic" w:eastAsia="Traditional Arabic" w:hAnsi="Traditional Arabic" w:cs="Traditional Arabic"/>
          <w:color w:val="1A1A1A"/>
          <w:sz w:val="28"/>
          <w:szCs w:val="28"/>
          <w:rtl/>
        </w:rPr>
        <w:t>Achievement</w:t>
      </w:r>
      <w:proofErr w:type="spellEnd"/>
      <w:r>
        <w:rPr>
          <w:rFonts w:ascii="Traditional Arabic" w:eastAsia="Traditional Arabic" w:hAnsi="Traditional Arabic" w:cs="Traditional Arabic"/>
          <w:color w:val="1A1A1A"/>
          <w:sz w:val="28"/>
          <w:szCs w:val="28"/>
          <w:rtl/>
        </w:rPr>
        <w:t>) يوفّر نموذجاً متماسكاً لطرح الأسئلة وحل المشكلات ضمن الجماعة العلمية التي تتبنّاه — وهو شرط تبدو المادة الخام لمشروع الزراع مستوفية له من الناحية الداخلية، وإن ظلّت مسألة اعتراف "الجماعة العلمية" به معلّقة، وهي بيت القصيد في الفصل التالي.</w:t>
      </w:r>
    </w:p>
    <w:p w14:paraId="13C29215"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الفصل الثاني. العوائق والتحديات: الفجوة بين الطموح والواقع</w:t>
      </w:r>
    </w:p>
    <w:p w14:paraId="2A6AE0A2"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2.1 الفردية وغياب المأسسة: مشروع بلا جيش</w:t>
      </w:r>
    </w:p>
    <w:p w14:paraId="613878BF"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العائق الأول والأكبر، كما يلاحظ النقاد، هو الطابع الفردي الغالب على المشروع. فالزراع، حتى الآن، هو المنتج والموزّع والمدافع الوحيد تقريباً عن أفكاره. وهو يفتقر إلى المؤسسة الأكاديمية أو البحثية التي ترعاه وتوفّر له الموارد والمساعدين والطلاب. وهذا، كما يؤكد علماء الاجتماع، يشكّل عائقاً كبيراً أمام انتشار المشروع واستمراريته وتطوره [590، 707].</w:t>
      </w:r>
    </w:p>
    <w:p w14:paraId="4E7D25AE"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وبلغة </w:t>
      </w:r>
      <w:proofErr w:type="spellStart"/>
      <w:r>
        <w:rPr>
          <w:rFonts w:ascii="Traditional Arabic" w:eastAsia="Traditional Arabic" w:hAnsi="Traditional Arabic" w:cs="Traditional Arabic"/>
          <w:color w:val="1A1A1A"/>
          <w:sz w:val="28"/>
          <w:szCs w:val="28"/>
          <w:rtl/>
        </w:rPr>
        <w:t>بورديو</w:t>
      </w:r>
      <w:proofErr w:type="spellEnd"/>
      <w:r>
        <w:rPr>
          <w:rFonts w:ascii="Traditional Arabic" w:eastAsia="Traditional Arabic" w:hAnsi="Traditional Arabic" w:cs="Traditional Arabic"/>
          <w:color w:val="1A1A1A"/>
          <w:sz w:val="28"/>
          <w:szCs w:val="28"/>
          <w:rtl/>
        </w:rPr>
        <w:t>، فإن الزراع يفتقر إلى ما يسميه "رأس المال المؤسسي" (</w:t>
      </w:r>
      <w:proofErr w:type="spellStart"/>
      <w:r>
        <w:rPr>
          <w:rFonts w:ascii="Traditional Arabic" w:eastAsia="Traditional Arabic" w:hAnsi="Traditional Arabic" w:cs="Traditional Arabic"/>
          <w:color w:val="1A1A1A"/>
          <w:sz w:val="28"/>
          <w:szCs w:val="28"/>
          <w:rtl/>
        </w:rPr>
        <w:t>Capital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Institutionnel</w:t>
      </w:r>
      <w:proofErr w:type="spellEnd"/>
      <w:r>
        <w:rPr>
          <w:rFonts w:ascii="Traditional Arabic" w:eastAsia="Traditional Arabic" w:hAnsi="Traditional Arabic" w:cs="Traditional Arabic"/>
          <w:color w:val="1A1A1A"/>
          <w:sz w:val="28"/>
          <w:szCs w:val="28"/>
          <w:rtl/>
        </w:rPr>
        <w:t>)، أي الموقع الرسمي داخل حقل أكاديمي معترف به (جامعة، مركز بحثي، هيئة علمية) الذي يمنح صاحبه سلطة رمزية مستقلة عن قيمة أفكاره الجوهرية. فداخل أي حقل علمي، لا يكفي أن تكون الفكرة صحيحة لكي تُقبل؛ بل يحتاج صاحبها إلى موقع يمكّنه من "فرض" تعريفه لقواعد اللعبة العلمية ذاتها — وهو ما يفتقر إليه الزراع حالياً بشكل شبه كامل [</w:t>
      </w:r>
      <w:proofErr w:type="spellStart"/>
      <w:r>
        <w:rPr>
          <w:rFonts w:ascii="Traditional Arabic" w:eastAsia="Traditional Arabic" w:hAnsi="Traditional Arabic" w:cs="Traditional Arabic"/>
          <w:color w:val="1A1A1A"/>
          <w:sz w:val="28"/>
          <w:szCs w:val="28"/>
          <w:rtl/>
        </w:rPr>
        <w:t>Bourdieu</w:t>
      </w:r>
      <w:proofErr w:type="spellEnd"/>
      <w:r>
        <w:rPr>
          <w:rFonts w:ascii="Traditional Arabic" w:eastAsia="Traditional Arabic" w:hAnsi="Traditional Arabic" w:cs="Traditional Arabic"/>
          <w:color w:val="1A1A1A"/>
          <w:sz w:val="28"/>
          <w:szCs w:val="28"/>
          <w:rtl/>
        </w:rPr>
        <w:t>, 1984]. وتترتّب على هذا الغياب المؤسسي مخاطر إضافية تتجاوز مجرد بطء الانتشار، منها هشاشة استمرارية الم</w:t>
      </w:r>
      <w:r>
        <w:rPr>
          <w:rFonts w:ascii="Traditional Arabic" w:eastAsia="Traditional Arabic" w:hAnsi="Traditional Arabic" w:cs="Traditional Arabic"/>
          <w:color w:val="1A1A1A"/>
          <w:sz w:val="28"/>
          <w:szCs w:val="28"/>
          <w:rtl/>
        </w:rPr>
        <w:t>شروع أمام أي طارئ يصيب مؤسسه الفرد — وهي نقطة ستُستأنف في المبحث 2.3.</w:t>
      </w:r>
    </w:p>
    <w:p w14:paraId="321B6C70"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2.2 غياب المراجعة النقدية الكبرى: الحوار مع الآخر واختبار الأفكار</w:t>
      </w:r>
    </w:p>
    <w:p w14:paraId="611BD190"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العائق الثاني هو قلّة الدراسات النقدية الموضوعية التي تناقش أطروحات الزراع — لا للدفاع عنها أو للهجوم عليها، بل لفحصها واختبارها وبيان حدودها. فالمشروع، حتى الآن، يتحرك بشكل أساسي في فضاء المتابعين والمهتمين، ولم يخضع بشكل كافٍ لنقد الأوساط الأكاديمية العالمية أو المدارس النفسية الأخرى. وهذا الانغلاق النسبي يُضعف من مصداقيته ويعيق تطوره.</w:t>
      </w:r>
    </w:p>
    <w:p w14:paraId="03436918"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ومن زاوية فلسفة العلم، فإن هذا الغياب يمثّل مشكلة أعمق مما يبدو للوهلة الأولى: فبحسب كارل بوبر، لا تكتسب النظرية قوتها من عدد أنصارها بل من قدرتها على الصمود أمام محاولات جادّة لدحضها؛ وبحسب إمري </w:t>
      </w:r>
      <w:proofErr w:type="spellStart"/>
      <w:r>
        <w:rPr>
          <w:rFonts w:ascii="Traditional Arabic" w:eastAsia="Traditional Arabic" w:hAnsi="Traditional Arabic" w:cs="Traditional Arabic"/>
          <w:color w:val="1A1A1A"/>
          <w:sz w:val="28"/>
          <w:szCs w:val="28"/>
          <w:rtl/>
        </w:rPr>
        <w:t>لاكاتوش</w:t>
      </w:r>
      <w:proofErr w:type="spellEnd"/>
      <w:r>
        <w:rPr>
          <w:rFonts w:ascii="Traditional Arabic" w:eastAsia="Traditional Arabic" w:hAnsi="Traditional Arabic" w:cs="Traditional Arabic"/>
          <w:color w:val="1A1A1A"/>
          <w:sz w:val="28"/>
          <w:szCs w:val="28"/>
          <w:rtl/>
        </w:rPr>
        <w:t>، لا يُحكم على "برنامج بحثي" بالتقدّم أو التراجع إلا من خلال مقارنته التنافسية مع برامج بحثية بديلة داخل الحقل نفسه. وبما أن TLRT لم تخضع بعد لدراسات مقارنة صارمة مع بروتوكولات علاجية أخرى (العلاج المعرفي السلوكي، العلاج بالمعنى، العلاج النفسي الديناميكي) وفق تصاميم بحثية منضبطة (كالتجارب العشوائية المحكومة)، فإن الحكم على فعاليته العلاجية النسبية يبقى، من الناحية المنهجية الصارمة، حكماً مؤجّلاً لا يمكن لأنصار المشروع ولا لخصومه أن يبتّوا فيه بشكل نهائي في المرحلة الراهنة.</w:t>
      </w:r>
    </w:p>
    <w:p w14:paraId="4C2360C9"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 xml:space="preserve">2.3 شبح </w:t>
      </w:r>
      <w:proofErr w:type="spellStart"/>
      <w:r>
        <w:rPr>
          <w:rFonts w:ascii="Traditional Arabic" w:eastAsia="Traditional Arabic" w:hAnsi="Traditional Arabic" w:cs="Traditional Arabic"/>
          <w:b/>
          <w:bCs/>
          <w:color w:val="0E5C5C"/>
          <w:sz w:val="30"/>
          <w:szCs w:val="30"/>
          <w:rtl/>
        </w:rPr>
        <w:t>الأسلمة</w:t>
      </w:r>
      <w:proofErr w:type="spellEnd"/>
      <w:r>
        <w:rPr>
          <w:rFonts w:ascii="Traditional Arabic" w:eastAsia="Traditional Arabic" w:hAnsi="Traditional Arabic" w:cs="Traditional Arabic"/>
          <w:b/>
          <w:bCs/>
          <w:color w:val="0E5C5C"/>
          <w:sz w:val="30"/>
          <w:szCs w:val="30"/>
          <w:rtl/>
        </w:rPr>
        <w:t xml:space="preserve"> السطحية: خطر اختطاف المشروع وتسطيحه</w:t>
      </w:r>
    </w:p>
    <w:p w14:paraId="0444D92A"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العائق الثالث، والأخطر، هو خطر أن يُختطف المشروع من قبل تيارات التدين الشكلي </w:t>
      </w:r>
      <w:proofErr w:type="spellStart"/>
      <w:r>
        <w:rPr>
          <w:rFonts w:ascii="Traditional Arabic" w:eastAsia="Traditional Arabic" w:hAnsi="Traditional Arabic" w:cs="Traditional Arabic"/>
          <w:color w:val="1A1A1A"/>
          <w:sz w:val="28"/>
          <w:szCs w:val="28"/>
          <w:rtl/>
        </w:rPr>
        <w:t>والأسلمة</w:t>
      </w:r>
      <w:proofErr w:type="spellEnd"/>
      <w:r>
        <w:rPr>
          <w:rFonts w:ascii="Traditional Arabic" w:eastAsia="Traditional Arabic" w:hAnsi="Traditional Arabic" w:cs="Traditional Arabic"/>
          <w:color w:val="1A1A1A"/>
          <w:sz w:val="28"/>
          <w:szCs w:val="28"/>
          <w:rtl/>
        </w:rPr>
        <w:t xml:space="preserve"> السطحية، فيتم تسطيحه وتحويله إلى مجرد شعارات ووعظ، دون التقيّد بصرامته المنهجية وعمقه الفلسفي. والزراع، كما يبدو، واعٍ بهذا الخطر، ويحاول جاهداً أن يحمي مشروعه منه عبر التأكيد على القطيعة </w:t>
      </w:r>
      <w:proofErr w:type="spellStart"/>
      <w:r>
        <w:rPr>
          <w:rFonts w:ascii="Traditional Arabic" w:eastAsia="Traditional Arabic" w:hAnsi="Traditional Arabic" w:cs="Traditional Arabic"/>
          <w:color w:val="1A1A1A"/>
          <w:sz w:val="28"/>
          <w:szCs w:val="28"/>
          <w:rtl/>
        </w:rPr>
        <w:t>الإبستمولوجية</w:t>
      </w:r>
      <w:proofErr w:type="spellEnd"/>
      <w:r>
        <w:rPr>
          <w:rFonts w:ascii="Traditional Arabic" w:eastAsia="Traditional Arabic" w:hAnsi="Traditional Arabic" w:cs="Traditional Arabic"/>
          <w:color w:val="1A1A1A"/>
          <w:sz w:val="28"/>
          <w:szCs w:val="28"/>
          <w:rtl/>
        </w:rPr>
        <w:t xml:space="preserve"> ورفض التلفيق. لكن التاريخ يخبرنا أن الأفكار غالباً ما تُختطف وتُشوَّه بعد موت أصحابها، إن لم يتم ترسيخها في مؤسسات قوية ومستقلة.</w:t>
      </w:r>
    </w:p>
    <w:p w14:paraId="604BD814"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ويكتسب هذا العائق حدّته من ترابطه المباشر بعائق الفردية (2.1): فغياب المأسسة لا يهدّد فقط استمرارية المشروع، بل يهدّد أيضاً "نقاءه" </w:t>
      </w:r>
      <w:proofErr w:type="spellStart"/>
      <w:r>
        <w:rPr>
          <w:rFonts w:ascii="Traditional Arabic" w:eastAsia="Traditional Arabic" w:hAnsi="Traditional Arabic" w:cs="Traditional Arabic"/>
          <w:color w:val="1A1A1A"/>
          <w:sz w:val="28"/>
          <w:szCs w:val="28"/>
          <w:rtl/>
        </w:rPr>
        <w:t>المفاهيمي</w:t>
      </w:r>
      <w:proofErr w:type="spellEnd"/>
      <w:r>
        <w:rPr>
          <w:rFonts w:ascii="Traditional Arabic" w:eastAsia="Traditional Arabic" w:hAnsi="Traditional Arabic" w:cs="Traditional Arabic"/>
          <w:color w:val="1A1A1A"/>
          <w:sz w:val="28"/>
          <w:szCs w:val="28"/>
          <w:rtl/>
        </w:rPr>
        <w:t xml:space="preserve">، إذ إن المؤسسة — بما </w:t>
      </w:r>
      <w:proofErr w:type="spellStart"/>
      <w:r>
        <w:rPr>
          <w:rFonts w:ascii="Traditional Arabic" w:eastAsia="Traditional Arabic" w:hAnsi="Traditional Arabic" w:cs="Traditional Arabic"/>
          <w:color w:val="1A1A1A"/>
          <w:sz w:val="28"/>
          <w:szCs w:val="28"/>
          <w:rtl/>
        </w:rPr>
        <w:t>تتيحه</w:t>
      </w:r>
      <w:proofErr w:type="spellEnd"/>
      <w:r>
        <w:rPr>
          <w:rFonts w:ascii="Traditional Arabic" w:eastAsia="Traditional Arabic" w:hAnsi="Traditional Arabic" w:cs="Traditional Arabic"/>
          <w:color w:val="1A1A1A"/>
          <w:sz w:val="28"/>
          <w:szCs w:val="28"/>
          <w:rtl/>
        </w:rPr>
        <w:t xml:space="preserve"> من آليات ضبط جماعية (لجان علمية، معايير تحرير، هيئات تدريب واعتماد) — هي الحارس الطبيعي لصرامة أي مدرسة فكرية بعد اتساع دائرة أتباعها. وبدون هذا الحارس المؤسسي، يظل المشروع رهين وعي الفرد المؤسس وحده، وهو رهان محفوف بالمخاطر على المدى الطويل مهما بلغت يقظة هذا الفرد.</w:t>
      </w:r>
    </w:p>
    <w:p w14:paraId="58AD5D77"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 xml:space="preserve">2.4 غياب البنية التحتية المعرفية بالمعنى </w:t>
      </w:r>
      <w:proofErr w:type="spellStart"/>
      <w:r>
        <w:rPr>
          <w:rFonts w:ascii="Traditional Arabic" w:eastAsia="Traditional Arabic" w:hAnsi="Traditional Arabic" w:cs="Traditional Arabic"/>
          <w:b/>
          <w:bCs/>
          <w:color w:val="0E5C5C"/>
          <w:sz w:val="30"/>
          <w:szCs w:val="30"/>
          <w:rtl/>
        </w:rPr>
        <w:t>الكوهني</w:t>
      </w:r>
      <w:proofErr w:type="spellEnd"/>
    </w:p>
    <w:p w14:paraId="0DE79525"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ويمكن، بالعودة إلى الإطار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الذي افتُتحت به هذه الدراسة، تفصيل عائق المأسسة إلى مكوّناته البنيوية الدقيقة. يشترط كون لقيام "علم سويّ" حول أي </w:t>
      </w:r>
      <w:proofErr w:type="spellStart"/>
      <w:r>
        <w:rPr>
          <w:rFonts w:ascii="Traditional Arabic" w:eastAsia="Traditional Arabic" w:hAnsi="Traditional Arabic" w:cs="Traditional Arabic"/>
          <w:color w:val="1A1A1A"/>
          <w:sz w:val="28"/>
          <w:szCs w:val="28"/>
          <w:rtl/>
        </w:rPr>
        <w:t>برادايم</w:t>
      </w:r>
      <w:proofErr w:type="spellEnd"/>
      <w:r>
        <w:rPr>
          <w:rFonts w:ascii="Traditional Arabic" w:eastAsia="Traditional Arabic" w:hAnsi="Traditional Arabic" w:cs="Traditional Arabic"/>
          <w:color w:val="1A1A1A"/>
          <w:sz w:val="28"/>
          <w:szCs w:val="28"/>
          <w:rtl/>
        </w:rPr>
        <w:t xml:space="preserve"> جديد توفّر أربعة عناصر بنيوية مترابطة: (1) مجتمع علمي (</w:t>
      </w:r>
      <w:proofErr w:type="spellStart"/>
      <w:r>
        <w:rPr>
          <w:rFonts w:ascii="Traditional Arabic" w:eastAsia="Traditional Arabic" w:hAnsi="Traditional Arabic" w:cs="Traditional Arabic"/>
          <w:color w:val="1A1A1A"/>
          <w:sz w:val="28"/>
          <w:szCs w:val="28"/>
          <w:rtl/>
        </w:rPr>
        <w:t>Scientific</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Community</w:t>
      </w:r>
      <w:proofErr w:type="spellEnd"/>
      <w:r>
        <w:rPr>
          <w:rFonts w:ascii="Traditional Arabic" w:eastAsia="Traditional Arabic" w:hAnsi="Traditional Arabic" w:cs="Traditional Arabic"/>
          <w:color w:val="1A1A1A"/>
          <w:sz w:val="28"/>
          <w:szCs w:val="28"/>
          <w:rtl/>
        </w:rPr>
        <w:t>) من الباحثين المشتغلين بالإطار ذاته ومن مواقع مؤسسية متعددة لا من موقع فردي واحد؛ (2) دوريات محكّمة (</w:t>
      </w:r>
      <w:proofErr w:type="spellStart"/>
      <w:r>
        <w:rPr>
          <w:rFonts w:ascii="Traditional Arabic" w:eastAsia="Traditional Arabic" w:hAnsi="Traditional Arabic" w:cs="Traditional Arabic"/>
          <w:color w:val="1A1A1A"/>
          <w:sz w:val="28"/>
          <w:szCs w:val="28"/>
          <w:rtl/>
        </w:rPr>
        <w:t>Peer-Reviewed</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Journals</w:t>
      </w:r>
      <w:proofErr w:type="spellEnd"/>
      <w:r>
        <w:rPr>
          <w:rFonts w:ascii="Traditional Arabic" w:eastAsia="Traditional Arabic" w:hAnsi="Traditional Arabic" w:cs="Traditional Arabic"/>
          <w:color w:val="1A1A1A"/>
          <w:sz w:val="28"/>
          <w:szCs w:val="28"/>
          <w:rtl/>
        </w:rPr>
        <w:t>) تتيح تراكم المعرفة عبر آلية نقد جماعي منظّم؛ (3) كتب مرجعية ومناهج تعليمية (</w:t>
      </w:r>
      <w:proofErr w:type="spellStart"/>
      <w:r>
        <w:rPr>
          <w:rFonts w:ascii="Traditional Arabic" w:eastAsia="Traditional Arabic" w:hAnsi="Traditional Arabic" w:cs="Traditional Arabic"/>
          <w:color w:val="1A1A1A"/>
          <w:sz w:val="28"/>
          <w:szCs w:val="28"/>
          <w:rtl/>
        </w:rPr>
        <w:t>Textbooks</w:t>
      </w:r>
      <w:proofErr w:type="spellEnd"/>
      <w:r>
        <w:rPr>
          <w:rFonts w:ascii="Traditional Arabic" w:eastAsia="Traditional Arabic" w:hAnsi="Traditional Arabic" w:cs="Traditional Arabic"/>
          <w:color w:val="1A1A1A"/>
          <w:sz w:val="28"/>
          <w:szCs w:val="28"/>
          <w:rtl/>
        </w:rPr>
        <w:t>) تُدرَّس لأجيال متعاقبة من الطلبة؛ (4) مؤتمرات ولقاءات علمية دورية تتيح التواصل والتفاعل بين أعض</w:t>
      </w:r>
      <w:r>
        <w:rPr>
          <w:rFonts w:ascii="Traditional Arabic" w:eastAsia="Traditional Arabic" w:hAnsi="Traditional Arabic" w:cs="Traditional Arabic"/>
          <w:color w:val="1A1A1A"/>
          <w:sz w:val="28"/>
          <w:szCs w:val="28"/>
          <w:rtl/>
        </w:rPr>
        <w:t>اء المجتمع العلمي.</w:t>
      </w:r>
    </w:p>
    <w:p w14:paraId="08516A09"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وبقياس مشروع الزراع على هذه المعايير الأربعة، يتضح أن العنصرين الثالث والرابع (النصوص الإجرائية كدليل TLRT، والحضور الرقمي عبر الموقع والمحتوى) متوفران بشكل أوّلي، بينما العنصران الأول والثاني (مجتمع علمي متعدد المواقع، ودوريات محكّمة) لا يزالان غائبين بشكل يكاد يكون كاملاً. وهذا التشخيص الدقيق يحوّل عائق "المأسسة" العام إلى أولويات عملية محدّدة يمكن البناء عليها، كما سيُفصَّل في الفصل الرابع.</w:t>
      </w:r>
    </w:p>
    <w:p w14:paraId="365D9A96"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2.5 عائق اللغة والترجمة: أسْر الخطاب داخل الدائرة العربية</w:t>
      </w:r>
    </w:p>
    <w:p w14:paraId="400032A0"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ويضاف إلى العوائق السابقة عائق قلّما يُلتفت إليه رغم أهميته البالغة: فالمشروع، بحكم لغته العربية الأصيلة وموضوعه المتجذّر في التراث الإسلامي، يظل بمنأى شبه كامل عن دوائر النقاش الأكاديمي العالمي الناطقة بالإنجليزية، حيث تُصاغ اليوم معظم معايير "الاعتراف" في حقل علم النفس والعلاج النفسي الدوليين. فحتى المفاهيم الأصيلة والعميقة تبقى حبيسة سوقها المحلي ما لم تُترجم بدقة اصطلاحية عالية إلى اللغات الأكاديمية المهيمنة، وتُنشر في أوعية نشر معترف بها دولياً (مجلات مفهرسة، دور نشر أكاديمية كبرى). وهذا العائق اللغوي،</w:t>
      </w:r>
      <w:r>
        <w:rPr>
          <w:rFonts w:ascii="Traditional Arabic" w:eastAsia="Traditional Arabic" w:hAnsi="Traditional Arabic" w:cs="Traditional Arabic"/>
          <w:color w:val="1A1A1A"/>
          <w:sz w:val="28"/>
          <w:szCs w:val="28"/>
          <w:rtl/>
        </w:rPr>
        <w:t xml:space="preserve"> وإن بدا تقنياً، هو في جوهره عائق سوسيولوجي بامتياز، إذ يتعلق مباشرة بما يسميه </w:t>
      </w:r>
      <w:proofErr w:type="spellStart"/>
      <w:r>
        <w:rPr>
          <w:rFonts w:ascii="Traditional Arabic" w:eastAsia="Traditional Arabic" w:hAnsi="Traditional Arabic" w:cs="Traditional Arabic"/>
          <w:color w:val="1A1A1A"/>
          <w:sz w:val="28"/>
          <w:szCs w:val="28"/>
          <w:rtl/>
        </w:rPr>
        <w:t>بورديو</w:t>
      </w:r>
      <w:proofErr w:type="spellEnd"/>
      <w:r>
        <w:rPr>
          <w:rFonts w:ascii="Traditional Arabic" w:eastAsia="Traditional Arabic" w:hAnsi="Traditional Arabic" w:cs="Traditional Arabic"/>
          <w:color w:val="1A1A1A"/>
          <w:sz w:val="28"/>
          <w:szCs w:val="28"/>
          <w:rtl/>
        </w:rPr>
        <w:t xml:space="preserve"> "سوق التداول الرمزي" (</w:t>
      </w:r>
      <w:proofErr w:type="spellStart"/>
      <w:r>
        <w:rPr>
          <w:rFonts w:ascii="Traditional Arabic" w:eastAsia="Traditional Arabic" w:hAnsi="Traditional Arabic" w:cs="Traditional Arabic"/>
          <w:color w:val="1A1A1A"/>
          <w:sz w:val="28"/>
          <w:szCs w:val="28"/>
          <w:rtl/>
        </w:rPr>
        <w:t>Marché</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des</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biens</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symboliques</w:t>
      </w:r>
      <w:proofErr w:type="spellEnd"/>
      <w:r>
        <w:rPr>
          <w:rFonts w:ascii="Traditional Arabic" w:eastAsia="Traditional Arabic" w:hAnsi="Traditional Arabic" w:cs="Traditional Arabic"/>
          <w:color w:val="1A1A1A"/>
          <w:sz w:val="28"/>
          <w:szCs w:val="28"/>
          <w:rtl/>
        </w:rPr>
        <w:t>) الذي يحدد أي الأفكار تصل إلى أي الجماهير، وبأي لغة.</w:t>
      </w:r>
    </w:p>
    <w:p w14:paraId="62A2FE90"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الفصل الثالث. دراسات حالة مقارنة في المأسسة: كيف عبرت مشاريع فردية أخرى العتبة</w:t>
      </w:r>
    </w:p>
    <w:p w14:paraId="220CBD5F"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لتفادي الوقوع في حكم تشاؤمي مطلق، تقترح هذه الدراسة الموسّعة تحليل أربع حالات مقارنة لمشاريع فردية واجهت إشكالية مشابهة لإشكالية الزراع، وتجاوزت بعضها — بدرجات متفاوتة — عتبة المأسسة، بما يتيح استخلاص دروس عملية قابلة للتطبيق.</w:t>
      </w:r>
    </w:p>
    <w:p w14:paraId="5DC99DEE"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 xml:space="preserve">3.1 مارتن </w:t>
      </w:r>
      <w:proofErr w:type="spellStart"/>
      <w:r>
        <w:rPr>
          <w:rFonts w:ascii="Traditional Arabic" w:eastAsia="Traditional Arabic" w:hAnsi="Traditional Arabic" w:cs="Traditional Arabic"/>
          <w:b/>
          <w:bCs/>
          <w:color w:val="0E5C5C"/>
          <w:sz w:val="30"/>
          <w:szCs w:val="30"/>
          <w:rtl/>
        </w:rPr>
        <w:t>سليجمان</w:t>
      </w:r>
      <w:proofErr w:type="spellEnd"/>
      <w:r>
        <w:rPr>
          <w:rFonts w:ascii="Traditional Arabic" w:eastAsia="Traditional Arabic" w:hAnsi="Traditional Arabic" w:cs="Traditional Arabic"/>
          <w:b/>
          <w:bCs/>
          <w:color w:val="0E5C5C"/>
          <w:sz w:val="30"/>
          <w:szCs w:val="30"/>
          <w:rtl/>
        </w:rPr>
        <w:t xml:space="preserve"> وعلم النفس الإيجابي: من مبادرة فردية إلى مؤسسة عالمية</w:t>
      </w:r>
    </w:p>
    <w:p w14:paraId="1ABCAB0D"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يقدّم مسار مارتن </w:t>
      </w:r>
      <w:proofErr w:type="spellStart"/>
      <w:r>
        <w:rPr>
          <w:rFonts w:ascii="Traditional Arabic" w:eastAsia="Traditional Arabic" w:hAnsi="Traditional Arabic" w:cs="Traditional Arabic"/>
          <w:color w:val="1A1A1A"/>
          <w:sz w:val="28"/>
          <w:szCs w:val="28"/>
          <w:rtl/>
        </w:rPr>
        <w:t>سليجمان</w:t>
      </w:r>
      <w:proofErr w:type="spellEnd"/>
      <w:r>
        <w:rPr>
          <w:rFonts w:ascii="Traditional Arabic" w:eastAsia="Traditional Arabic" w:hAnsi="Traditional Arabic" w:cs="Traditional Arabic"/>
          <w:color w:val="1A1A1A"/>
          <w:sz w:val="28"/>
          <w:szCs w:val="28"/>
          <w:rtl/>
        </w:rPr>
        <w:t xml:space="preserve"> نموذجاً دالاً: فحين أطلق مفهوم "علم النفس الإيجابي" أواخر التسعينيات، كان الفكرة الأساسية شخصية إلى حدّ بعيد. غير أن </w:t>
      </w:r>
      <w:proofErr w:type="spellStart"/>
      <w:r>
        <w:rPr>
          <w:rFonts w:ascii="Traditional Arabic" w:eastAsia="Traditional Arabic" w:hAnsi="Traditional Arabic" w:cs="Traditional Arabic"/>
          <w:color w:val="1A1A1A"/>
          <w:sz w:val="28"/>
          <w:szCs w:val="28"/>
          <w:rtl/>
        </w:rPr>
        <w:t>سليجمان</w:t>
      </w:r>
      <w:proofErr w:type="spellEnd"/>
      <w:r>
        <w:rPr>
          <w:rFonts w:ascii="Traditional Arabic" w:eastAsia="Traditional Arabic" w:hAnsi="Traditional Arabic" w:cs="Traditional Arabic"/>
          <w:color w:val="1A1A1A"/>
          <w:sz w:val="28"/>
          <w:szCs w:val="28"/>
          <w:rtl/>
        </w:rPr>
        <w:t xml:space="preserve"> — بخلاف كثير من المنظّرين الأفراد — استثمر موقعه المؤسسي القائم أصلاً (رئاسة الجمعية الأمريكية لعلم النفس APA عام 1998) ليطلق، عبر هذا الموقع الرمزي المكتسب سلفاً، شبكة من المراكز البحثية (مركز علم النفس الإيجابي بجامعة بنسلفانيا)، وبرامج ماجستير متخصصة، ومجلة علمية محكّمة (</w:t>
      </w:r>
      <w:proofErr w:type="spellStart"/>
      <w:r>
        <w:rPr>
          <w:rFonts w:ascii="Traditional Arabic" w:eastAsia="Traditional Arabic" w:hAnsi="Traditional Arabic" w:cs="Traditional Arabic"/>
          <w:color w:val="1A1A1A"/>
          <w:sz w:val="28"/>
          <w:szCs w:val="28"/>
          <w:rtl/>
        </w:rPr>
        <w:t>Journal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of</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Positive</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Psychology</w:t>
      </w:r>
      <w:proofErr w:type="spellEnd"/>
      <w:r>
        <w:rPr>
          <w:rFonts w:ascii="Traditional Arabic" w:eastAsia="Traditional Arabic" w:hAnsi="Traditional Arabic" w:cs="Traditional Arabic"/>
          <w:color w:val="1A1A1A"/>
          <w:sz w:val="28"/>
          <w:szCs w:val="28"/>
          <w:rtl/>
        </w:rPr>
        <w:t>)، ومؤتمرات دولية دورية [</w:t>
      </w:r>
      <w:proofErr w:type="spellStart"/>
      <w:r>
        <w:rPr>
          <w:rFonts w:ascii="Traditional Arabic" w:eastAsia="Traditional Arabic" w:hAnsi="Traditional Arabic" w:cs="Traditional Arabic"/>
          <w:color w:val="1A1A1A"/>
          <w:sz w:val="28"/>
          <w:szCs w:val="28"/>
          <w:rtl/>
        </w:rPr>
        <w:t>Seligman</w:t>
      </w:r>
      <w:proofErr w:type="spellEnd"/>
      <w:r>
        <w:rPr>
          <w:rFonts w:ascii="Traditional Arabic" w:eastAsia="Traditional Arabic" w:hAnsi="Traditional Arabic" w:cs="Traditional Arabic"/>
          <w:color w:val="1A1A1A"/>
          <w:sz w:val="28"/>
          <w:szCs w:val="28"/>
          <w:rtl/>
        </w:rPr>
        <w:t>, 2002]. الدرس المستخلص هنا هو أن نقطة ال</w:t>
      </w:r>
      <w:r>
        <w:rPr>
          <w:rFonts w:ascii="Traditional Arabic" w:eastAsia="Traditional Arabic" w:hAnsi="Traditional Arabic" w:cs="Traditional Arabic"/>
          <w:color w:val="1A1A1A"/>
          <w:sz w:val="28"/>
          <w:szCs w:val="28"/>
          <w:rtl/>
        </w:rPr>
        <w:t>انطلاق نحو المأسسة غالباً ما تكون استثمار موقع مؤسسي قائم — ولو جزئياً أو مؤقتاً — لا انتظار اكتمال "النضج" الفكري أولاً.</w:t>
      </w:r>
    </w:p>
    <w:p w14:paraId="52FAC14D"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 xml:space="preserve">3.2 فيكتور </w:t>
      </w:r>
      <w:proofErr w:type="spellStart"/>
      <w:r>
        <w:rPr>
          <w:rFonts w:ascii="Traditional Arabic" w:eastAsia="Traditional Arabic" w:hAnsi="Traditional Arabic" w:cs="Traditional Arabic"/>
          <w:b/>
          <w:bCs/>
          <w:color w:val="0E5C5C"/>
          <w:sz w:val="30"/>
          <w:szCs w:val="30"/>
          <w:rtl/>
        </w:rPr>
        <w:t>فرانكل</w:t>
      </w:r>
      <w:proofErr w:type="spellEnd"/>
      <w:r>
        <w:rPr>
          <w:rFonts w:ascii="Traditional Arabic" w:eastAsia="Traditional Arabic" w:hAnsi="Traditional Arabic" w:cs="Traditional Arabic"/>
          <w:b/>
          <w:bCs/>
          <w:color w:val="0E5C5C"/>
          <w:sz w:val="30"/>
          <w:szCs w:val="30"/>
          <w:rtl/>
        </w:rPr>
        <w:t xml:space="preserve"> والعلاج بالمعنى: من تجربة المعتقل إلى معهد عالمي</w:t>
      </w:r>
    </w:p>
    <w:p w14:paraId="78D68DEC"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أما فيكتور </w:t>
      </w:r>
      <w:proofErr w:type="spellStart"/>
      <w:r>
        <w:rPr>
          <w:rFonts w:ascii="Traditional Arabic" w:eastAsia="Traditional Arabic" w:hAnsi="Traditional Arabic" w:cs="Traditional Arabic"/>
          <w:color w:val="1A1A1A"/>
          <w:sz w:val="28"/>
          <w:szCs w:val="28"/>
          <w:rtl/>
        </w:rPr>
        <w:t>فرانكل</w:t>
      </w:r>
      <w:proofErr w:type="spellEnd"/>
      <w:r>
        <w:rPr>
          <w:rFonts w:ascii="Traditional Arabic" w:eastAsia="Traditional Arabic" w:hAnsi="Traditional Arabic" w:cs="Traditional Arabic"/>
          <w:color w:val="1A1A1A"/>
          <w:sz w:val="28"/>
          <w:szCs w:val="28"/>
          <w:rtl/>
        </w:rPr>
        <w:t>، فقد صاغ "العلاج بالمعنى" (</w:t>
      </w:r>
      <w:proofErr w:type="spellStart"/>
      <w:r>
        <w:rPr>
          <w:rFonts w:ascii="Traditional Arabic" w:eastAsia="Traditional Arabic" w:hAnsi="Traditional Arabic" w:cs="Traditional Arabic"/>
          <w:color w:val="1A1A1A"/>
          <w:sz w:val="28"/>
          <w:szCs w:val="28"/>
          <w:rtl/>
        </w:rPr>
        <w:t>Logotherapy</w:t>
      </w:r>
      <w:proofErr w:type="spellEnd"/>
      <w:r>
        <w:rPr>
          <w:rFonts w:ascii="Traditional Arabic" w:eastAsia="Traditional Arabic" w:hAnsi="Traditional Arabic" w:cs="Traditional Arabic"/>
          <w:color w:val="1A1A1A"/>
          <w:sz w:val="28"/>
          <w:szCs w:val="28"/>
          <w:rtl/>
        </w:rPr>
        <w:t>) انطلاقاً من تجربة وجودية فردية قاسية في معسكرات الاعتقال النازية، وهي بداية أبعد ما تكون عن أي سند مؤسسي [</w:t>
      </w:r>
      <w:proofErr w:type="spellStart"/>
      <w:r>
        <w:rPr>
          <w:rFonts w:ascii="Traditional Arabic" w:eastAsia="Traditional Arabic" w:hAnsi="Traditional Arabic" w:cs="Traditional Arabic"/>
          <w:color w:val="1A1A1A"/>
          <w:sz w:val="28"/>
          <w:szCs w:val="28"/>
          <w:rtl/>
        </w:rPr>
        <w:t>Frankl</w:t>
      </w:r>
      <w:proofErr w:type="spellEnd"/>
      <w:r>
        <w:rPr>
          <w:rFonts w:ascii="Traditional Arabic" w:eastAsia="Traditional Arabic" w:hAnsi="Traditional Arabic" w:cs="Traditional Arabic"/>
          <w:color w:val="1A1A1A"/>
          <w:sz w:val="28"/>
          <w:szCs w:val="28"/>
          <w:rtl/>
        </w:rPr>
        <w:t>, 1946]. لكن نجاح كتابه "البحث عن المعنى" جماهيرياً وفَّر له، مع الوقت، رأس مال رمزي كافياً لتأسيس معهد فيينا للعلاج بالمعنى (</w:t>
      </w:r>
      <w:proofErr w:type="spellStart"/>
      <w:r>
        <w:rPr>
          <w:rFonts w:ascii="Traditional Arabic" w:eastAsia="Traditional Arabic" w:hAnsi="Traditional Arabic" w:cs="Traditional Arabic"/>
          <w:color w:val="1A1A1A"/>
          <w:sz w:val="28"/>
          <w:szCs w:val="28"/>
          <w:rtl/>
        </w:rPr>
        <w:t>Viktor</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Frankl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Institute</w:t>
      </w:r>
      <w:proofErr w:type="spellEnd"/>
      <w:r>
        <w:rPr>
          <w:rFonts w:ascii="Traditional Arabic" w:eastAsia="Traditional Arabic" w:hAnsi="Traditional Arabic" w:cs="Traditional Arabic"/>
          <w:color w:val="1A1A1A"/>
          <w:sz w:val="28"/>
          <w:szCs w:val="28"/>
          <w:rtl/>
        </w:rPr>
        <w:t xml:space="preserve">)، ولاحقاً شبكة معاهد فرعية في عدة دول، دون أن يمرّ بالضرورة عبر مؤسسة أكاديمية تقليدية قائمة سلفاً. الدرس هنا مختلف عن درس </w:t>
      </w:r>
      <w:proofErr w:type="spellStart"/>
      <w:r>
        <w:rPr>
          <w:rFonts w:ascii="Traditional Arabic" w:eastAsia="Traditional Arabic" w:hAnsi="Traditional Arabic" w:cs="Traditional Arabic"/>
          <w:color w:val="1A1A1A"/>
          <w:sz w:val="28"/>
          <w:szCs w:val="28"/>
          <w:rtl/>
        </w:rPr>
        <w:t>سليجمان</w:t>
      </w:r>
      <w:proofErr w:type="spellEnd"/>
      <w:r>
        <w:rPr>
          <w:rFonts w:ascii="Traditional Arabic" w:eastAsia="Traditional Arabic" w:hAnsi="Traditional Arabic" w:cs="Traditional Arabic"/>
          <w:color w:val="1A1A1A"/>
          <w:sz w:val="28"/>
          <w:szCs w:val="28"/>
          <w:rtl/>
        </w:rPr>
        <w:t>: فالمأسسة يمكن أن تُبنى "من الصفر" حول شخصية مؤسِّسة قوية، لكن بشرط تأسي</w:t>
      </w:r>
      <w:r>
        <w:rPr>
          <w:rFonts w:ascii="Traditional Arabic" w:eastAsia="Traditional Arabic" w:hAnsi="Traditional Arabic" w:cs="Traditional Arabic"/>
          <w:color w:val="1A1A1A"/>
          <w:sz w:val="28"/>
          <w:szCs w:val="28"/>
          <w:rtl/>
        </w:rPr>
        <w:t>س كيان قانوني وتعليمي مستقل مبكراً — لا الاكتفاء بالانتشار الجماهيري وحده — لضمان استمرارية الأفكار بعد صاحبها.</w:t>
      </w:r>
    </w:p>
    <w:p w14:paraId="5A0F869A"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3.3 فضل الرحمن والمعهد العالمي للفكر الإسلامي: مأسسة الإصلاح الإسلامي</w:t>
      </w:r>
    </w:p>
    <w:p w14:paraId="20ABA321"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وأقرب الحالات موضوعياً لمشروع الزراع هي حالة فضل الرحمن، أحد أبرز مفكري الإصلاح الإسلامي المعاصر، الذي طرح مشروعاً لإعادة قراءة القرآن ضمن "المنهج التاريخي" وربط الفكر الإسلامي بقضايا الحداثة [</w:t>
      </w:r>
      <w:proofErr w:type="spellStart"/>
      <w:r>
        <w:rPr>
          <w:rFonts w:ascii="Traditional Arabic" w:eastAsia="Traditional Arabic" w:hAnsi="Traditional Arabic" w:cs="Traditional Arabic"/>
          <w:color w:val="1A1A1A"/>
          <w:sz w:val="28"/>
          <w:szCs w:val="28"/>
          <w:rtl/>
        </w:rPr>
        <w:t>Rahman</w:t>
      </w:r>
      <w:proofErr w:type="spellEnd"/>
      <w:r>
        <w:rPr>
          <w:rFonts w:ascii="Traditional Arabic" w:eastAsia="Traditional Arabic" w:hAnsi="Traditional Arabic" w:cs="Traditional Arabic"/>
          <w:color w:val="1A1A1A"/>
          <w:sz w:val="28"/>
          <w:szCs w:val="28"/>
          <w:rtl/>
        </w:rPr>
        <w:t>, 1982]. فقد ارتبط اسمه، إلى جانب مفكرين آخرين، بتأسيس المعهد العالمي للفكر الإسلامي (</w:t>
      </w:r>
      <w:proofErr w:type="spellStart"/>
      <w:r>
        <w:rPr>
          <w:rFonts w:ascii="Traditional Arabic" w:eastAsia="Traditional Arabic" w:hAnsi="Traditional Arabic" w:cs="Traditional Arabic"/>
          <w:color w:val="1A1A1A"/>
          <w:sz w:val="28"/>
          <w:szCs w:val="28"/>
          <w:rtl/>
        </w:rPr>
        <w:t>International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Institute</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of</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Islamic</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Thought</w:t>
      </w:r>
      <w:proofErr w:type="spellEnd"/>
      <w:r>
        <w:rPr>
          <w:rFonts w:ascii="Traditional Arabic" w:eastAsia="Traditional Arabic" w:hAnsi="Traditional Arabic" w:cs="Traditional Arabic"/>
          <w:color w:val="1A1A1A"/>
          <w:sz w:val="28"/>
          <w:szCs w:val="28"/>
          <w:rtl/>
        </w:rPr>
        <w:t xml:space="preserve"> - IIIT)، وهو كيان مؤسسي مستقل أتاح للمشروع استمرارية تتجاوز حياة مؤسسيه الأفراد، عبر برامج منح بحثية، وسلاسل كتب محكّمة، ومؤتمرات دورية. الدرس المستخلص هنا هو الأقرب لسياق الزراع: فالمشاريع النهضوية الإسلامية تحديداً تحتاج إلى مؤسسة "بينية" مستقلة عن الجامعات الغربية التقليدية من جهة، وعن المؤسسات الدينية الرسمية من جهة أخرى، تجمع بين الصرامة الأكاديمية والالتزام المرجعي.</w:t>
      </w:r>
    </w:p>
    <w:p w14:paraId="739DF304"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3.4 النموذج الكلاسيكي الإسلامي: الإسناد والإجازة كآلية مأسسة تاريخية</w:t>
      </w:r>
    </w:p>
    <w:p w14:paraId="0D80CBFB"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وأخيراً، يقدّم التراث العلمي الإسلامي نفسه نموذج مأسسة بديلاً يستحق أن يُستلهم بدل أن يُستبعد بحجة "حداثة" مفهوم المأسسة: فنظام الإسناد (سلسلة نقل العلم من شيخ إلى تلميذ) ونظام الإجازة العلمية (الشهادة الموثّقة بأهلية حمل العلم ونقله) كانا، لقرون طويلة، آلية مأسسة فعّالة موازية للجامعة الحديثة، أتاحت انتقال المدارس الفقهية والكلامية والصوفية عبر أجيال متعاقبة دون الحاجة إلى كيان جامعي مركزي بالمعنى الحديث. وقد استوعبت المدرسة (بالمعنى المؤسسي الكلاسيكي: المدرسة النظامية نموذجاً) وظيفة الإقراء والتدريس والإج</w:t>
      </w:r>
      <w:r>
        <w:rPr>
          <w:rFonts w:ascii="Traditional Arabic" w:eastAsia="Traditional Arabic" w:hAnsi="Traditional Arabic" w:cs="Traditional Arabic"/>
          <w:color w:val="1A1A1A"/>
          <w:sz w:val="28"/>
          <w:szCs w:val="28"/>
          <w:rtl/>
        </w:rPr>
        <w:t>ازة معاً، فجمعت بين حرية الاجتهاد الفردي وضمانة الاستمرارية الجماعية. وهذا يفتح أمام مشروع الزراع خياراً ثالثاً لا يقتصر على تقليد الجامعة الغربية الحديثة أو المعهد البحثي المعاصر، بل يمكن أن يستلهم أيضاً صيغة "مدرسة" بالمعنى الكلاسيكي، تجمع بين التدريب الإكلينيكي على بروتوكول TLRT، والإجازة العلمية الموثّقة لمن يتأهل لممارسته ونقله.</w:t>
      </w:r>
    </w:p>
    <w:p w14:paraId="211E0279"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الفصل الرابع. آفاق المأسسة: خارطة طريق مقترحة</w:t>
      </w:r>
    </w:p>
    <w:p w14:paraId="1751AED5"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استناداً إلى التشخيص البنيوي الوارد في الفصل الثاني، ودروس دراسات الحالة المقارنة في الفصل الثالث، تقترح هذه الدراسة خارطة طريق عملية مركّبة من أربعة محاور متزامنة، لا متعاقبة، إذ يعزّز كل محور منها الآخر.</w:t>
      </w:r>
    </w:p>
    <w:p w14:paraId="33ACD0CF"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4.1 بناء المجتمع العلمي: من المتابعين إلى الباحثين</w:t>
      </w:r>
    </w:p>
    <w:p w14:paraId="07D36E38"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الخطوة الأولى هي تحويل دائرة "المتابعين" الحاليين — مهما اتسعت جماهيرياً — إلى نواة "مجتمع علمي" بالمعنى </w:t>
      </w:r>
      <w:proofErr w:type="spellStart"/>
      <w:r>
        <w:rPr>
          <w:rFonts w:ascii="Traditional Arabic" w:eastAsia="Traditional Arabic" w:hAnsi="Traditional Arabic" w:cs="Traditional Arabic"/>
          <w:color w:val="1A1A1A"/>
          <w:sz w:val="28"/>
          <w:szCs w:val="28"/>
          <w:rtl/>
        </w:rPr>
        <w:t>الكوهني</w:t>
      </w:r>
      <w:proofErr w:type="spellEnd"/>
      <w:r>
        <w:rPr>
          <w:rFonts w:ascii="Traditional Arabic" w:eastAsia="Traditional Arabic" w:hAnsi="Traditional Arabic" w:cs="Traditional Arabic"/>
          <w:color w:val="1A1A1A"/>
          <w:sz w:val="28"/>
          <w:szCs w:val="28"/>
          <w:rtl/>
        </w:rPr>
        <w:t xml:space="preserve"> الدقيق: أي استقطاب عدد محدود من الباحثين الجادّين (من خلفيات علم النفس الإكلينيكي، والدراسات الإسلامية، والفلسفة) لإجراء دراسات ماجستير ودكتوراه تتناول جوانب من الإطار الاستخلافي أو بروتوكول TLRT بشكل مستقل نسبياً عن المؤسس، بما يبدأ في توليد أدبيات ثانوية (</w:t>
      </w:r>
      <w:proofErr w:type="spellStart"/>
      <w:r>
        <w:rPr>
          <w:rFonts w:ascii="Traditional Arabic" w:eastAsia="Traditional Arabic" w:hAnsi="Traditional Arabic" w:cs="Traditional Arabic"/>
          <w:color w:val="1A1A1A"/>
          <w:sz w:val="28"/>
          <w:szCs w:val="28"/>
          <w:rtl/>
        </w:rPr>
        <w:t>Secondary</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Literature</w:t>
      </w:r>
      <w:proofErr w:type="spellEnd"/>
      <w:r>
        <w:rPr>
          <w:rFonts w:ascii="Traditional Arabic" w:eastAsia="Traditional Arabic" w:hAnsi="Traditional Arabic" w:cs="Traditional Arabic"/>
          <w:color w:val="1A1A1A"/>
          <w:sz w:val="28"/>
          <w:szCs w:val="28"/>
          <w:rtl/>
        </w:rPr>
        <w:t xml:space="preserve">) لا تصدر جميعها عن قلم الزراع نفسه — وهو، بحسب دراسة حالة </w:t>
      </w:r>
      <w:proofErr w:type="spellStart"/>
      <w:r>
        <w:rPr>
          <w:rFonts w:ascii="Traditional Arabic" w:eastAsia="Traditional Arabic" w:hAnsi="Traditional Arabic" w:cs="Traditional Arabic"/>
          <w:color w:val="1A1A1A"/>
          <w:sz w:val="28"/>
          <w:szCs w:val="28"/>
          <w:rtl/>
        </w:rPr>
        <w:t>سليجمان</w:t>
      </w:r>
      <w:proofErr w:type="spellEnd"/>
      <w:r>
        <w:rPr>
          <w:rFonts w:ascii="Traditional Arabic" w:eastAsia="Traditional Arabic" w:hAnsi="Traditional Arabic" w:cs="Traditional Arabic"/>
          <w:color w:val="1A1A1A"/>
          <w:sz w:val="28"/>
          <w:szCs w:val="28"/>
          <w:rtl/>
        </w:rPr>
        <w:t xml:space="preserve"> (3.1)، أول شرط بنيوي لأي انتقال من الفردية إلى المؤسسية.</w:t>
      </w:r>
    </w:p>
    <w:p w14:paraId="553805BA"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4.2 تأسيس كيان بحثي وإكلينيكي مستقل</w:t>
      </w:r>
    </w:p>
    <w:p w14:paraId="614090ED"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الخطوة الثانية، وعلى غرار نموذجي </w:t>
      </w:r>
      <w:proofErr w:type="spellStart"/>
      <w:r>
        <w:rPr>
          <w:rFonts w:ascii="Traditional Arabic" w:eastAsia="Traditional Arabic" w:hAnsi="Traditional Arabic" w:cs="Traditional Arabic"/>
          <w:color w:val="1A1A1A"/>
          <w:sz w:val="28"/>
          <w:szCs w:val="28"/>
          <w:rtl/>
        </w:rPr>
        <w:t>فرانكل</w:t>
      </w:r>
      <w:proofErr w:type="spellEnd"/>
      <w:r>
        <w:rPr>
          <w:rFonts w:ascii="Traditional Arabic" w:eastAsia="Traditional Arabic" w:hAnsi="Traditional Arabic" w:cs="Traditional Arabic"/>
          <w:color w:val="1A1A1A"/>
          <w:sz w:val="28"/>
          <w:szCs w:val="28"/>
          <w:rtl/>
        </w:rPr>
        <w:t xml:space="preserve"> وفضل الرحمن (3.2، 3.3)، هي تأسيس كيان قانوني مستقل (معهد أو مركز) يفصل — من الناحية المؤسسية لا الفكرية — بين شخص المؤسس ومصير المشروع، بحيث يمتلك هذا الكيان هيئة علمية استشارية، وبرنامج تدريب واعتماد إكلينيكي منظّم لممارسي TLRT (استلهاماً من نموذج الإجازة الكلاسيكي في 3.4)، وميزانية وموارد مستقلة عن الجهد الفردي المباشر للمؤسس.</w:t>
      </w:r>
    </w:p>
    <w:p w14:paraId="0504C492"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4.3 الانخراط في الحوار الأكاديمي العالمي: الترجمة والنشر المحكّم</w:t>
      </w:r>
    </w:p>
    <w:p w14:paraId="22F5BACE"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الخطوة الثالثة هي كسر عزلة اللغة (2.5) عبر خطة ترجمة منهجية لأهم النصوص التأسيسية إلى الإنجليزية بمصطلحات أكاديمية دقيقة ومتّسقة، ثم السعي لنشر دراسات موجزة عن الإطار في دوريات محكّمة معنية بعلم النفس والدين أو علم النفس عبر الثقافي (</w:t>
      </w:r>
      <w:proofErr w:type="spellStart"/>
      <w:r>
        <w:rPr>
          <w:rFonts w:ascii="Traditional Arabic" w:eastAsia="Traditional Arabic" w:hAnsi="Traditional Arabic" w:cs="Traditional Arabic"/>
          <w:color w:val="1A1A1A"/>
          <w:sz w:val="28"/>
          <w:szCs w:val="28"/>
          <w:rtl/>
        </w:rPr>
        <w:t>Cross-Cultural</w:t>
      </w:r>
      <w:proofErr w:type="spellEnd"/>
      <w:r>
        <w:rPr>
          <w:rFonts w:ascii="Traditional Arabic" w:eastAsia="Traditional Arabic" w:hAnsi="Traditional Arabic" w:cs="Traditional Arabic"/>
          <w:color w:val="1A1A1A"/>
          <w:sz w:val="28"/>
          <w:szCs w:val="28"/>
          <w:rtl/>
        </w:rPr>
        <w:t xml:space="preserve"> </w:t>
      </w:r>
      <w:proofErr w:type="spellStart"/>
      <w:r>
        <w:rPr>
          <w:rFonts w:ascii="Traditional Arabic" w:eastAsia="Traditional Arabic" w:hAnsi="Traditional Arabic" w:cs="Traditional Arabic"/>
          <w:color w:val="1A1A1A"/>
          <w:sz w:val="28"/>
          <w:szCs w:val="28"/>
          <w:rtl/>
        </w:rPr>
        <w:t>Psychology</w:t>
      </w:r>
      <w:proofErr w:type="spellEnd"/>
      <w:r>
        <w:rPr>
          <w:rFonts w:ascii="Traditional Arabic" w:eastAsia="Traditional Arabic" w:hAnsi="Traditional Arabic" w:cs="Traditional Arabic"/>
          <w:color w:val="1A1A1A"/>
          <w:sz w:val="28"/>
          <w:szCs w:val="28"/>
          <w:rtl/>
        </w:rPr>
        <w:t>)، بما يتيح تعريض المشروع لأول اختبار نقدي جادّ من خارج دائرته المرجعية — وهو ما يعالج مباشرة عائق غياب المراجعة النقدية الكبرى (2.2).</w:t>
      </w:r>
    </w:p>
    <w:p w14:paraId="480C394B"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4.4 آليات الحماية من التسطيح: الضبط المنهجي والمرجعية المعيارية</w:t>
      </w:r>
    </w:p>
    <w:p w14:paraId="17FEBE87"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الخطوة الرابعة والأخيرة هي استباق خطر الاختطاف والتسطيح (2.3) عبر تكريس ضوابط منهجية صريحة ومكتوبة — لا متروكة ليقظة المؤسس الفردية وحدها — تحدّد بدقة الحد الفاصل بين "الاندماج الخالق" المنضبط منهجياً و"التوفيقية السطحية"، على أن تتولى الهيئة العلمية للكيان المؤسسي المقترح (4.2) صلاحية الفصل في أي التباس مستقبلي حول الالتزام بهذه الضوابط، بما يحمي نقاء المشروع من تقلبات الأفراد عبر الزمن.</w:t>
      </w:r>
    </w:p>
    <w:p w14:paraId="22DFF113"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خاتمة: ثورة في الرؤية تنتظر نظام تشغيل اجتماعي</w:t>
      </w:r>
    </w:p>
    <w:p w14:paraId="043029F1"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 xml:space="preserve">في نهاية هذه الدراسة الموسّعة، نخلص إلى أن مشروع عبد السلام الزراع، في حالته الراهنة، هو بكل المقاييس "مشروع نهضوي قيد التشكّل". إنه، كما يُقال، ثورة في الرؤية، تنطلق من أصول معرفية أصيلة، وتقدّم أدوات تحليلية وعلاجية مبتكرة، وتستجيب بشكل مباشر لتحديات العصر وأزمات الإنسان المعاصر، كما فصّلته دراسة التماسك الأنطولوجي لجهازه </w:t>
      </w:r>
      <w:proofErr w:type="spellStart"/>
      <w:r>
        <w:rPr>
          <w:rFonts w:ascii="Traditional Arabic" w:eastAsia="Traditional Arabic" w:hAnsi="Traditional Arabic" w:cs="Traditional Arabic"/>
          <w:color w:val="1A1A1A"/>
          <w:sz w:val="28"/>
          <w:szCs w:val="28"/>
          <w:rtl/>
        </w:rPr>
        <w:t>المفاهيمي</w:t>
      </w:r>
      <w:proofErr w:type="spellEnd"/>
      <w:r>
        <w:rPr>
          <w:rFonts w:ascii="Traditional Arabic" w:eastAsia="Traditional Arabic" w:hAnsi="Traditional Arabic" w:cs="Traditional Arabic"/>
          <w:color w:val="1A1A1A"/>
          <w:sz w:val="28"/>
          <w:szCs w:val="28"/>
          <w:rtl/>
        </w:rPr>
        <w:t xml:space="preserve"> (1.4).</w:t>
      </w:r>
    </w:p>
    <w:p w14:paraId="46C5B354"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لكن هذه الثورة، لكي تنجح وتستمر، تحتاج بشكل عاجل إلى الانتقال من مرحلة العبقرية الفردية إلى مرحلة المأسسة والاعتراف والتراكم. وقد بيّنت دراسات الحالة المقارنة (الفصل الثالث) أن هذا الانتقال، وإن كان صعباً وطويلاً، ليس استثناءً تاريخياً بل هو المسار الطبيعي الذي عبرته مشاريع فردية مشابهة في السياقين الغربي والإسلامي على السواء، عبر مزيج من استثمار المواقع المؤسسية القائمة، وتأسيس كيانات مستقلة جديدة، والانخراط الجادّ في النقد الأكاديمي المتبادل.</w:t>
      </w:r>
    </w:p>
    <w:p w14:paraId="297D80DF" w14:textId="77777777" w:rsidR="00D56B6D" w:rsidRDefault="00550476">
      <w:pPr>
        <w:spacing w:after="200" w:line="340" w:lineRule="auto"/>
        <w:jc w:val="both"/>
      </w:pPr>
      <w:r>
        <w:rPr>
          <w:rFonts w:ascii="Traditional Arabic" w:eastAsia="Traditional Arabic" w:hAnsi="Traditional Arabic" w:cs="Traditional Arabic"/>
          <w:color w:val="1A1A1A"/>
          <w:sz w:val="28"/>
          <w:szCs w:val="28"/>
          <w:rtl/>
        </w:rPr>
        <w:t>والرهان، في النهاية، ليس فقط على قدرة الفكرة الصادقة والعميقة على أن تجد أرضاً خصبة وأيادي أمينة تحملها، بل أيضاً — وهذا ما تضيفه هذه الدراسة الموسّعة — على إرادة واعية ومنهجية لبناء تلك "الأيادي" ذاتها في هيئة مؤسسات، لا انتظار أن تتشكّل من تلقاء نفسها. الطريق طويل وشاق، لكنه، كما تُظهر التجارب المقارنة، طريق مُمهَّد لمن سلكه بوعي بشروطه البنيوية.</w:t>
      </w:r>
    </w:p>
    <w:tbl>
      <w:tblPr>
        <w:tblW w:w="5000" w:type="pct"/>
        <w:tblBorders>
          <w:top w:val="single" w:sz="16" w:space="0" w:color="B8892E"/>
          <w:left w:val="single" w:sz="16" w:space="0" w:color="B8892E"/>
          <w:bottom w:val="single" w:sz="16" w:space="0" w:color="B8892E"/>
          <w:right w:val="single" w:sz="16" w:space="0" w:color="B8892E"/>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30"/>
      </w:tblGrid>
      <w:tr w:rsidR="00D56B6D" w14:paraId="71BC7220" w14:textId="77777777">
        <w:tblPrEx>
          <w:tblCellMar>
            <w:top w:w="0" w:type="dxa"/>
            <w:bottom w:w="0" w:type="dxa"/>
          </w:tblCellMar>
        </w:tblPrEx>
        <w:tc>
          <w:tcPr>
            <w:tcW w:w="0" w:type="auto"/>
            <w:shd w:val="clear" w:color="auto" w:fill="F5EEDD"/>
            <w:tcMar>
              <w:top w:w="200" w:type="dxa"/>
              <w:left w:w="300" w:type="dxa"/>
              <w:bottom w:w="200" w:type="dxa"/>
              <w:right w:w="300" w:type="dxa"/>
            </w:tcMar>
          </w:tcPr>
          <w:p w14:paraId="4EC5BF4E" w14:textId="77777777" w:rsidR="00D56B6D" w:rsidRDefault="00550476">
            <w:pPr>
              <w:spacing w:after="100"/>
              <w:jc w:val="center"/>
            </w:pPr>
            <w:r>
              <w:rPr>
                <w:rFonts w:ascii="Traditional Arabic" w:eastAsia="Traditional Arabic" w:hAnsi="Traditional Arabic" w:cs="Traditional Arabic"/>
                <w:b/>
                <w:bCs/>
                <w:color w:val="1B2E4A"/>
                <w:sz w:val="30"/>
                <w:szCs w:val="30"/>
                <w:rtl/>
              </w:rPr>
              <w:t>وَقُلِ اعْمَلُوا فَسَيَرَى اللَّهُ عَمَلَكُمْ وَرَسُولُهُ وَالْمُؤْمِنُونَ</w:t>
            </w:r>
          </w:p>
          <w:p w14:paraId="1348FA71" w14:textId="77777777" w:rsidR="00D56B6D" w:rsidRDefault="00550476">
            <w:pPr>
              <w:jc w:val="center"/>
            </w:pPr>
            <w:r>
              <w:rPr>
                <w:rFonts w:ascii="Traditional Arabic" w:eastAsia="Traditional Arabic" w:hAnsi="Traditional Arabic" w:cs="Traditional Arabic"/>
                <w:i/>
                <w:iCs/>
                <w:color w:val="0E5C5C"/>
                <w:sz w:val="22"/>
                <w:szCs w:val="22"/>
                <w:rtl/>
              </w:rPr>
              <w:t>سورة التوبة، الآية 105</w:t>
            </w:r>
          </w:p>
        </w:tc>
      </w:tr>
    </w:tbl>
    <w:p w14:paraId="657334DA" w14:textId="77777777" w:rsidR="00D56B6D" w:rsidRDefault="00550476">
      <w:r>
        <w:br w:type="page"/>
      </w:r>
    </w:p>
    <w:p w14:paraId="0FBF795F" w14:textId="77777777" w:rsidR="00D56B6D" w:rsidRDefault="00550476">
      <w:pPr>
        <w:pStyle w:val="1"/>
        <w:pBdr>
          <w:bottom w:val="single" w:sz="12" w:space="6" w:color="B8892E"/>
        </w:pBdr>
        <w:bidi/>
        <w:spacing w:before="480" w:after="240"/>
        <w:jc w:val="right"/>
      </w:pPr>
      <w:r>
        <w:rPr>
          <w:rFonts w:ascii="Traditional Arabic" w:eastAsia="Traditional Arabic" w:hAnsi="Traditional Arabic" w:cs="Traditional Arabic"/>
          <w:b/>
          <w:bCs/>
          <w:color w:val="1B2E4A"/>
          <w:sz w:val="36"/>
          <w:szCs w:val="36"/>
          <w:rtl/>
        </w:rPr>
        <w:t>المراجع والمصادر</w:t>
      </w:r>
    </w:p>
    <w:p w14:paraId="3F9FF3C0"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أولاً: المصادر الأساسية (النموذج الاستخلافي)</w:t>
      </w:r>
    </w:p>
    <w:p w14:paraId="7656D61A"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1. الزراع، عبد السلام. (2026). العلاج بحرث المصالحة التحويلية (TLRT): الدليل النظري والإكلينيكي. (الطبعة التجريبية الأولى).</w:t>
      </w:r>
    </w:p>
    <w:p w14:paraId="7C609CFA"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2. الزراع، عبد السلام. (2026). الفصام الأخلاقي ومصدر الأزمات النفسية: قراءة في ضوء نظرية TLRT.</w:t>
      </w:r>
    </w:p>
    <w:p w14:paraId="2173147D"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3. الزراع، عبد السلام. (2026). </w:t>
      </w:r>
      <w:proofErr w:type="spellStart"/>
      <w:r>
        <w:rPr>
          <w:rFonts w:ascii="Traditional Arabic" w:eastAsia="Traditional Arabic" w:hAnsi="Traditional Arabic" w:cs="Traditional Arabic"/>
          <w:color w:val="1A1A1A"/>
          <w:sz w:val="24"/>
          <w:szCs w:val="24"/>
          <w:rtl/>
        </w:rPr>
        <w:t>التمثلات</w:t>
      </w:r>
      <w:proofErr w:type="spellEnd"/>
      <w:r>
        <w:rPr>
          <w:rFonts w:ascii="Traditional Arabic" w:eastAsia="Traditional Arabic" w:hAnsi="Traditional Arabic" w:cs="Traditional Arabic"/>
          <w:color w:val="1A1A1A"/>
          <w:sz w:val="24"/>
          <w:szCs w:val="24"/>
          <w:rtl/>
        </w:rPr>
        <w:t xml:space="preserve"> الداخلية للإله: من نظرية </w:t>
      </w:r>
      <w:proofErr w:type="spellStart"/>
      <w:r>
        <w:rPr>
          <w:rFonts w:ascii="Traditional Arabic" w:eastAsia="Traditional Arabic" w:hAnsi="Traditional Arabic" w:cs="Traditional Arabic"/>
          <w:color w:val="1A1A1A"/>
          <w:sz w:val="24"/>
          <w:szCs w:val="24"/>
          <w:rtl/>
        </w:rPr>
        <w:t>ريزوتو</w:t>
      </w:r>
      <w:proofErr w:type="spellEnd"/>
      <w:r>
        <w:rPr>
          <w:rFonts w:ascii="Traditional Arabic" w:eastAsia="Traditional Arabic" w:hAnsi="Traditional Arabic" w:cs="Traditional Arabic"/>
          <w:color w:val="1A1A1A"/>
          <w:sz w:val="24"/>
          <w:szCs w:val="24"/>
          <w:rtl/>
        </w:rPr>
        <w:t xml:space="preserve"> إلى إعادة بناء صورة الله في TLRT.</w:t>
      </w:r>
    </w:p>
    <w:p w14:paraId="56E5C804"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ثانياً: مراجع في فلسفة العلم وعلم اجتماع المعرفة</w:t>
      </w:r>
    </w:p>
    <w:p w14:paraId="48371BAB"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4. </w:t>
      </w:r>
      <w:proofErr w:type="spellStart"/>
      <w:r>
        <w:rPr>
          <w:rFonts w:ascii="Traditional Arabic" w:eastAsia="Traditional Arabic" w:hAnsi="Traditional Arabic" w:cs="Traditional Arabic"/>
          <w:color w:val="1A1A1A"/>
          <w:sz w:val="24"/>
          <w:szCs w:val="24"/>
          <w:rtl/>
        </w:rPr>
        <w:t>Kuhn</w:t>
      </w:r>
      <w:proofErr w:type="spellEnd"/>
      <w:r>
        <w:rPr>
          <w:rFonts w:ascii="Traditional Arabic" w:eastAsia="Traditional Arabic" w:hAnsi="Traditional Arabic" w:cs="Traditional Arabic"/>
          <w:color w:val="1A1A1A"/>
          <w:sz w:val="24"/>
          <w:szCs w:val="24"/>
          <w:rtl/>
        </w:rPr>
        <w:t xml:space="preserve">, T. S. (1962).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Structure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Scientific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Revolutions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Chicago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Chicago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052D3D46"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5. </w:t>
      </w:r>
      <w:proofErr w:type="spellStart"/>
      <w:r>
        <w:rPr>
          <w:rFonts w:ascii="Traditional Arabic" w:eastAsia="Traditional Arabic" w:hAnsi="Traditional Arabic" w:cs="Traditional Arabic"/>
          <w:color w:val="1A1A1A"/>
          <w:sz w:val="24"/>
          <w:szCs w:val="24"/>
          <w:rtl/>
        </w:rPr>
        <w:t>Foucault</w:t>
      </w:r>
      <w:proofErr w:type="spellEnd"/>
      <w:r>
        <w:rPr>
          <w:rFonts w:ascii="Traditional Arabic" w:eastAsia="Traditional Arabic" w:hAnsi="Traditional Arabic" w:cs="Traditional Arabic"/>
          <w:color w:val="1A1A1A"/>
          <w:sz w:val="24"/>
          <w:szCs w:val="24"/>
          <w:rtl/>
        </w:rPr>
        <w:t xml:space="preserve">, M. (1969). </w:t>
      </w:r>
      <w:proofErr w:type="spellStart"/>
      <w:r>
        <w:rPr>
          <w:rFonts w:ascii="Traditional Arabic" w:eastAsia="Traditional Arabic" w:hAnsi="Traditional Arabic" w:cs="Traditional Arabic"/>
          <w:color w:val="1A1A1A"/>
          <w:sz w:val="24"/>
          <w:szCs w:val="24"/>
          <w:rtl/>
        </w:rPr>
        <w:t>L'Archéologie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du</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savoir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Gallimard</w:t>
      </w:r>
      <w:proofErr w:type="spellEnd"/>
      <w:r>
        <w:rPr>
          <w:rFonts w:ascii="Traditional Arabic" w:eastAsia="Traditional Arabic" w:hAnsi="Traditional Arabic" w:cs="Traditional Arabic"/>
          <w:color w:val="1A1A1A"/>
          <w:sz w:val="24"/>
          <w:szCs w:val="24"/>
          <w:rtl/>
        </w:rPr>
        <w:t>.</w:t>
      </w:r>
    </w:p>
    <w:p w14:paraId="33946B37"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6. </w:t>
      </w:r>
      <w:proofErr w:type="spellStart"/>
      <w:r>
        <w:rPr>
          <w:rFonts w:ascii="Traditional Arabic" w:eastAsia="Traditional Arabic" w:hAnsi="Traditional Arabic" w:cs="Traditional Arabic"/>
          <w:color w:val="1A1A1A"/>
          <w:sz w:val="24"/>
          <w:szCs w:val="24"/>
          <w:rtl/>
        </w:rPr>
        <w:t>Bachelard</w:t>
      </w:r>
      <w:proofErr w:type="spellEnd"/>
      <w:r>
        <w:rPr>
          <w:rFonts w:ascii="Traditional Arabic" w:eastAsia="Traditional Arabic" w:hAnsi="Traditional Arabic" w:cs="Traditional Arabic"/>
          <w:color w:val="1A1A1A"/>
          <w:sz w:val="24"/>
          <w:szCs w:val="24"/>
          <w:rtl/>
        </w:rPr>
        <w:t xml:space="preserve">, G. (1938).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Formation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l'esprit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scientifique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Vrin</w:t>
      </w:r>
      <w:proofErr w:type="spellEnd"/>
      <w:r>
        <w:rPr>
          <w:rFonts w:ascii="Traditional Arabic" w:eastAsia="Traditional Arabic" w:hAnsi="Traditional Arabic" w:cs="Traditional Arabic"/>
          <w:color w:val="1A1A1A"/>
          <w:sz w:val="24"/>
          <w:szCs w:val="24"/>
          <w:rtl/>
        </w:rPr>
        <w:t>.</w:t>
      </w:r>
    </w:p>
    <w:p w14:paraId="5FE1ED14"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7. </w:t>
      </w:r>
      <w:proofErr w:type="spellStart"/>
      <w:r>
        <w:rPr>
          <w:rFonts w:ascii="Traditional Arabic" w:eastAsia="Traditional Arabic" w:hAnsi="Traditional Arabic" w:cs="Traditional Arabic"/>
          <w:color w:val="1A1A1A"/>
          <w:sz w:val="24"/>
          <w:szCs w:val="24"/>
          <w:rtl/>
        </w:rPr>
        <w:t>Althusser</w:t>
      </w:r>
      <w:proofErr w:type="spellEnd"/>
      <w:r>
        <w:rPr>
          <w:rFonts w:ascii="Traditional Arabic" w:eastAsia="Traditional Arabic" w:hAnsi="Traditional Arabic" w:cs="Traditional Arabic"/>
          <w:color w:val="1A1A1A"/>
          <w:sz w:val="24"/>
          <w:szCs w:val="24"/>
          <w:rtl/>
        </w:rPr>
        <w:t xml:space="preserve">, L. (1965). </w:t>
      </w:r>
      <w:proofErr w:type="spellStart"/>
      <w:r>
        <w:rPr>
          <w:rFonts w:ascii="Traditional Arabic" w:eastAsia="Traditional Arabic" w:hAnsi="Traditional Arabic" w:cs="Traditional Arabic"/>
          <w:color w:val="1A1A1A"/>
          <w:sz w:val="24"/>
          <w:szCs w:val="24"/>
          <w:rtl/>
        </w:rPr>
        <w:t>Pour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Marx</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François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Maspero</w:t>
      </w:r>
      <w:proofErr w:type="spellEnd"/>
      <w:r>
        <w:rPr>
          <w:rFonts w:ascii="Traditional Arabic" w:eastAsia="Traditional Arabic" w:hAnsi="Traditional Arabic" w:cs="Traditional Arabic"/>
          <w:color w:val="1A1A1A"/>
          <w:sz w:val="24"/>
          <w:szCs w:val="24"/>
          <w:rtl/>
        </w:rPr>
        <w:t>.</w:t>
      </w:r>
    </w:p>
    <w:p w14:paraId="7950F8C5"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8. </w:t>
      </w:r>
      <w:proofErr w:type="spellStart"/>
      <w:r>
        <w:rPr>
          <w:rFonts w:ascii="Traditional Arabic" w:eastAsia="Traditional Arabic" w:hAnsi="Traditional Arabic" w:cs="Traditional Arabic"/>
          <w:color w:val="1A1A1A"/>
          <w:sz w:val="24"/>
          <w:szCs w:val="24"/>
          <w:rtl/>
        </w:rPr>
        <w:t>Bourdieu</w:t>
      </w:r>
      <w:proofErr w:type="spellEnd"/>
      <w:r>
        <w:rPr>
          <w:rFonts w:ascii="Traditional Arabic" w:eastAsia="Traditional Arabic" w:hAnsi="Traditional Arabic" w:cs="Traditional Arabic"/>
          <w:color w:val="1A1A1A"/>
          <w:sz w:val="24"/>
          <w:szCs w:val="24"/>
          <w:rtl/>
        </w:rPr>
        <w:t xml:space="preserve">, P. (1984). </w:t>
      </w:r>
      <w:proofErr w:type="spellStart"/>
      <w:r>
        <w:rPr>
          <w:rFonts w:ascii="Traditional Arabic" w:eastAsia="Traditional Arabic" w:hAnsi="Traditional Arabic" w:cs="Traditional Arabic"/>
          <w:color w:val="1A1A1A"/>
          <w:sz w:val="24"/>
          <w:szCs w:val="24"/>
          <w:rtl/>
        </w:rPr>
        <w:t>Homo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Academicus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Éditions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Minuit</w:t>
      </w:r>
      <w:proofErr w:type="spellEnd"/>
      <w:r>
        <w:rPr>
          <w:rFonts w:ascii="Traditional Arabic" w:eastAsia="Traditional Arabic" w:hAnsi="Traditional Arabic" w:cs="Traditional Arabic"/>
          <w:color w:val="1A1A1A"/>
          <w:sz w:val="24"/>
          <w:szCs w:val="24"/>
          <w:rtl/>
        </w:rPr>
        <w:t>.</w:t>
      </w:r>
    </w:p>
    <w:p w14:paraId="32649BF9"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9. </w:t>
      </w:r>
      <w:proofErr w:type="spellStart"/>
      <w:r>
        <w:rPr>
          <w:rFonts w:ascii="Traditional Arabic" w:eastAsia="Traditional Arabic" w:hAnsi="Traditional Arabic" w:cs="Traditional Arabic"/>
          <w:color w:val="1A1A1A"/>
          <w:sz w:val="24"/>
          <w:szCs w:val="24"/>
          <w:rtl/>
        </w:rPr>
        <w:t>Bourdieu</w:t>
      </w:r>
      <w:proofErr w:type="spellEnd"/>
      <w:r>
        <w:rPr>
          <w:rFonts w:ascii="Traditional Arabic" w:eastAsia="Traditional Arabic" w:hAnsi="Traditional Arabic" w:cs="Traditional Arabic"/>
          <w:color w:val="1A1A1A"/>
          <w:sz w:val="24"/>
          <w:szCs w:val="24"/>
          <w:rtl/>
        </w:rPr>
        <w:t>, P. (1976). "</w:t>
      </w:r>
      <w:proofErr w:type="spellStart"/>
      <w:r>
        <w:rPr>
          <w:rFonts w:ascii="Traditional Arabic" w:eastAsia="Traditional Arabic" w:hAnsi="Traditional Arabic" w:cs="Traditional Arabic"/>
          <w:color w:val="1A1A1A"/>
          <w:sz w:val="24"/>
          <w:szCs w:val="24"/>
          <w:rtl/>
        </w:rPr>
        <w:t>Le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champ</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scientifique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Actes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la</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recherche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sciences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sociales</w:t>
      </w:r>
      <w:proofErr w:type="spellEnd"/>
      <w:r>
        <w:rPr>
          <w:rFonts w:ascii="Traditional Arabic" w:eastAsia="Traditional Arabic" w:hAnsi="Traditional Arabic" w:cs="Traditional Arabic"/>
          <w:color w:val="1A1A1A"/>
          <w:sz w:val="24"/>
          <w:szCs w:val="24"/>
          <w:rtl/>
        </w:rPr>
        <w:t>, 2(2-3), 88-104.</w:t>
      </w:r>
    </w:p>
    <w:p w14:paraId="58C0636A"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10. </w:t>
      </w:r>
      <w:proofErr w:type="spellStart"/>
      <w:r>
        <w:rPr>
          <w:rFonts w:ascii="Traditional Arabic" w:eastAsia="Traditional Arabic" w:hAnsi="Traditional Arabic" w:cs="Traditional Arabic"/>
          <w:color w:val="1A1A1A"/>
          <w:sz w:val="24"/>
          <w:szCs w:val="24"/>
          <w:rtl/>
        </w:rPr>
        <w:t>Merton</w:t>
      </w:r>
      <w:proofErr w:type="spellEnd"/>
      <w:r>
        <w:rPr>
          <w:rFonts w:ascii="Traditional Arabic" w:eastAsia="Traditional Arabic" w:hAnsi="Traditional Arabic" w:cs="Traditional Arabic"/>
          <w:color w:val="1A1A1A"/>
          <w:sz w:val="24"/>
          <w:szCs w:val="24"/>
          <w:rtl/>
        </w:rPr>
        <w:t xml:space="preserve">, R. K. (1973).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Sociology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Science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Theoretical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Empirical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Investigations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Chicago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Chicago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67B2D00B"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11. </w:t>
      </w:r>
      <w:proofErr w:type="spellStart"/>
      <w:r>
        <w:rPr>
          <w:rFonts w:ascii="Traditional Arabic" w:eastAsia="Traditional Arabic" w:hAnsi="Traditional Arabic" w:cs="Traditional Arabic"/>
          <w:color w:val="1A1A1A"/>
          <w:sz w:val="24"/>
          <w:szCs w:val="24"/>
          <w:rtl/>
        </w:rPr>
        <w:t>Collins</w:t>
      </w:r>
      <w:proofErr w:type="spellEnd"/>
      <w:r>
        <w:rPr>
          <w:rFonts w:ascii="Traditional Arabic" w:eastAsia="Traditional Arabic" w:hAnsi="Traditional Arabic" w:cs="Traditional Arabic"/>
          <w:color w:val="1A1A1A"/>
          <w:sz w:val="24"/>
          <w:szCs w:val="24"/>
          <w:rtl/>
        </w:rPr>
        <w:t xml:space="preserve">, R. (1998).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Sociology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Philosophies</w:t>
      </w:r>
      <w:proofErr w:type="spellEnd"/>
      <w:r>
        <w:rPr>
          <w:rFonts w:ascii="Traditional Arabic" w:eastAsia="Traditional Arabic" w:hAnsi="Traditional Arabic" w:cs="Traditional Arabic"/>
          <w:color w:val="1A1A1A"/>
          <w:sz w:val="24"/>
          <w:szCs w:val="24"/>
          <w:rtl/>
        </w:rPr>
        <w:t xml:space="preserve">: A </w:t>
      </w:r>
      <w:proofErr w:type="spellStart"/>
      <w:r>
        <w:rPr>
          <w:rFonts w:ascii="Traditional Arabic" w:eastAsia="Traditional Arabic" w:hAnsi="Traditional Arabic" w:cs="Traditional Arabic"/>
          <w:color w:val="1A1A1A"/>
          <w:sz w:val="24"/>
          <w:szCs w:val="24"/>
          <w:rtl/>
        </w:rPr>
        <w:t>Global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Theory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Intellectual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Change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Cambridge</w:t>
      </w:r>
      <w:proofErr w:type="spellEnd"/>
      <w:r>
        <w:rPr>
          <w:rFonts w:ascii="Traditional Arabic" w:eastAsia="Traditional Arabic" w:hAnsi="Traditional Arabic" w:cs="Traditional Arabic"/>
          <w:color w:val="1A1A1A"/>
          <w:sz w:val="24"/>
          <w:szCs w:val="24"/>
          <w:rtl/>
        </w:rPr>
        <w:t xml:space="preserve">, MA: </w:t>
      </w:r>
      <w:proofErr w:type="spellStart"/>
      <w:r>
        <w:rPr>
          <w:rFonts w:ascii="Traditional Arabic" w:eastAsia="Traditional Arabic" w:hAnsi="Traditional Arabic" w:cs="Traditional Arabic"/>
          <w:color w:val="1A1A1A"/>
          <w:sz w:val="24"/>
          <w:szCs w:val="24"/>
          <w:rtl/>
        </w:rPr>
        <w:t>Belknap</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Harvard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51E41D79"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12. </w:t>
      </w:r>
      <w:proofErr w:type="spellStart"/>
      <w:r>
        <w:rPr>
          <w:rFonts w:ascii="Traditional Arabic" w:eastAsia="Traditional Arabic" w:hAnsi="Traditional Arabic" w:cs="Traditional Arabic"/>
          <w:color w:val="1A1A1A"/>
          <w:sz w:val="24"/>
          <w:szCs w:val="24"/>
          <w:rtl/>
        </w:rPr>
        <w:t>Latour</w:t>
      </w:r>
      <w:proofErr w:type="spellEnd"/>
      <w:r>
        <w:rPr>
          <w:rFonts w:ascii="Traditional Arabic" w:eastAsia="Traditional Arabic" w:hAnsi="Traditional Arabic" w:cs="Traditional Arabic"/>
          <w:color w:val="1A1A1A"/>
          <w:sz w:val="24"/>
          <w:szCs w:val="24"/>
          <w:rtl/>
        </w:rPr>
        <w:t xml:space="preserve">, B. (1987). </w:t>
      </w:r>
      <w:proofErr w:type="spellStart"/>
      <w:r>
        <w:rPr>
          <w:rFonts w:ascii="Traditional Arabic" w:eastAsia="Traditional Arabic" w:hAnsi="Traditional Arabic" w:cs="Traditional Arabic"/>
          <w:color w:val="1A1A1A"/>
          <w:sz w:val="24"/>
          <w:szCs w:val="24"/>
          <w:rtl/>
        </w:rPr>
        <w:t>Science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Action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How</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Follow</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Scientists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Engineers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through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Society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Cambridge</w:t>
      </w:r>
      <w:proofErr w:type="spellEnd"/>
      <w:r>
        <w:rPr>
          <w:rFonts w:ascii="Traditional Arabic" w:eastAsia="Traditional Arabic" w:hAnsi="Traditional Arabic" w:cs="Traditional Arabic"/>
          <w:color w:val="1A1A1A"/>
          <w:sz w:val="24"/>
          <w:szCs w:val="24"/>
          <w:rtl/>
        </w:rPr>
        <w:t xml:space="preserve">, MA: </w:t>
      </w:r>
      <w:proofErr w:type="spellStart"/>
      <w:r>
        <w:rPr>
          <w:rFonts w:ascii="Traditional Arabic" w:eastAsia="Traditional Arabic" w:hAnsi="Traditional Arabic" w:cs="Traditional Arabic"/>
          <w:color w:val="1A1A1A"/>
          <w:sz w:val="24"/>
          <w:szCs w:val="24"/>
          <w:rtl/>
        </w:rPr>
        <w:t>Harvard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374B7EE1"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13. </w:t>
      </w:r>
      <w:proofErr w:type="spellStart"/>
      <w:r>
        <w:rPr>
          <w:rFonts w:ascii="Traditional Arabic" w:eastAsia="Traditional Arabic" w:hAnsi="Traditional Arabic" w:cs="Traditional Arabic"/>
          <w:color w:val="1A1A1A"/>
          <w:sz w:val="24"/>
          <w:szCs w:val="24"/>
          <w:rtl/>
        </w:rPr>
        <w:t>Popper</w:t>
      </w:r>
      <w:proofErr w:type="spellEnd"/>
      <w:r>
        <w:rPr>
          <w:rFonts w:ascii="Traditional Arabic" w:eastAsia="Traditional Arabic" w:hAnsi="Traditional Arabic" w:cs="Traditional Arabic"/>
          <w:color w:val="1A1A1A"/>
          <w:sz w:val="24"/>
          <w:szCs w:val="24"/>
          <w:rtl/>
        </w:rPr>
        <w:t xml:space="preserve">, K. (1959).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Logic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Scientific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Discovery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London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Hutchinson</w:t>
      </w:r>
      <w:proofErr w:type="spellEnd"/>
      <w:r>
        <w:rPr>
          <w:rFonts w:ascii="Traditional Arabic" w:eastAsia="Traditional Arabic" w:hAnsi="Traditional Arabic" w:cs="Traditional Arabic"/>
          <w:color w:val="1A1A1A"/>
          <w:sz w:val="24"/>
          <w:szCs w:val="24"/>
          <w:rtl/>
        </w:rPr>
        <w:t>.</w:t>
      </w:r>
    </w:p>
    <w:p w14:paraId="664F41FF"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14. </w:t>
      </w:r>
      <w:proofErr w:type="spellStart"/>
      <w:r>
        <w:rPr>
          <w:rFonts w:ascii="Traditional Arabic" w:eastAsia="Traditional Arabic" w:hAnsi="Traditional Arabic" w:cs="Traditional Arabic"/>
          <w:color w:val="1A1A1A"/>
          <w:sz w:val="24"/>
          <w:szCs w:val="24"/>
          <w:rtl/>
        </w:rPr>
        <w:t>Lakatos</w:t>
      </w:r>
      <w:proofErr w:type="spellEnd"/>
      <w:r>
        <w:rPr>
          <w:rFonts w:ascii="Traditional Arabic" w:eastAsia="Traditional Arabic" w:hAnsi="Traditional Arabic" w:cs="Traditional Arabic"/>
          <w:color w:val="1A1A1A"/>
          <w:sz w:val="24"/>
          <w:szCs w:val="24"/>
          <w:rtl/>
        </w:rPr>
        <w:t xml:space="preserve">, I. (1978).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Methodology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Scientific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Research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Programmes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Cambridge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Cambridge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09A3BFB0"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ثالثاً: مراجع في نقد الحداثة والفكر العربي والإسلامي المعاصر</w:t>
      </w:r>
    </w:p>
    <w:p w14:paraId="69FD7390"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15. حلاق، وائل. (2013). الدولة المستحيلة: الإسلام والسياسة ومأزق الحداثة الأخلاقي. بيروت: الشبكة العربية للأبحاث والنشر.</w:t>
      </w:r>
    </w:p>
    <w:p w14:paraId="3B475718"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16. عبد الرحمن، طه. (2013). روح الدين: من ضيق العلمانية إلى سعة الائتمانية. بيروت: الشبكة العربية للأبحاث والنشر.</w:t>
      </w:r>
    </w:p>
    <w:p w14:paraId="3AE51041"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17. </w:t>
      </w:r>
      <w:proofErr w:type="spellStart"/>
      <w:r>
        <w:rPr>
          <w:rFonts w:ascii="Traditional Arabic" w:eastAsia="Traditional Arabic" w:hAnsi="Traditional Arabic" w:cs="Traditional Arabic"/>
          <w:color w:val="1A1A1A"/>
          <w:sz w:val="24"/>
          <w:szCs w:val="24"/>
          <w:rtl/>
        </w:rPr>
        <w:t>Rahman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Fazlur</w:t>
      </w:r>
      <w:proofErr w:type="spellEnd"/>
      <w:r>
        <w:rPr>
          <w:rFonts w:ascii="Traditional Arabic" w:eastAsia="Traditional Arabic" w:hAnsi="Traditional Arabic" w:cs="Traditional Arabic"/>
          <w:color w:val="1A1A1A"/>
          <w:sz w:val="24"/>
          <w:szCs w:val="24"/>
          <w:rtl/>
        </w:rPr>
        <w:t xml:space="preserve">. (1982). </w:t>
      </w:r>
      <w:proofErr w:type="spellStart"/>
      <w:r>
        <w:rPr>
          <w:rFonts w:ascii="Traditional Arabic" w:eastAsia="Traditional Arabic" w:hAnsi="Traditional Arabic" w:cs="Traditional Arabic"/>
          <w:color w:val="1A1A1A"/>
          <w:sz w:val="24"/>
          <w:szCs w:val="24"/>
          <w:rtl/>
        </w:rPr>
        <w:t>Islam</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Modernity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Transformation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Intellectual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Tradition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Chicago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University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Chicago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00AD73F8"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18. ابن خلدون، عبد الرحمن. (د.ت.). المقدمة. تحقيق: علي عبد الواحد وافي. القاهرة: دار نهضة مصر.</w:t>
      </w:r>
    </w:p>
    <w:p w14:paraId="1946A938"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رابعاً: مراجع في مأسسة المدارس النفسية والعلاجية المقارنة</w:t>
      </w:r>
    </w:p>
    <w:p w14:paraId="46D67EB2"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19. </w:t>
      </w:r>
      <w:proofErr w:type="spellStart"/>
      <w:r>
        <w:rPr>
          <w:rFonts w:ascii="Traditional Arabic" w:eastAsia="Traditional Arabic" w:hAnsi="Traditional Arabic" w:cs="Traditional Arabic"/>
          <w:color w:val="1A1A1A"/>
          <w:sz w:val="24"/>
          <w:szCs w:val="24"/>
          <w:rtl/>
        </w:rPr>
        <w:t>Seligman</w:t>
      </w:r>
      <w:proofErr w:type="spellEnd"/>
      <w:r>
        <w:rPr>
          <w:rFonts w:ascii="Traditional Arabic" w:eastAsia="Traditional Arabic" w:hAnsi="Traditional Arabic" w:cs="Traditional Arabic"/>
          <w:color w:val="1A1A1A"/>
          <w:sz w:val="24"/>
          <w:szCs w:val="24"/>
          <w:rtl/>
        </w:rPr>
        <w:t xml:space="preserve">, M. E. P. (2002). </w:t>
      </w:r>
      <w:proofErr w:type="spellStart"/>
      <w:r>
        <w:rPr>
          <w:rFonts w:ascii="Traditional Arabic" w:eastAsia="Traditional Arabic" w:hAnsi="Traditional Arabic" w:cs="Traditional Arabic"/>
          <w:color w:val="1A1A1A"/>
          <w:sz w:val="24"/>
          <w:szCs w:val="24"/>
          <w:rtl/>
        </w:rPr>
        <w:t>Authentic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Happiness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Using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New</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Positive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Psychology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Realize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Your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Potential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Lasting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Fulfillment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New</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York</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Free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2DC73E3B"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 xml:space="preserve">20. </w:t>
      </w:r>
      <w:proofErr w:type="spellStart"/>
      <w:r>
        <w:rPr>
          <w:rFonts w:ascii="Traditional Arabic" w:eastAsia="Traditional Arabic" w:hAnsi="Traditional Arabic" w:cs="Traditional Arabic"/>
          <w:color w:val="1A1A1A"/>
          <w:sz w:val="24"/>
          <w:szCs w:val="24"/>
          <w:rtl/>
        </w:rPr>
        <w:t>Frankl</w:t>
      </w:r>
      <w:proofErr w:type="spellEnd"/>
      <w:r>
        <w:rPr>
          <w:rFonts w:ascii="Traditional Arabic" w:eastAsia="Traditional Arabic" w:hAnsi="Traditional Arabic" w:cs="Traditional Arabic"/>
          <w:color w:val="1A1A1A"/>
          <w:sz w:val="24"/>
          <w:szCs w:val="24"/>
          <w:rtl/>
        </w:rPr>
        <w:t xml:space="preserve">, V. E. (1946/1959). </w:t>
      </w:r>
      <w:proofErr w:type="spellStart"/>
      <w:r>
        <w:rPr>
          <w:rFonts w:ascii="Traditional Arabic" w:eastAsia="Traditional Arabic" w:hAnsi="Traditional Arabic" w:cs="Traditional Arabic"/>
          <w:color w:val="1A1A1A"/>
          <w:sz w:val="24"/>
          <w:szCs w:val="24"/>
          <w:rtl/>
        </w:rPr>
        <w:t>Man's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Search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Meaning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Boston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Beacon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Press</w:t>
      </w:r>
      <w:proofErr w:type="spellEnd"/>
      <w:r>
        <w:rPr>
          <w:rFonts w:ascii="Traditional Arabic" w:eastAsia="Traditional Arabic" w:hAnsi="Traditional Arabic" w:cs="Traditional Arabic"/>
          <w:color w:val="1A1A1A"/>
          <w:sz w:val="24"/>
          <w:szCs w:val="24"/>
          <w:rtl/>
        </w:rPr>
        <w:t>.</w:t>
      </w:r>
    </w:p>
    <w:p w14:paraId="4FAB2B35" w14:textId="77777777" w:rsidR="00D56B6D" w:rsidRDefault="00550476">
      <w:pPr>
        <w:pStyle w:val="2"/>
        <w:bidi/>
        <w:spacing w:before="340" w:after="180"/>
        <w:jc w:val="right"/>
      </w:pPr>
      <w:r>
        <w:rPr>
          <w:rFonts w:ascii="Traditional Arabic" w:eastAsia="Traditional Arabic" w:hAnsi="Traditional Arabic" w:cs="Traditional Arabic"/>
          <w:b/>
          <w:bCs/>
          <w:color w:val="0E5C5C"/>
          <w:sz w:val="30"/>
          <w:szCs w:val="30"/>
          <w:rtl/>
        </w:rPr>
        <w:t>خامساً: مراجع في التراث الإسلامي</w:t>
      </w:r>
    </w:p>
    <w:p w14:paraId="74A57EEC"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21. القرآن الكريم.</w:t>
      </w:r>
    </w:p>
    <w:p w14:paraId="0C030871"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22. الغزالي، أبو حامد. (د.ت.). إحياء علوم الدين. بيروت: دار المعرفة.</w:t>
      </w:r>
    </w:p>
    <w:p w14:paraId="6B678F52" w14:textId="77777777" w:rsidR="00D56B6D" w:rsidRDefault="00550476">
      <w:pPr>
        <w:spacing w:after="120" w:line="300" w:lineRule="auto"/>
        <w:ind w:right="340" w:hanging="340"/>
        <w:jc w:val="both"/>
      </w:pPr>
      <w:r>
        <w:rPr>
          <w:rFonts w:ascii="Traditional Arabic" w:eastAsia="Traditional Arabic" w:hAnsi="Traditional Arabic" w:cs="Traditional Arabic"/>
          <w:color w:val="1A1A1A"/>
          <w:sz w:val="24"/>
          <w:szCs w:val="24"/>
          <w:rtl/>
        </w:rPr>
        <w:t>23. ابن القيم الجوزية. (د.ت.). مدارج السالكين بين منازل إياك نعبد وإياك نستعين. بيروت: دار الكتاب العربي.</w:t>
      </w:r>
    </w:p>
    <w:sectPr w:rsidR="00D56B6D">
      <w:headerReference w:type="default" r:id="rId7"/>
      <w:footerReference w:type="default" r:id="rId8"/>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9985" w14:textId="77777777" w:rsidR="00550476" w:rsidRDefault="00550476">
      <w:r>
        <w:separator/>
      </w:r>
    </w:p>
  </w:endnote>
  <w:endnote w:type="continuationSeparator" w:id="0">
    <w:p w14:paraId="3899814B" w14:textId="77777777" w:rsidR="00550476" w:rsidRDefault="0055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8E0A" w14:textId="77777777" w:rsidR="00D56B6D" w:rsidRDefault="00550476">
    <w:pPr>
      <w:jc w:val="center"/>
    </w:pPr>
    <w:r>
      <w:rPr>
        <w:rFonts w:ascii="Traditional Arabic" w:eastAsia="Traditional Arabic" w:hAnsi="Traditional Arabic" w:cs="Traditional Arabic"/>
        <w:color w:val="1B2E4A"/>
        <w:sz w:val="18"/>
        <w:szCs w:val="18"/>
        <w:rtl/>
      </w:rPr>
      <w:t xml:space="preserve">صفحة </w:t>
    </w:r>
    <w:r>
      <w:rPr>
        <w:rFonts w:ascii="Traditional Arabic" w:eastAsia="Traditional Arabic" w:hAnsi="Traditional Arabic" w:cs="Traditional Arabic"/>
        <w:color w:val="1B2E4A"/>
        <w:sz w:val="18"/>
        <w:szCs w:val="18"/>
        <w:rtl/>
      </w:rPr>
      <w:fldChar w:fldCharType="begin"/>
    </w:r>
    <w:r>
      <w:rPr>
        <w:rFonts w:ascii="Traditional Arabic" w:eastAsia="Traditional Arabic" w:hAnsi="Traditional Arabic" w:cs="Traditional Arabic"/>
        <w:color w:val="1B2E4A"/>
        <w:sz w:val="18"/>
        <w:szCs w:val="18"/>
        <w:rtl/>
      </w:rPr>
      <w:instrText>PAGE</w:instrText>
    </w:r>
    <w:r>
      <w:rPr>
        <w:rFonts w:ascii="Traditional Arabic" w:eastAsia="Traditional Arabic" w:hAnsi="Traditional Arabic" w:cs="Traditional Arabic"/>
        <w:color w:val="1B2E4A"/>
        <w:sz w:val="18"/>
        <w:szCs w:val="18"/>
        <w:rtl/>
      </w:rPr>
      <w:fldChar w:fldCharType="separate"/>
    </w:r>
    <w:r>
      <w:rPr>
        <w:rFonts w:ascii="Traditional Arabic" w:eastAsia="Traditional Arabic" w:hAnsi="Traditional Arabic" w:cs="Traditional Arabic"/>
        <w:color w:val="1B2E4A"/>
        <w:sz w:val="18"/>
        <w:szCs w:val="18"/>
        <w:rtl/>
      </w:rPr>
      <w:fldChar w:fldCharType="end"/>
    </w:r>
    <w:r>
      <w:rPr>
        <w:rFonts w:ascii="Traditional Arabic" w:eastAsia="Traditional Arabic" w:hAnsi="Traditional Arabic" w:cs="Traditional Arabic"/>
        <w:color w:val="1B2E4A"/>
        <w:sz w:val="18"/>
        <w:szCs w:val="18"/>
        <w:rtl/>
      </w:rPr>
      <w:t xml:space="preserve"> من </w:t>
    </w:r>
    <w:r>
      <w:rPr>
        <w:rFonts w:ascii="Traditional Arabic" w:eastAsia="Traditional Arabic" w:hAnsi="Traditional Arabic" w:cs="Traditional Arabic"/>
        <w:color w:val="1B2E4A"/>
        <w:sz w:val="18"/>
        <w:szCs w:val="18"/>
        <w:rtl/>
      </w:rPr>
      <w:fldChar w:fldCharType="begin"/>
    </w:r>
    <w:r>
      <w:rPr>
        <w:rFonts w:ascii="Traditional Arabic" w:eastAsia="Traditional Arabic" w:hAnsi="Traditional Arabic" w:cs="Traditional Arabic"/>
        <w:color w:val="1B2E4A"/>
        <w:sz w:val="18"/>
        <w:szCs w:val="18"/>
        <w:rtl/>
      </w:rPr>
      <w:instrText>NUMPAGES</w:instrText>
    </w:r>
    <w:r>
      <w:rPr>
        <w:rFonts w:ascii="Traditional Arabic" w:eastAsia="Traditional Arabic" w:hAnsi="Traditional Arabic" w:cs="Traditional Arabic"/>
        <w:color w:val="1B2E4A"/>
        <w:sz w:val="18"/>
        <w:szCs w:val="18"/>
        <w:rtl/>
      </w:rPr>
      <w:fldChar w:fldCharType="separate"/>
    </w:r>
    <w:r>
      <w:rPr>
        <w:rFonts w:ascii="Traditional Arabic" w:eastAsia="Traditional Arabic" w:hAnsi="Traditional Arabic" w:cs="Traditional Arabic"/>
        <w:color w:val="1B2E4A"/>
        <w:sz w:val="18"/>
        <w:szCs w:val="18"/>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74E0" w14:textId="77777777" w:rsidR="00550476" w:rsidRDefault="00550476">
      <w:r>
        <w:separator/>
      </w:r>
    </w:p>
  </w:footnote>
  <w:footnote w:type="continuationSeparator" w:id="0">
    <w:p w14:paraId="5D316F66" w14:textId="77777777" w:rsidR="00550476" w:rsidRDefault="0055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2E87" w14:textId="77777777" w:rsidR="00D56B6D" w:rsidRDefault="00550476">
    <w:pPr>
      <w:pBdr>
        <w:bottom w:val="single" w:sz="6" w:space="4" w:color="B8892E"/>
      </w:pBdr>
      <w:jc w:val="center"/>
    </w:pPr>
    <w:r>
      <w:rPr>
        <w:rFonts w:ascii="Traditional Arabic" w:eastAsia="Traditional Arabic" w:hAnsi="Traditional Arabic" w:cs="Traditional Arabic"/>
        <w:i/>
        <w:iCs/>
        <w:color w:val="0E5C5C"/>
        <w:sz w:val="18"/>
        <w:szCs w:val="18"/>
        <w:rtl/>
      </w:rPr>
      <w:t>علم النفس الاستخلافي — دراسة إبستمولوجية نقدية موسّعة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13E1C"/>
    <w:multiLevelType w:val="hybridMultilevel"/>
    <w:tmpl w:val="FFFFFFFF"/>
    <w:lvl w:ilvl="0" w:tplc="EAE03ECA">
      <w:start w:val="1"/>
      <w:numFmt w:val="bullet"/>
      <w:lvlText w:val="●"/>
      <w:lvlJc w:val="left"/>
      <w:pPr>
        <w:ind w:left="720" w:hanging="360"/>
      </w:pPr>
    </w:lvl>
    <w:lvl w:ilvl="1" w:tplc="4CBAFE58">
      <w:start w:val="1"/>
      <w:numFmt w:val="bullet"/>
      <w:lvlText w:val="○"/>
      <w:lvlJc w:val="left"/>
      <w:pPr>
        <w:ind w:left="1440" w:hanging="360"/>
      </w:pPr>
    </w:lvl>
    <w:lvl w:ilvl="2" w:tplc="2510279C">
      <w:start w:val="1"/>
      <w:numFmt w:val="bullet"/>
      <w:lvlText w:val="■"/>
      <w:lvlJc w:val="left"/>
      <w:pPr>
        <w:ind w:left="2160" w:hanging="360"/>
      </w:pPr>
    </w:lvl>
    <w:lvl w:ilvl="3" w:tplc="10444018">
      <w:start w:val="1"/>
      <w:numFmt w:val="bullet"/>
      <w:lvlText w:val="●"/>
      <w:lvlJc w:val="left"/>
      <w:pPr>
        <w:ind w:left="2880" w:hanging="360"/>
      </w:pPr>
    </w:lvl>
    <w:lvl w:ilvl="4" w:tplc="58005516">
      <w:start w:val="1"/>
      <w:numFmt w:val="bullet"/>
      <w:lvlText w:val="○"/>
      <w:lvlJc w:val="left"/>
      <w:pPr>
        <w:ind w:left="3600" w:hanging="360"/>
      </w:pPr>
    </w:lvl>
    <w:lvl w:ilvl="5" w:tplc="99C483C6">
      <w:start w:val="1"/>
      <w:numFmt w:val="bullet"/>
      <w:lvlText w:val="■"/>
      <w:lvlJc w:val="left"/>
      <w:pPr>
        <w:ind w:left="4320" w:hanging="360"/>
      </w:pPr>
    </w:lvl>
    <w:lvl w:ilvl="6" w:tplc="D5D87630">
      <w:start w:val="1"/>
      <w:numFmt w:val="bullet"/>
      <w:lvlText w:val="●"/>
      <w:lvlJc w:val="left"/>
      <w:pPr>
        <w:ind w:left="5040" w:hanging="360"/>
      </w:pPr>
    </w:lvl>
    <w:lvl w:ilvl="7" w:tplc="809EC156">
      <w:start w:val="1"/>
      <w:numFmt w:val="bullet"/>
      <w:lvlText w:val="●"/>
      <w:lvlJc w:val="left"/>
      <w:pPr>
        <w:ind w:left="5760" w:hanging="360"/>
      </w:pPr>
    </w:lvl>
    <w:lvl w:ilvl="8" w:tplc="8500D6C6">
      <w:start w:val="1"/>
      <w:numFmt w:val="bullet"/>
      <w:lvlText w:val="●"/>
      <w:lvlJc w:val="left"/>
      <w:pPr>
        <w:ind w:left="6480" w:hanging="360"/>
      </w:pPr>
    </w:lvl>
  </w:abstractNum>
  <w:num w:numId="1" w16cid:durableId="4606162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B6D"/>
    <w:rsid w:val="00550476"/>
    <w:rsid w:val="0071755D"/>
    <w:rsid w:val="00D56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E7BF5D4"/>
  <w15:docId w15:val="{B1E44F5F-9585-AB4D-A6F4-45D1FB4D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3524</Words>
  <Characters>20092</Characters>
  <Application>Microsoft Office Word</Application>
  <DocSecurity>0</DocSecurity>
  <Lines>167</Lines>
  <Paragraphs>47</Paragraphs>
  <ScaleCrop>false</ScaleCrop>
  <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2026-08-03T14:05:00Z</dcterms:created>
  <dcterms:modified xsi:type="dcterms:W3CDTF">2026-08-03T14:05:00Z</dcterms:modified>
</cp:coreProperties>
</file>