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12FE0" w14:textId="77777777" w:rsidR="00501368" w:rsidRDefault="00501368">
      <w:pPr>
        <w:spacing w:before="1200"/>
        <w:rPr>
          <w:rFonts w:cs="Arial" w:hint="cs"/>
        </w:rPr>
      </w:pPr>
    </w:p>
    <w:p w14:paraId="6886688F" w14:textId="77777777" w:rsidR="00501368" w:rsidRDefault="00000000">
      <w:pPr>
        <w:spacing w:after="200"/>
        <w:jc w:val="center"/>
        <w:rPr>
          <w:rFonts w:cs="Arial"/>
        </w:rPr>
      </w:pPr>
      <w:r>
        <w:rPr>
          <w:b/>
          <w:bCs/>
          <w:color w:val="1B3A5C"/>
          <w:sz w:val="64"/>
          <w:szCs w:val="64"/>
        </w:rPr>
        <w:t>النموذج الاستخلافي</w:t>
      </w:r>
    </w:p>
    <w:p w14:paraId="07661B08" w14:textId="77777777" w:rsidR="00501368" w:rsidRDefault="00000000">
      <w:pPr>
        <w:spacing w:after="500"/>
        <w:jc w:val="center"/>
        <w:rPr>
          <w:rFonts w:cs="Arial"/>
        </w:rPr>
      </w:pPr>
      <w:r>
        <w:rPr>
          <w:color w:val="0E6E6E"/>
          <w:sz w:val="34"/>
          <w:szCs w:val="34"/>
        </w:rPr>
        <w:t xml:space="preserve">تسعة عشر مكوّنًا تؤسس </w:t>
      </w:r>
      <w:proofErr w:type="spellStart"/>
      <w:r>
        <w:rPr>
          <w:color w:val="0E6E6E"/>
          <w:sz w:val="34"/>
          <w:szCs w:val="34"/>
        </w:rPr>
        <w:t>لبارادايم</w:t>
      </w:r>
      <w:proofErr w:type="spellEnd"/>
      <w:r>
        <w:rPr>
          <w:color w:val="0E6E6E"/>
          <w:sz w:val="34"/>
          <w:szCs w:val="34"/>
        </w:rPr>
        <w:t xml:space="preserve"> معرفي جديد</w:t>
      </w:r>
    </w:p>
    <w:p w14:paraId="7327B6A7" w14:textId="228DC4ED" w:rsidR="00501368" w:rsidRDefault="00000000">
      <w:pPr>
        <w:spacing w:after="200"/>
        <w:jc w:val="center"/>
        <w:rPr>
          <w:rFonts w:cs="Arial"/>
        </w:rPr>
      </w:pPr>
      <w:r>
        <w:rPr>
          <w:i/>
          <w:iCs/>
          <w:color w:val="1A1A1A"/>
        </w:rPr>
        <w:t>قراءة أكاديمية  في البنية المعرفية لعلم النفس الاستخلافي</w:t>
      </w:r>
    </w:p>
    <w:p w14:paraId="55972013" w14:textId="77777777" w:rsidR="00501368" w:rsidRDefault="00501368">
      <w:pPr>
        <w:spacing w:after="600"/>
        <w:rPr>
          <w:rFonts w:cs="Arial"/>
        </w:rPr>
      </w:pPr>
    </w:p>
    <w:tbl>
      <w:tblPr>
        <w:tblW w:w="5000" w:type="pct"/>
        <w:tblBorders>
          <w:top w:val="single" w:sz="16" w:space="0" w:color="B8860B"/>
          <w:left w:val="single" w:sz="16" w:space="0" w:color="B8860B"/>
          <w:bottom w:val="single" w:sz="16" w:space="0" w:color="B8860B"/>
          <w:right w:val="single" w:sz="16"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0"/>
      </w:tblGrid>
      <w:tr w:rsidR="00501368" w14:paraId="09EE88DF" w14:textId="77777777">
        <w:tblPrEx>
          <w:tblCellMar>
            <w:top w:w="0" w:type="dxa"/>
            <w:bottom w:w="0" w:type="dxa"/>
          </w:tblCellMar>
        </w:tblPrEx>
        <w:tc>
          <w:tcPr>
            <w:tcW w:w="0" w:type="auto"/>
            <w:shd w:val="clear" w:color="auto" w:fill="FBF3D9"/>
            <w:tcMar>
              <w:top w:w="200" w:type="dxa"/>
              <w:left w:w="300" w:type="dxa"/>
              <w:bottom w:w="200" w:type="dxa"/>
              <w:right w:w="300" w:type="dxa"/>
            </w:tcMar>
            <w:vAlign w:val="center"/>
          </w:tcPr>
          <w:p w14:paraId="21B6590A" w14:textId="77777777" w:rsidR="00501368" w:rsidRDefault="00000000">
            <w:pPr>
              <w:spacing w:after="100"/>
              <w:jc w:val="center"/>
              <w:rPr>
                <w:rFonts w:cs="Arial"/>
              </w:rPr>
            </w:pPr>
            <w:r>
              <w:rPr>
                <w:b/>
                <w:bCs/>
                <w:color w:val="1B3A5C"/>
                <w:sz w:val="30"/>
                <w:szCs w:val="30"/>
              </w:rPr>
              <w:t>﴿ إِنِّي جَاعِلٌ فِي الْأَرْضِ خَلِيفَةً ﴾</w:t>
            </w:r>
          </w:p>
          <w:p w14:paraId="6B8289D4" w14:textId="77777777" w:rsidR="00501368" w:rsidRDefault="00000000">
            <w:pPr>
              <w:jc w:val="center"/>
              <w:rPr>
                <w:rFonts w:cs="Arial"/>
              </w:rPr>
            </w:pPr>
            <w:r>
              <w:rPr>
                <w:color w:val="0E6E6E"/>
                <w:sz w:val="22"/>
                <w:szCs w:val="22"/>
              </w:rPr>
              <w:t>سورة البقرة: 30</w:t>
            </w:r>
          </w:p>
        </w:tc>
      </w:tr>
    </w:tbl>
    <w:p w14:paraId="1F059A6C" w14:textId="77777777" w:rsidR="00501368" w:rsidRDefault="00501368">
      <w:pPr>
        <w:spacing w:after="800"/>
        <w:rPr>
          <w:rFonts w:cs="Arial"/>
        </w:rPr>
      </w:pPr>
    </w:p>
    <w:p w14:paraId="3501D8AF" w14:textId="77777777" w:rsidR="00501368" w:rsidRDefault="00000000">
      <w:pPr>
        <w:spacing w:before="800"/>
        <w:jc w:val="center"/>
        <w:rPr>
          <w:rFonts w:cs="Arial"/>
        </w:rPr>
      </w:pPr>
      <w:r>
        <w:rPr>
          <w:b/>
          <w:bCs/>
          <w:color w:val="1B3A5C"/>
        </w:rPr>
        <w:t>إعداد: عبد السلام الزراع</w:t>
      </w:r>
    </w:p>
    <w:p w14:paraId="22E274F0" w14:textId="469CCB44" w:rsidR="00501368" w:rsidRDefault="00000000">
      <w:pPr>
        <w:jc w:val="center"/>
        <w:rPr>
          <w:rFonts w:cs="Arial"/>
        </w:rPr>
      </w:pPr>
      <w:r>
        <w:rPr>
          <w:color w:val="0E6E6E"/>
          <w:sz w:val="22"/>
          <w:szCs w:val="22"/>
        </w:rPr>
        <w:t>الطبعة الأكاديمية  — 2026</w:t>
      </w:r>
    </w:p>
    <w:p w14:paraId="64ACD9FA" w14:textId="77777777" w:rsidR="00501368" w:rsidRDefault="00000000">
      <w:pPr>
        <w:rPr>
          <w:rFonts w:cs="Arial"/>
        </w:rPr>
      </w:pPr>
      <w:r>
        <w:br w:type="page"/>
      </w:r>
    </w:p>
    <w:p w14:paraId="56332DE7" w14:textId="77777777" w:rsidR="00501368" w:rsidRDefault="00000000">
      <w:pPr>
        <w:pStyle w:val="1"/>
        <w:pBdr>
          <w:bottom w:val="single" w:sz="12" w:space="6" w:color="B8860B"/>
        </w:pBdr>
        <w:bidi/>
        <w:spacing w:before="500" w:after="260"/>
        <w:rPr>
          <w:rFonts w:cs="Arial"/>
        </w:rPr>
      </w:pPr>
      <w:r>
        <w:rPr>
          <w:b/>
          <w:bCs/>
          <w:color w:val="1B3A5C"/>
          <w:sz w:val="34"/>
          <w:szCs w:val="34"/>
        </w:rPr>
        <w:t>تمهيد موسّع: في معنى "المنظومة" و"القطيعة المعرفية"</w:t>
      </w:r>
    </w:p>
    <w:p w14:paraId="0474C7D8" w14:textId="77777777" w:rsidR="00501368" w:rsidRDefault="00000000">
      <w:pPr>
        <w:spacing w:after="200" w:line="340" w:lineRule="auto"/>
        <w:jc w:val="both"/>
        <w:rPr>
          <w:rFonts w:cs="Arial"/>
        </w:rPr>
      </w:pPr>
      <w:r>
        <w:rPr>
          <w:color w:val="1A1A1A"/>
        </w:rPr>
        <w:t>لا يُقدّم مشروع الباحث عبد السلام الزراع نفسه بوصفه مجرّد "إضافة" إلى حقل علم النفس الإسلامي، ولا بوصفه "تلفيقًا" بين مقولات التراث ومناهج الحداثة. إنه – في جوهره – مشروع "قطيعة معرفية" (</w:t>
      </w:r>
      <w:proofErr w:type="spellStart"/>
      <w:r>
        <w:rPr>
          <w:color w:val="1A1A1A"/>
        </w:rPr>
        <w:t>Épistémologique</w:t>
      </w:r>
      <w:proofErr w:type="spellEnd"/>
      <w:r>
        <w:rPr>
          <w:color w:val="1A1A1A"/>
        </w:rPr>
        <w:t xml:space="preserve"> </w:t>
      </w:r>
      <w:proofErr w:type="spellStart"/>
      <w:r>
        <w:rPr>
          <w:color w:val="1A1A1A"/>
        </w:rPr>
        <w:t>Rupture</w:t>
      </w:r>
      <w:proofErr w:type="spellEnd"/>
      <w:r>
        <w:rPr>
          <w:color w:val="1A1A1A"/>
        </w:rPr>
        <w:t>) واعٍ، يسعى إلى تأسيس "</w:t>
      </w:r>
      <w:proofErr w:type="spellStart"/>
      <w:r>
        <w:rPr>
          <w:color w:val="1A1A1A"/>
        </w:rPr>
        <w:t>بارادايم</w:t>
      </w:r>
      <w:proofErr w:type="spellEnd"/>
      <w:r>
        <w:rPr>
          <w:color w:val="1A1A1A"/>
        </w:rPr>
        <w:t xml:space="preserve"> كوني جديد" ينطلق من "المركزية التوحيدية"، ويجمع بين "المسطور" (الوحي) و"المنظور" (الكون)، ويعيد تعريف الإنسان من "مستهلك سلبي" إلى "خليفة مسؤول".</w:t>
      </w:r>
      <w:r>
        <w:rPr>
          <w:i/>
          <w:iCs/>
          <w:color w:val="0E6E6E"/>
        </w:rPr>
        <w:t xml:space="preserve"> [152، 889]</w:t>
      </w:r>
    </w:p>
    <w:p w14:paraId="0F23638B" w14:textId="77777777" w:rsidR="00501368" w:rsidRDefault="00000000">
      <w:pPr>
        <w:spacing w:after="200" w:line="340" w:lineRule="auto"/>
        <w:jc w:val="both"/>
        <w:rPr>
          <w:rFonts w:cs="Arial"/>
        </w:rPr>
      </w:pPr>
      <w:r>
        <w:rPr>
          <w:color w:val="1A1A1A"/>
        </w:rPr>
        <w:t>غير أن هذه "القطيعة" ليست – كما قد يُظن – قطيعةً مع "العقل الحديث" بإطلاق، بل هي، بتعبير أدق، "إعادة توطين" (</w:t>
      </w:r>
      <w:proofErr w:type="spellStart"/>
      <w:r>
        <w:rPr>
          <w:color w:val="1A1A1A"/>
        </w:rPr>
        <w:t>Re-siting</w:t>
      </w:r>
      <w:proofErr w:type="spellEnd"/>
      <w:r>
        <w:rPr>
          <w:color w:val="1A1A1A"/>
        </w:rPr>
        <w:t>) لهذا العقل داخل أفق ميتافيزيقي متعالٍ يمنحه غايته النهائية. ولتوضيح طبيعة هذه الإعادة، يُستعان هنا – على سبيل "العدسة التحليلية" لا "المرجعية المعيارية" – بمفهوم "</w:t>
      </w:r>
      <w:proofErr w:type="spellStart"/>
      <w:r>
        <w:rPr>
          <w:color w:val="1A1A1A"/>
        </w:rPr>
        <w:t>البارادايم</w:t>
      </w:r>
      <w:proofErr w:type="spellEnd"/>
      <w:r>
        <w:rPr>
          <w:color w:val="1A1A1A"/>
        </w:rPr>
        <w:t>" (</w:t>
      </w:r>
      <w:proofErr w:type="spellStart"/>
      <w:r>
        <w:rPr>
          <w:color w:val="1A1A1A"/>
        </w:rPr>
        <w:t>Paradigm</w:t>
      </w:r>
      <w:proofErr w:type="spellEnd"/>
      <w:r>
        <w:rPr>
          <w:color w:val="1A1A1A"/>
        </w:rPr>
        <w:t>) عند فيلسوف العلم توماس كون، الذي ميّز بين "العلم العادي" العامل داخل منظومة مفروغ منها، و"العلم الثوري" الذي يستبدل المنظومة بأكملها إثر تراكم "الشذوذات" (</w:t>
      </w:r>
      <w:proofErr w:type="spellStart"/>
      <w:r>
        <w:rPr>
          <w:color w:val="1A1A1A"/>
        </w:rPr>
        <w:t>Anomalies</w:t>
      </w:r>
      <w:proofErr w:type="spellEnd"/>
      <w:r>
        <w:rPr>
          <w:color w:val="1A1A1A"/>
        </w:rPr>
        <w:t xml:space="preserve">) التي يعجز </w:t>
      </w:r>
      <w:proofErr w:type="spellStart"/>
      <w:r>
        <w:rPr>
          <w:color w:val="1A1A1A"/>
        </w:rPr>
        <w:t>البارادايم</w:t>
      </w:r>
      <w:proofErr w:type="spellEnd"/>
      <w:r>
        <w:rPr>
          <w:color w:val="1A1A1A"/>
        </w:rPr>
        <w:t xml:space="preserve"> القديم عن استيعابها. ويزعم مشروع الزراع أن علم النفس الحديث – بافتراضاته الوضعية والعلمانية – قد بلغ نقطة تراكم مماثلة من "الشذوذات" الوجودية والروحية التي يعالجها "النموذج الاستخلافي" بوصفه بديلًا لا ترقيعًا.</w:t>
      </w:r>
    </w:p>
    <w:p w14:paraId="5BAE7634" w14:textId="77777777" w:rsidR="00501368" w:rsidRDefault="00000000">
      <w:pPr>
        <w:spacing w:after="200" w:line="340" w:lineRule="auto"/>
        <w:jc w:val="both"/>
        <w:rPr>
          <w:rFonts w:cs="Arial"/>
        </w:rPr>
      </w:pPr>
      <w:r>
        <w:rPr>
          <w:color w:val="1A1A1A"/>
        </w:rPr>
        <w:t>ولأن "</w:t>
      </w:r>
      <w:proofErr w:type="spellStart"/>
      <w:r>
        <w:rPr>
          <w:color w:val="1A1A1A"/>
        </w:rPr>
        <w:t>البارادايم</w:t>
      </w:r>
      <w:proofErr w:type="spellEnd"/>
      <w:r>
        <w:rPr>
          <w:color w:val="1A1A1A"/>
        </w:rPr>
        <w:t xml:space="preserve">" – بمنطق كون – لا يقوم على "فكرة" واحدة، بل على "منظومة" متكاملة من "المفاهيم" و"النماذج" و"الأدوات"، فقد صاغ الزراع مشروعه في تسعة عشر مكوّنًا رئيسيًا، تتوزّع على ثلاثة مستويات: "أطروحات علمية كبرى" تؤسس للرؤية العامة، و"نظريات </w:t>
      </w:r>
      <w:proofErr w:type="spellStart"/>
      <w:r>
        <w:rPr>
          <w:color w:val="1A1A1A"/>
        </w:rPr>
        <w:t>إبستمولوجية</w:t>
      </w:r>
      <w:proofErr w:type="spellEnd"/>
      <w:r>
        <w:rPr>
          <w:color w:val="1A1A1A"/>
        </w:rPr>
        <w:t>" تضبط منهج النظر والمعرفة، و"مفاهيم وآليات تطبيقية" تنقل المشروع من التنظير إلى الممارسة.</w:t>
      </w:r>
    </w:p>
    <w:p w14:paraId="4EF99742" w14:textId="77777777" w:rsidR="00501368" w:rsidRDefault="00000000">
      <w:pPr>
        <w:pStyle w:val="2"/>
        <w:bidi/>
        <w:spacing w:before="380" w:after="200"/>
        <w:rPr>
          <w:rFonts w:cs="Arial"/>
        </w:rPr>
      </w:pPr>
      <w:r>
        <w:rPr>
          <w:b/>
          <w:bCs/>
          <w:color w:val="0E6E6E"/>
          <w:sz w:val="29"/>
          <w:szCs w:val="29"/>
        </w:rPr>
        <w:t>موقع المشروع من حركة "أسلمة المعرفة"</w:t>
      </w:r>
    </w:p>
    <w:p w14:paraId="582CAE2B" w14:textId="77777777" w:rsidR="00501368" w:rsidRDefault="00000000">
      <w:pPr>
        <w:spacing w:after="200" w:line="340" w:lineRule="auto"/>
        <w:jc w:val="both"/>
        <w:rPr>
          <w:rFonts w:cs="Arial"/>
        </w:rPr>
      </w:pPr>
      <w:r>
        <w:rPr>
          <w:color w:val="1A1A1A"/>
        </w:rPr>
        <w:t>من الأمانة العلمية التمييز بين مشروع "النموذج الاستخلافي" وبين حركة "أسلمة المعرفة" (</w:t>
      </w:r>
      <w:proofErr w:type="spellStart"/>
      <w:r>
        <w:rPr>
          <w:color w:val="1A1A1A"/>
        </w:rPr>
        <w:t>Islamization</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Knowledge</w:t>
      </w:r>
      <w:proofErr w:type="spellEnd"/>
      <w:r>
        <w:rPr>
          <w:color w:val="1A1A1A"/>
        </w:rPr>
        <w:t>) التي بلورها إسماعيل الفاروقي في ثمانينيات القرن الماضي، والتي طوّرها لاحقًا باحثون من أمثال وان محمد نور وان داود. فبينما تقوم "</w:t>
      </w:r>
      <w:proofErr w:type="spellStart"/>
      <w:r>
        <w:rPr>
          <w:color w:val="1A1A1A"/>
        </w:rPr>
        <w:t>الأسلمة</w:t>
      </w:r>
      <w:proofErr w:type="spellEnd"/>
      <w:r>
        <w:rPr>
          <w:color w:val="1A1A1A"/>
        </w:rPr>
        <w:t>" غالبًا على استراتيجية "الدمج" بين المعرفة الحديثة القائمة والأصول الإسلامية – أي على منطق "الإضافة التصحيحية" – يطمح "النموذج الاستخلافي" إلى موقع أكثر جذرية: بناء "</w:t>
      </w:r>
      <w:proofErr w:type="spellStart"/>
      <w:r>
        <w:rPr>
          <w:color w:val="1A1A1A"/>
        </w:rPr>
        <w:t>بارادايم</w:t>
      </w:r>
      <w:proofErr w:type="spellEnd"/>
      <w:r>
        <w:rPr>
          <w:color w:val="1A1A1A"/>
        </w:rPr>
        <w:t xml:space="preserve">" مستقل من الأساس، لا </w:t>
      </w:r>
      <w:proofErr w:type="spellStart"/>
      <w:r>
        <w:rPr>
          <w:color w:val="1A1A1A"/>
        </w:rPr>
        <w:t>يتموضع</w:t>
      </w:r>
      <w:proofErr w:type="spellEnd"/>
      <w:r>
        <w:rPr>
          <w:color w:val="1A1A1A"/>
        </w:rPr>
        <w:t xml:space="preserve"> كـ"تعديل" على علم النفس الغربي، بل كمنظومة نديّة تحاوره من نقطة استقلال </w:t>
      </w:r>
      <w:proofErr w:type="spellStart"/>
      <w:r>
        <w:rPr>
          <w:color w:val="1A1A1A"/>
        </w:rPr>
        <w:t>إبستمولوجي</w:t>
      </w:r>
      <w:proofErr w:type="spellEnd"/>
      <w:r>
        <w:rPr>
          <w:color w:val="1A1A1A"/>
        </w:rPr>
        <w:t>. وهذا الطموح، على أهميته، يطرح – كما سيأتي في فصل النقد الذاتي – سؤالًا مشروعًا حول معايير التحقق من هذا "الاستقلال" تجريبيًا وإكلينيكيًا.</w:t>
      </w:r>
    </w:p>
    <w:p w14:paraId="452296BD" w14:textId="77777777" w:rsidR="00501368" w:rsidRDefault="00000000">
      <w:pPr>
        <w:pStyle w:val="2"/>
        <w:bidi/>
        <w:spacing w:before="380" w:after="200"/>
        <w:rPr>
          <w:rFonts w:cs="Arial"/>
        </w:rPr>
      </w:pPr>
      <w:r>
        <w:rPr>
          <w:b/>
          <w:bCs/>
          <w:color w:val="0E6E6E"/>
          <w:sz w:val="29"/>
          <w:szCs w:val="29"/>
        </w:rPr>
        <w:t>البنية الثلاثية: قراءة بعين "برامج البحث العلمي"</w:t>
      </w:r>
    </w:p>
    <w:p w14:paraId="5AFDB8CF" w14:textId="77777777" w:rsidR="00501368" w:rsidRDefault="00000000">
      <w:pPr>
        <w:spacing w:after="200" w:line="340" w:lineRule="auto"/>
        <w:jc w:val="both"/>
        <w:rPr>
          <w:rFonts w:cs="Arial"/>
        </w:rPr>
      </w:pPr>
      <w:r>
        <w:rPr>
          <w:color w:val="1A1A1A"/>
        </w:rPr>
        <w:t>يمكن، على سبيل الاستئناس المنهجي، قراءة البنية الثلاثية للمشروع (أطروحات / نظريات / مفاهيم) في ضوء نموذج "برامج البحث العلمي" (</w:t>
      </w:r>
      <w:proofErr w:type="spellStart"/>
      <w:r>
        <w:rPr>
          <w:color w:val="1A1A1A"/>
        </w:rPr>
        <w:t>Research</w:t>
      </w:r>
      <w:proofErr w:type="spellEnd"/>
      <w:r>
        <w:rPr>
          <w:color w:val="1A1A1A"/>
        </w:rPr>
        <w:t xml:space="preserve"> </w:t>
      </w:r>
      <w:proofErr w:type="spellStart"/>
      <w:r>
        <w:rPr>
          <w:color w:val="1A1A1A"/>
        </w:rPr>
        <w:t>Programmes</w:t>
      </w:r>
      <w:proofErr w:type="spellEnd"/>
      <w:r>
        <w:rPr>
          <w:color w:val="1A1A1A"/>
        </w:rPr>
        <w:t xml:space="preserve">) عند إمري </w:t>
      </w:r>
      <w:proofErr w:type="spellStart"/>
      <w:r>
        <w:rPr>
          <w:color w:val="1A1A1A"/>
        </w:rPr>
        <w:t>لاكاتوش</w:t>
      </w:r>
      <w:proofErr w:type="spellEnd"/>
      <w:r>
        <w:rPr>
          <w:color w:val="1A1A1A"/>
        </w:rPr>
        <w:t>، الذي ميّز بين "نواة صلبة" (</w:t>
      </w:r>
      <w:proofErr w:type="spellStart"/>
      <w:r>
        <w:rPr>
          <w:color w:val="1A1A1A"/>
        </w:rPr>
        <w:t>Hard</w:t>
      </w:r>
      <w:proofErr w:type="spellEnd"/>
      <w:r>
        <w:rPr>
          <w:color w:val="1A1A1A"/>
        </w:rPr>
        <w:t xml:space="preserve"> </w:t>
      </w:r>
      <w:proofErr w:type="spellStart"/>
      <w:r>
        <w:rPr>
          <w:color w:val="1A1A1A"/>
        </w:rPr>
        <w:t>Core</w:t>
      </w:r>
      <w:proofErr w:type="spellEnd"/>
      <w:r>
        <w:rPr>
          <w:color w:val="1A1A1A"/>
        </w:rPr>
        <w:t>) لا تُراجَع، و"حزام واقٍ" (</w:t>
      </w:r>
      <w:proofErr w:type="spellStart"/>
      <w:r>
        <w:rPr>
          <w:color w:val="1A1A1A"/>
        </w:rPr>
        <w:t>Protective</w:t>
      </w:r>
      <w:proofErr w:type="spellEnd"/>
      <w:r>
        <w:rPr>
          <w:color w:val="1A1A1A"/>
        </w:rPr>
        <w:t xml:space="preserve"> </w:t>
      </w:r>
      <w:proofErr w:type="spellStart"/>
      <w:r>
        <w:rPr>
          <w:color w:val="1A1A1A"/>
        </w:rPr>
        <w:t>Belt</w:t>
      </w:r>
      <w:proofErr w:type="spellEnd"/>
      <w:r>
        <w:rPr>
          <w:color w:val="1A1A1A"/>
        </w:rPr>
        <w:t>) من الفرضيات المساعدة القابلة للتعديل، و"إرشادات" (</w:t>
      </w:r>
      <w:proofErr w:type="spellStart"/>
      <w:r>
        <w:rPr>
          <w:color w:val="1A1A1A"/>
        </w:rPr>
        <w:t>Heuristics</w:t>
      </w:r>
      <w:proofErr w:type="spellEnd"/>
      <w:r>
        <w:rPr>
          <w:color w:val="1A1A1A"/>
        </w:rPr>
        <w:t xml:space="preserve">) موجِّهة للبحث المستقبلي. فـ"الأطروحات الكبرى الثلاث" تقوم مقام "النواة الصلبة" غير القابلة للتفاوض (المركزية التوحيدية، النموذج الهرمي القرآني، بروتوكول TLRT)، بينما تشكّل "النظريات </w:t>
      </w:r>
      <w:proofErr w:type="spellStart"/>
      <w:r>
        <w:rPr>
          <w:color w:val="1A1A1A"/>
        </w:rPr>
        <w:t>الإبستمولوجية</w:t>
      </w:r>
      <w:proofErr w:type="spellEnd"/>
      <w:r>
        <w:rPr>
          <w:color w:val="1A1A1A"/>
        </w:rPr>
        <w:t xml:space="preserve"> الست" و"المفاهيم العشرة" "الحزام الواقي" القابل للتطوير والمراجعة في ضوء التجربة الإكلينيكية والنقد الأكاديمي. وهذا التمييز، وإن كان تحليليًا لا تصريحيًا من المؤلف، يفتح بابًا مهمًا لسؤال كارل بوبر عن "القابلية للتفنيد" (</w:t>
      </w:r>
      <w:proofErr w:type="spellStart"/>
      <w:r>
        <w:rPr>
          <w:color w:val="1A1A1A"/>
        </w:rPr>
        <w:t>Falsifiability</w:t>
      </w:r>
      <w:proofErr w:type="spellEnd"/>
      <w:r>
        <w:rPr>
          <w:color w:val="1A1A1A"/>
        </w:rPr>
        <w:t>)، وهو سؤال يستحق أن يُطرح بصراحة داخل المشروع نفسه لا خارجه فحسب.</w:t>
      </w:r>
    </w:p>
    <w:p w14:paraId="52A7C978" w14:textId="77777777" w:rsidR="00501368" w:rsidRDefault="00000000">
      <w:pPr>
        <w:rPr>
          <w:rFonts w:cs="Arial"/>
        </w:rPr>
      </w:pPr>
      <w:r>
        <w:br w:type="page"/>
      </w:r>
    </w:p>
    <w:p w14:paraId="09E8EC7E" w14:textId="77777777" w:rsidR="00501368" w:rsidRDefault="00000000">
      <w:pPr>
        <w:pStyle w:val="1"/>
        <w:pBdr>
          <w:bottom w:val="single" w:sz="12" w:space="6" w:color="B8860B"/>
        </w:pBdr>
        <w:bidi/>
        <w:spacing w:before="500" w:after="260"/>
        <w:rPr>
          <w:rFonts w:cs="Arial"/>
        </w:rPr>
      </w:pPr>
      <w:r>
        <w:rPr>
          <w:b/>
          <w:bCs/>
          <w:color w:val="1B3A5C"/>
          <w:sz w:val="34"/>
          <w:szCs w:val="34"/>
        </w:rPr>
        <w:t>المستوى الأول: الأطروحات العلمية الكبرى (٣ أطروحات)</w:t>
      </w:r>
    </w:p>
    <w:p w14:paraId="47C566D4" w14:textId="77777777" w:rsidR="00501368" w:rsidRDefault="00000000">
      <w:pPr>
        <w:spacing w:after="200" w:line="340" w:lineRule="auto"/>
        <w:jc w:val="both"/>
        <w:rPr>
          <w:rFonts w:cs="Arial"/>
        </w:rPr>
      </w:pPr>
      <w:r>
        <w:rPr>
          <w:color w:val="1A1A1A"/>
        </w:rPr>
        <w:t>هي "الأعمدة" التي يقوم عليها "البناء" بأكمله. تقدم كل واحدة منها "رؤية كلية" لمجال محوري من مجالات المعرفة، وهي – بخلاف "النظريات" و"المفاهيم" اللاحقة – تمثّل الالتزامات التأسيسية التي لا يقوم المشروع من دونها.</w:t>
      </w:r>
    </w:p>
    <w:p w14:paraId="7B06B0AC" w14:textId="77777777" w:rsidR="00501368" w:rsidRDefault="00000000">
      <w:pPr>
        <w:pStyle w:val="2"/>
        <w:bidi/>
        <w:spacing w:before="380" w:after="200"/>
        <w:rPr>
          <w:rFonts w:cs="Arial"/>
        </w:rPr>
      </w:pPr>
      <w:r>
        <w:rPr>
          <w:b/>
          <w:bCs/>
          <w:color w:val="0E6E6E"/>
          <w:sz w:val="29"/>
          <w:szCs w:val="29"/>
        </w:rPr>
        <w:t xml:space="preserve">١. </w:t>
      </w:r>
      <w:proofErr w:type="spellStart"/>
      <w:r>
        <w:rPr>
          <w:b/>
          <w:bCs/>
          <w:color w:val="0E6E6E"/>
          <w:sz w:val="29"/>
          <w:szCs w:val="29"/>
        </w:rPr>
        <w:t>البارادايم</w:t>
      </w:r>
      <w:proofErr w:type="spellEnd"/>
      <w:r>
        <w:rPr>
          <w:b/>
          <w:bCs/>
          <w:color w:val="0E6E6E"/>
          <w:sz w:val="29"/>
          <w:szCs w:val="29"/>
        </w:rPr>
        <w:t xml:space="preserve"> الاستخلافي العالمي</w:t>
      </w:r>
    </w:p>
    <w:p w14:paraId="4AB4B8A2" w14:textId="77777777" w:rsidR="00501368" w:rsidRDefault="00000000">
      <w:pPr>
        <w:spacing w:after="200" w:line="340" w:lineRule="auto"/>
        <w:jc w:val="both"/>
        <w:rPr>
          <w:rFonts w:cs="Arial"/>
        </w:rPr>
      </w:pPr>
      <w:r>
        <w:rPr>
          <w:color w:val="1A1A1A"/>
        </w:rPr>
        <w:t>الإطار الكوني الشامل الذي يسعى لإعادة تعريف "الإنسان" و"العلم" و"المجتمع" من منظور "الاستخلاف". إنه "العدسة" الكبرى التي تُقرأ من خلالها "كل" الظواهر، و"النموذج" الذي يُحتذى في "كل" المجالات.</w:t>
      </w:r>
      <w:r>
        <w:rPr>
          <w:i/>
          <w:iCs/>
          <w:color w:val="0E6E6E"/>
        </w:rPr>
        <w:t xml:space="preserve"> [152، 1086]</w:t>
      </w:r>
    </w:p>
    <w:p w14:paraId="121C0C53" w14:textId="77777777" w:rsidR="00501368" w:rsidRDefault="00000000">
      <w:pPr>
        <w:spacing w:after="200" w:line="340" w:lineRule="auto"/>
        <w:jc w:val="both"/>
        <w:rPr>
          <w:rFonts w:cs="Arial"/>
        </w:rPr>
      </w:pPr>
      <w:r>
        <w:rPr>
          <w:color w:val="1A1A1A"/>
        </w:rPr>
        <w:t>يمكن مقاربة هذه الأطروحة نقديًا بمقارنتها مع "العلاج بالمعنى" (</w:t>
      </w:r>
      <w:proofErr w:type="spellStart"/>
      <w:r>
        <w:rPr>
          <w:color w:val="1A1A1A"/>
        </w:rPr>
        <w:t>Logotherapy</w:t>
      </w:r>
      <w:proofErr w:type="spellEnd"/>
      <w:r>
        <w:rPr>
          <w:color w:val="1A1A1A"/>
        </w:rPr>
        <w:t xml:space="preserve">) عند فيكتور </w:t>
      </w:r>
      <w:proofErr w:type="spellStart"/>
      <w:r>
        <w:rPr>
          <w:color w:val="1A1A1A"/>
        </w:rPr>
        <w:t>فرانكل</w:t>
      </w:r>
      <w:proofErr w:type="spellEnd"/>
      <w:r>
        <w:rPr>
          <w:color w:val="1A1A1A"/>
        </w:rPr>
        <w:t xml:space="preserve">، الذي جعل "إرادة المعنى" محورًا للصحة النفسية. فبينما يترك </w:t>
      </w:r>
      <w:proofErr w:type="spellStart"/>
      <w:r>
        <w:rPr>
          <w:color w:val="1A1A1A"/>
        </w:rPr>
        <w:t>فرانكل</w:t>
      </w:r>
      <w:proofErr w:type="spellEnd"/>
      <w:r>
        <w:rPr>
          <w:color w:val="1A1A1A"/>
        </w:rPr>
        <w:t xml:space="preserve"> مصدر المعنى مفتوحًا نسبيًا – يبنيه الفرد عبر العمل أو الحب أو الموقف من المعاناة – يذهب "</w:t>
      </w:r>
      <w:proofErr w:type="spellStart"/>
      <w:r>
        <w:rPr>
          <w:color w:val="1A1A1A"/>
        </w:rPr>
        <w:t>البارادايم</w:t>
      </w:r>
      <w:proofErr w:type="spellEnd"/>
      <w:r>
        <w:rPr>
          <w:color w:val="1A1A1A"/>
        </w:rPr>
        <w:t xml:space="preserve"> الاستخلافي" إلى تأصيل هذا المعنى أنطولوجيًا في "الأمانة" التي حملها الإنسان دون سائر الخلق، فيحوّل "البحث عن المعنى" من مسعى فردي مفتوح إلى "استئناف" لغاية مؤسَّسة سلفًا. وهذا الفارق، وإن كان يمنح المشروع صلابة ميتافيزيقية، يستدعي – من زاوية نقدية مسؤولة، وعلى نحو ما نبّه إليه ميشيل فوكو من مخاطر "الخطابات الكلية" (</w:t>
      </w:r>
      <w:proofErr w:type="spellStart"/>
      <w:r>
        <w:rPr>
          <w:color w:val="1A1A1A"/>
        </w:rPr>
        <w:t>Totalizing</w:t>
      </w:r>
      <w:proofErr w:type="spellEnd"/>
      <w:r>
        <w:rPr>
          <w:color w:val="1A1A1A"/>
        </w:rPr>
        <w:t xml:space="preserve"> </w:t>
      </w:r>
      <w:proofErr w:type="spellStart"/>
      <w:r>
        <w:rPr>
          <w:color w:val="1A1A1A"/>
        </w:rPr>
        <w:t>Discourses</w:t>
      </w:r>
      <w:proofErr w:type="spellEnd"/>
      <w:r>
        <w:rPr>
          <w:color w:val="1A1A1A"/>
        </w:rPr>
        <w:t>) التي تدّعي احتكار الحقيقة – يقظةً منهجية إزاء أي نزوع لتحويل "</w:t>
      </w:r>
      <w:proofErr w:type="spellStart"/>
      <w:r>
        <w:rPr>
          <w:color w:val="1A1A1A"/>
        </w:rPr>
        <w:t>البارادايم</w:t>
      </w:r>
      <w:proofErr w:type="spellEnd"/>
      <w:r>
        <w:rPr>
          <w:color w:val="1A1A1A"/>
        </w:rPr>
        <w:t>" من إطار تفسيري خصب إلى منظومة إغلاق معرفي تُقصي ما لا يتوافق معها ابتداءً.</w:t>
      </w:r>
    </w:p>
    <w:p w14:paraId="59118E17" w14:textId="77777777" w:rsidR="00501368" w:rsidRDefault="00000000">
      <w:pPr>
        <w:pStyle w:val="2"/>
        <w:bidi/>
        <w:spacing w:before="380" w:after="200"/>
        <w:rPr>
          <w:rFonts w:cs="Arial"/>
        </w:rPr>
      </w:pPr>
      <w:r>
        <w:rPr>
          <w:b/>
          <w:bCs/>
          <w:color w:val="0E6E6E"/>
          <w:sz w:val="29"/>
          <w:szCs w:val="29"/>
        </w:rPr>
        <w:t>٢. النموذج الهرمي القرآني للنفس البشرية</w:t>
      </w:r>
    </w:p>
    <w:p w14:paraId="1184DC34" w14:textId="77777777" w:rsidR="00501368" w:rsidRDefault="00000000">
      <w:pPr>
        <w:spacing w:after="200" w:line="340" w:lineRule="auto"/>
        <w:jc w:val="both"/>
        <w:rPr>
          <w:rFonts w:cs="Arial"/>
        </w:rPr>
      </w:pPr>
      <w:r>
        <w:rPr>
          <w:color w:val="1A1A1A"/>
        </w:rPr>
        <w:t>"خريطة" هندسية دقيقة لـ"بنية النفس" و"حركتها"، تقوم على "ثلاثة مستويات" (الأمارة، اللوامة، المطمئنة)، و"قاعدة فطرية" (فجور وتقوى)، و"ثمانية أضلاع" تصف "مسارات التحول" و"الصيرورة". إنه "العمود الفقري" للمشروع.</w:t>
      </w:r>
      <w:r>
        <w:rPr>
          <w:i/>
          <w:iCs/>
          <w:color w:val="0E6E6E"/>
        </w:rPr>
        <w:t xml:space="preserve"> [156، 170، 958]</w:t>
      </w:r>
    </w:p>
    <w:p w14:paraId="3100742F" w14:textId="77777777" w:rsidR="00501368" w:rsidRDefault="00000000">
      <w:pPr>
        <w:spacing w:after="200" w:line="340" w:lineRule="auto"/>
        <w:jc w:val="both"/>
        <w:rPr>
          <w:rFonts w:cs="Arial"/>
        </w:rPr>
      </w:pPr>
      <w:r>
        <w:rPr>
          <w:color w:val="1A1A1A"/>
        </w:rPr>
        <w:t xml:space="preserve">تجد هذه الثلاثية جذورها العميقة في التراث النفسي الصوفي الكلاسيكي، وبخاصة في "إحياء علوم الدين" لأبي حامد الغزالي، حيث تُعرَض مقامات النفس ومنازلها بوصفها مسارًا للترقي الأخلاقي لا مجرد تصنيف وصفي ساكن، وفي "مدارج السالكين" لابن قيّم الجوزية، الذي فصّل "منازل إياك نعبد وإياك نستعين" بدقة تراتبية تقترب من منطق "الخريطة الهرمية" التي يقترحها الزراع. وقد يميل قارئ متعجّل إلى مقارنة هذا التقسيم الثلاثي بالبنية </w:t>
      </w:r>
      <w:proofErr w:type="spellStart"/>
      <w:r>
        <w:rPr>
          <w:color w:val="1A1A1A"/>
        </w:rPr>
        <w:t>الفرويدية</w:t>
      </w:r>
      <w:proofErr w:type="spellEnd"/>
      <w:r>
        <w:rPr>
          <w:color w:val="1A1A1A"/>
        </w:rPr>
        <w:t xml:space="preserve"> الثلاثية (الهو، الأنا، الأنا الأعلى)؛ غير أن المقارنة، إن أُخذت حرفيًا، تنطوي على مغالطة تسوية زائفة (</w:t>
      </w:r>
      <w:proofErr w:type="spellStart"/>
      <w:r>
        <w:rPr>
          <w:color w:val="1A1A1A"/>
        </w:rPr>
        <w:t>False</w:t>
      </w:r>
      <w:proofErr w:type="spellEnd"/>
      <w:r>
        <w:rPr>
          <w:color w:val="1A1A1A"/>
        </w:rPr>
        <w:t xml:space="preserve"> </w:t>
      </w:r>
      <w:proofErr w:type="spellStart"/>
      <w:r>
        <w:rPr>
          <w:color w:val="1A1A1A"/>
        </w:rPr>
        <w:t>Equivalence</w:t>
      </w:r>
      <w:proofErr w:type="spellEnd"/>
      <w:r>
        <w:rPr>
          <w:color w:val="1A1A1A"/>
        </w:rPr>
        <w:t xml:space="preserve">): فالتقسيم </w:t>
      </w:r>
      <w:proofErr w:type="spellStart"/>
      <w:r>
        <w:rPr>
          <w:color w:val="1A1A1A"/>
        </w:rPr>
        <w:t>الفرويدي</w:t>
      </w:r>
      <w:proofErr w:type="spellEnd"/>
      <w:r>
        <w:rPr>
          <w:color w:val="1A1A1A"/>
        </w:rPr>
        <w:t xml:space="preserve"> بنيوي-صراعي </w:t>
      </w:r>
      <w:proofErr w:type="spellStart"/>
      <w:r>
        <w:rPr>
          <w:color w:val="1A1A1A"/>
        </w:rPr>
        <w:t>مرجعيته</w:t>
      </w:r>
      <w:proofErr w:type="spellEnd"/>
      <w:r>
        <w:rPr>
          <w:color w:val="1A1A1A"/>
        </w:rPr>
        <w:t xml:space="preserve"> الطاقة الغريزية (</w:t>
      </w:r>
      <w:proofErr w:type="spellStart"/>
      <w:r>
        <w:rPr>
          <w:color w:val="1A1A1A"/>
        </w:rPr>
        <w:t>الليبيدو</w:t>
      </w:r>
      <w:proofErr w:type="spellEnd"/>
      <w:r>
        <w:rPr>
          <w:color w:val="1A1A1A"/>
        </w:rPr>
        <w:t xml:space="preserve">)، بينما التقسيم القرآني حركي-أخلاقي </w:t>
      </w:r>
      <w:proofErr w:type="spellStart"/>
      <w:r>
        <w:rPr>
          <w:color w:val="1A1A1A"/>
        </w:rPr>
        <w:t>مرجعيته</w:t>
      </w:r>
      <w:proofErr w:type="spellEnd"/>
      <w:r>
        <w:rPr>
          <w:color w:val="1A1A1A"/>
        </w:rPr>
        <w:t xml:space="preserve"> "التزكية" والمآل </w:t>
      </w:r>
      <w:proofErr w:type="spellStart"/>
      <w:r>
        <w:rPr>
          <w:color w:val="1A1A1A"/>
        </w:rPr>
        <w:t>الأخروي</w:t>
      </w:r>
      <w:proofErr w:type="spellEnd"/>
      <w:r>
        <w:rPr>
          <w:color w:val="1A1A1A"/>
        </w:rPr>
        <w:t>؛ والمشترك بينهما لا يتجاوز التوازي الشكلي في "التعدد الداخلي للنفس"، وهو ما ينبغي التنبيه إليه صراحة تفاديًا لاختزال أحد النموذجين في الآخر.</w:t>
      </w:r>
    </w:p>
    <w:p w14:paraId="7975F8E0" w14:textId="77777777" w:rsidR="00501368" w:rsidRDefault="00000000">
      <w:pPr>
        <w:pStyle w:val="2"/>
        <w:bidi/>
        <w:spacing w:before="380" w:after="200"/>
        <w:rPr>
          <w:rFonts w:cs="Arial"/>
        </w:rPr>
      </w:pPr>
      <w:r>
        <w:rPr>
          <w:b/>
          <w:bCs/>
          <w:color w:val="0E6E6E"/>
          <w:sz w:val="29"/>
          <w:szCs w:val="29"/>
        </w:rPr>
        <w:t>٣. بروتوكول TLRT (العلاج بحرث المصالحة التحويلية)</w:t>
      </w:r>
    </w:p>
    <w:p w14:paraId="3DD9A65B" w14:textId="77777777" w:rsidR="00501368" w:rsidRDefault="00000000">
      <w:pPr>
        <w:spacing w:after="200" w:line="340" w:lineRule="auto"/>
        <w:jc w:val="both"/>
        <w:rPr>
          <w:rFonts w:cs="Arial"/>
        </w:rPr>
      </w:pPr>
      <w:r>
        <w:rPr>
          <w:color w:val="1A1A1A"/>
        </w:rPr>
        <w:t xml:space="preserve">"منهجية علاجية سريرية متكاملة" لتحويل "عقدة الذنب" و"الآلام الوجودية" إلى "فاعلية </w:t>
      </w:r>
      <w:proofErr w:type="spellStart"/>
      <w:r>
        <w:rPr>
          <w:color w:val="1A1A1A"/>
        </w:rPr>
        <w:t>إحسانية</w:t>
      </w:r>
      <w:proofErr w:type="spellEnd"/>
      <w:r>
        <w:rPr>
          <w:color w:val="1A1A1A"/>
        </w:rPr>
        <w:t>". إنه "الذراع التطبيقي" للمشروع، و"المختبر" الذي تُختبر فيه "فروضه".</w:t>
      </w:r>
      <w:r>
        <w:rPr>
          <w:i/>
          <w:iCs/>
          <w:color w:val="0E6E6E"/>
        </w:rPr>
        <w:t xml:space="preserve"> [689، 798]</w:t>
      </w:r>
    </w:p>
    <w:p w14:paraId="61CFC9FF" w14:textId="77777777" w:rsidR="00501368" w:rsidRDefault="00000000">
      <w:pPr>
        <w:spacing w:after="200" w:line="340" w:lineRule="auto"/>
        <w:jc w:val="both"/>
        <w:rPr>
          <w:rFonts w:cs="Arial"/>
        </w:rPr>
      </w:pPr>
      <w:r>
        <w:rPr>
          <w:color w:val="1A1A1A"/>
        </w:rPr>
        <w:t xml:space="preserve">بوصفه "الذراع التطبيقي" للمنظومة بأكملها، يقع على بروتوكول TLRT عبء إثبات لا يقع على الأطروحات النظرية الأخرى: عبء "الفعالية الإكلينيكية القابلة للقياس". وهنا يجدر بالأمانة العلمية أن تُسجَّل بوضوح – وهي ملاحظة يتبناها المشروع نفسه ضمن التزامه بالنقد الذاتي – أن الطبعة الحالية للبروتوكول لا تزال "تجريبية" بالمعنى الدقيق: أي أنها لم تخضع بعد لدراسات تحقق </w:t>
      </w:r>
      <w:proofErr w:type="spellStart"/>
      <w:r>
        <w:rPr>
          <w:color w:val="1A1A1A"/>
        </w:rPr>
        <w:t>مُمنهجة</w:t>
      </w:r>
      <w:proofErr w:type="spellEnd"/>
      <w:r>
        <w:rPr>
          <w:color w:val="1A1A1A"/>
        </w:rPr>
        <w:t xml:space="preserve"> (كتجارب عشوائية محكومة، أو دراسات حالة متعددة موثّقة وفق معايير CONSORT أو ما يقاربها) تقارن نتائجها بمجموعات ضابطة أو ببروتوكولات علاجية مؤسَّسة كالعلاج المعرفي السلوكي. وحتى تتوفر هذه الشواهد التجريبية، يبقى الوصف الأدق لـ TLRT أنه "نموذج نظري-إكلينيكي واعد" لا "بروتوكول مُتحقَّق من فعاليته"، وهو تمييز لا يقلّل من قيمة الجهد التأسيسي بل يحدد بدقة موقعه على مسار البحث العلمي التراكمي.</w:t>
      </w:r>
    </w:p>
    <w:p w14:paraId="7B852CC6" w14:textId="77777777" w:rsidR="00501368" w:rsidRDefault="00000000">
      <w:pPr>
        <w:rPr>
          <w:rFonts w:cs="Arial"/>
        </w:rPr>
      </w:pPr>
      <w:r>
        <w:br w:type="page"/>
      </w:r>
    </w:p>
    <w:p w14:paraId="3F13B2C6" w14:textId="77777777" w:rsidR="00501368" w:rsidRDefault="00000000">
      <w:pPr>
        <w:pStyle w:val="1"/>
        <w:pBdr>
          <w:bottom w:val="single" w:sz="12" w:space="6" w:color="B8860B"/>
        </w:pBdr>
        <w:bidi/>
        <w:spacing w:before="500" w:after="260"/>
        <w:rPr>
          <w:rFonts w:cs="Arial"/>
        </w:rPr>
      </w:pPr>
      <w:r>
        <w:rPr>
          <w:b/>
          <w:bCs/>
          <w:color w:val="1B3A5C"/>
          <w:sz w:val="34"/>
          <w:szCs w:val="34"/>
        </w:rPr>
        <w:t xml:space="preserve">المستوى الثاني: النظريات </w:t>
      </w:r>
      <w:proofErr w:type="spellStart"/>
      <w:r>
        <w:rPr>
          <w:b/>
          <w:bCs/>
          <w:color w:val="1B3A5C"/>
          <w:sz w:val="34"/>
          <w:szCs w:val="34"/>
        </w:rPr>
        <w:t>الإبستمولوجية</w:t>
      </w:r>
      <w:proofErr w:type="spellEnd"/>
      <w:r>
        <w:rPr>
          <w:b/>
          <w:bCs/>
          <w:color w:val="1B3A5C"/>
          <w:sz w:val="34"/>
          <w:szCs w:val="34"/>
        </w:rPr>
        <w:t xml:space="preserve"> الست (٦ نظريات)</w:t>
      </w:r>
    </w:p>
    <w:p w14:paraId="71BE1FBB" w14:textId="77777777" w:rsidR="00501368" w:rsidRDefault="00000000">
      <w:pPr>
        <w:spacing w:after="200" w:line="340" w:lineRule="auto"/>
        <w:jc w:val="both"/>
        <w:rPr>
          <w:rFonts w:cs="Arial"/>
        </w:rPr>
      </w:pPr>
      <w:r>
        <w:rPr>
          <w:color w:val="1A1A1A"/>
        </w:rPr>
        <w:t xml:space="preserve">إذا كانت "الأطروحات الكبرى" تُجيب عن سؤال "ماذا نعرف؟"، فإن "النظريات </w:t>
      </w:r>
      <w:proofErr w:type="spellStart"/>
      <w:r>
        <w:rPr>
          <w:color w:val="1A1A1A"/>
        </w:rPr>
        <w:t>الإبستمولوجية</w:t>
      </w:r>
      <w:proofErr w:type="spellEnd"/>
      <w:r>
        <w:rPr>
          <w:color w:val="1A1A1A"/>
        </w:rPr>
        <w:t>" تُجيب عن سؤال "كيف نعرف؟" و"لماذا؟". إنها "البوصلة" التي تُوجه "المعرفة" و"العمل".</w:t>
      </w:r>
    </w:p>
    <w:p w14:paraId="25D445EA" w14:textId="77777777" w:rsidR="00501368" w:rsidRDefault="00000000">
      <w:pPr>
        <w:pStyle w:val="2"/>
        <w:bidi/>
        <w:spacing w:before="380" w:after="200"/>
        <w:rPr>
          <w:rFonts w:cs="Arial"/>
        </w:rPr>
      </w:pPr>
      <w:r>
        <w:rPr>
          <w:b/>
          <w:bCs/>
          <w:color w:val="0E6E6E"/>
          <w:sz w:val="29"/>
          <w:szCs w:val="29"/>
        </w:rPr>
        <w:t>٤. فلسفة السيادة الأخلاقية</w:t>
      </w:r>
    </w:p>
    <w:p w14:paraId="5B8AFAF2" w14:textId="77777777" w:rsidR="00501368" w:rsidRDefault="00000000">
      <w:pPr>
        <w:spacing w:after="200" w:line="340" w:lineRule="auto"/>
        <w:jc w:val="both"/>
        <w:rPr>
          <w:rFonts w:cs="Arial"/>
        </w:rPr>
      </w:pPr>
      <w:r>
        <w:rPr>
          <w:color w:val="1A1A1A"/>
        </w:rPr>
        <w:t>أطروحة في "الفلسفة السياسية" تجعل "السيادة" – في "الحقيقة" – ليست "للأشخاص" ولا "للقوانين الوضعية"، بل "للمنظومة الأخلاقية" المستمدة من "الوحي". إنها "الأساس النظري" لـ"الدولة الاستخلافية".</w:t>
      </w:r>
      <w:r>
        <w:rPr>
          <w:i/>
          <w:iCs/>
          <w:color w:val="0E6E6E"/>
        </w:rPr>
        <w:t xml:space="preserve"> [850، 1246]</w:t>
      </w:r>
    </w:p>
    <w:p w14:paraId="7DCA070D" w14:textId="77777777" w:rsidR="00501368" w:rsidRDefault="00000000">
      <w:pPr>
        <w:spacing w:after="200" w:line="340" w:lineRule="auto"/>
        <w:jc w:val="both"/>
        <w:rPr>
          <w:rFonts w:cs="Arial"/>
        </w:rPr>
      </w:pPr>
      <w:r>
        <w:rPr>
          <w:color w:val="1A1A1A"/>
        </w:rPr>
        <w:t>تدخل هذه الأطروحة في حوار مباشر مع إشكالية وائل حلاق في "الدولة المستحيلة"، حيث يرى حلاق أن الدولة القومية الحديثة، بحكم بنيتها السيادية والبيروقراطية، تستحيل أن تكون "إسلامية" حقًا لأنها تحلّ محلّ الشريعة كمرجعية أخلاقية-قانونية عضوية بمنظومة قانون وضعي مركزي. ويمكن قراءة "فلسفة السيادة الأخلاقية" عند الزراع محاولةً لتجاوز هذا "الاستحالة" عبر نقل مفهوم السيادة نفسه من "الجهاز" إلى "المنظومة القيمية". ومن زاوية مقارِنة، تفيد أخلاقيات الخطاب (</w:t>
      </w:r>
      <w:proofErr w:type="spellStart"/>
      <w:r>
        <w:rPr>
          <w:color w:val="1A1A1A"/>
        </w:rPr>
        <w:t>Discourse</w:t>
      </w:r>
      <w:proofErr w:type="spellEnd"/>
      <w:r>
        <w:rPr>
          <w:color w:val="1A1A1A"/>
        </w:rPr>
        <w:t xml:space="preserve"> </w:t>
      </w:r>
      <w:proofErr w:type="spellStart"/>
      <w:r>
        <w:rPr>
          <w:color w:val="1A1A1A"/>
        </w:rPr>
        <w:t>Ethics</w:t>
      </w:r>
      <w:proofErr w:type="spellEnd"/>
      <w:r>
        <w:rPr>
          <w:color w:val="1A1A1A"/>
        </w:rPr>
        <w:t xml:space="preserve">) عند </w:t>
      </w:r>
      <w:proofErr w:type="spellStart"/>
      <w:r>
        <w:rPr>
          <w:color w:val="1A1A1A"/>
        </w:rPr>
        <w:t>يورغن</w:t>
      </w:r>
      <w:proofErr w:type="spellEnd"/>
      <w:r>
        <w:rPr>
          <w:color w:val="1A1A1A"/>
        </w:rPr>
        <w:t xml:space="preserve"> </w:t>
      </w:r>
      <w:proofErr w:type="spellStart"/>
      <w:r>
        <w:rPr>
          <w:color w:val="1A1A1A"/>
        </w:rPr>
        <w:t>هابرماس</w:t>
      </w:r>
      <w:proofErr w:type="spellEnd"/>
      <w:r>
        <w:rPr>
          <w:color w:val="1A1A1A"/>
        </w:rPr>
        <w:t xml:space="preserve"> – القائمة على شرعية الإجراء التداولي بين ذوات عاقلة حرة ومتساوية – في توضيح نقطة التمايز الحاسمة: فبينما تُستمَد الشرعية عند </w:t>
      </w:r>
      <w:proofErr w:type="spellStart"/>
      <w:r>
        <w:rPr>
          <w:color w:val="1A1A1A"/>
        </w:rPr>
        <w:t>هابرماس</w:t>
      </w:r>
      <w:proofErr w:type="spellEnd"/>
      <w:r>
        <w:rPr>
          <w:color w:val="1A1A1A"/>
        </w:rPr>
        <w:t xml:space="preserve"> من "صحة الإجراء" التواصلي، تُستمَد عند الزراع من "صحة المصدر" المتعالي، وهو ما يطرح سؤالًا مشروعًا يستحق معالجة نظرية أعمق: كيف تُدار التعددية </w:t>
      </w:r>
      <w:proofErr w:type="spellStart"/>
      <w:r>
        <w:rPr>
          <w:color w:val="1A1A1A"/>
        </w:rPr>
        <w:t>الرأيية</w:t>
      </w:r>
      <w:proofErr w:type="spellEnd"/>
      <w:r>
        <w:rPr>
          <w:color w:val="1A1A1A"/>
        </w:rPr>
        <w:t xml:space="preserve"> والفقهية داخل "منظومة أخلاقية" واحدة معلنة السيادة دون الانزلاق نحو نسخة جديدة من المركزية الإقصائية؟</w:t>
      </w:r>
    </w:p>
    <w:p w14:paraId="4A7D8891" w14:textId="77777777" w:rsidR="00501368" w:rsidRDefault="00000000">
      <w:pPr>
        <w:pStyle w:val="2"/>
        <w:bidi/>
        <w:spacing w:before="380" w:after="200"/>
        <w:rPr>
          <w:rFonts w:cs="Arial"/>
        </w:rPr>
      </w:pPr>
      <w:r>
        <w:rPr>
          <w:b/>
          <w:bCs/>
          <w:color w:val="0E6E6E"/>
          <w:sz w:val="29"/>
          <w:szCs w:val="29"/>
        </w:rPr>
        <w:t xml:space="preserve">٥. </w:t>
      </w:r>
      <w:proofErr w:type="spellStart"/>
      <w:r>
        <w:rPr>
          <w:b/>
          <w:bCs/>
          <w:color w:val="0E6E6E"/>
          <w:sz w:val="29"/>
          <w:szCs w:val="29"/>
        </w:rPr>
        <w:t>الإنسانوية</w:t>
      </w:r>
      <w:proofErr w:type="spellEnd"/>
      <w:r>
        <w:rPr>
          <w:b/>
          <w:bCs/>
          <w:color w:val="0E6E6E"/>
          <w:sz w:val="29"/>
          <w:szCs w:val="29"/>
        </w:rPr>
        <w:t xml:space="preserve"> الروحية</w:t>
      </w:r>
    </w:p>
    <w:p w14:paraId="4CECEC7B" w14:textId="77777777" w:rsidR="00501368" w:rsidRDefault="00000000">
      <w:pPr>
        <w:spacing w:after="200" w:line="340" w:lineRule="auto"/>
        <w:jc w:val="both"/>
        <w:rPr>
          <w:rFonts w:cs="Arial"/>
        </w:rPr>
      </w:pPr>
      <w:r>
        <w:rPr>
          <w:color w:val="1A1A1A"/>
        </w:rPr>
        <w:t>"أنثروبولوجيا فلسفية" تُعيد تعريف "الإنسان" من "كائن مستهلك" إلى "خليفة مؤتمن"، وتُؤصل لـ"كرامته" في "النفخة الإلهية" و"الميثاق الأزلي"، لا في "كفاءته المادية".</w:t>
      </w:r>
      <w:r>
        <w:rPr>
          <w:i/>
          <w:iCs/>
          <w:color w:val="0E6E6E"/>
        </w:rPr>
        <w:t xml:space="preserve"> [851، 1086]</w:t>
      </w:r>
    </w:p>
    <w:p w14:paraId="3839014D" w14:textId="77777777" w:rsidR="00501368" w:rsidRDefault="00000000">
      <w:pPr>
        <w:spacing w:after="200" w:line="340" w:lineRule="auto"/>
        <w:jc w:val="both"/>
        <w:rPr>
          <w:rFonts w:cs="Arial"/>
        </w:rPr>
      </w:pPr>
      <w:r>
        <w:rPr>
          <w:color w:val="1A1A1A"/>
        </w:rPr>
        <w:t xml:space="preserve">تلتقي هذه الأطروحة، من بعيد، مع نقد </w:t>
      </w:r>
      <w:proofErr w:type="spellStart"/>
      <w:r>
        <w:rPr>
          <w:color w:val="1A1A1A"/>
        </w:rPr>
        <w:t>ألاسدير</w:t>
      </w:r>
      <w:proofErr w:type="spellEnd"/>
      <w:r>
        <w:rPr>
          <w:color w:val="1A1A1A"/>
        </w:rPr>
        <w:t xml:space="preserve"> </w:t>
      </w:r>
      <w:proofErr w:type="spellStart"/>
      <w:r>
        <w:rPr>
          <w:color w:val="1A1A1A"/>
        </w:rPr>
        <w:t>ماكنتاير</w:t>
      </w:r>
      <w:proofErr w:type="spellEnd"/>
      <w:r>
        <w:rPr>
          <w:color w:val="1A1A1A"/>
        </w:rPr>
        <w:t xml:space="preserve"> في "بعد الفضيلة" (</w:t>
      </w:r>
      <w:proofErr w:type="spellStart"/>
      <w:r>
        <w:rPr>
          <w:color w:val="1A1A1A"/>
        </w:rPr>
        <w:t>After</w:t>
      </w:r>
      <w:proofErr w:type="spellEnd"/>
      <w:r>
        <w:rPr>
          <w:color w:val="1A1A1A"/>
        </w:rPr>
        <w:t xml:space="preserve"> </w:t>
      </w:r>
      <w:proofErr w:type="spellStart"/>
      <w:r>
        <w:rPr>
          <w:color w:val="1A1A1A"/>
        </w:rPr>
        <w:t>Virtue</w:t>
      </w:r>
      <w:proofErr w:type="spellEnd"/>
      <w:r>
        <w:rPr>
          <w:color w:val="1A1A1A"/>
        </w:rPr>
        <w:t>) لتشظّي الأخلاق الحديثة إثر انفصالها عن أي "غاية" (</w:t>
      </w:r>
      <w:proofErr w:type="spellStart"/>
      <w:r>
        <w:rPr>
          <w:color w:val="1A1A1A"/>
        </w:rPr>
        <w:t>Telos</w:t>
      </w:r>
      <w:proofErr w:type="spellEnd"/>
      <w:r>
        <w:rPr>
          <w:color w:val="1A1A1A"/>
        </w:rPr>
        <w:t>) جوهرية للإنسان بعد سقوط المشروع الأرسطي-</w:t>
      </w:r>
      <w:proofErr w:type="spellStart"/>
      <w:r>
        <w:rPr>
          <w:color w:val="1A1A1A"/>
        </w:rPr>
        <w:t>التوماوي</w:t>
      </w:r>
      <w:proofErr w:type="spellEnd"/>
      <w:r>
        <w:rPr>
          <w:color w:val="1A1A1A"/>
        </w:rPr>
        <w:t xml:space="preserve"> في الفلسفة الغربية؛ فكلا الطرحين يشتركان في تشخيص "الأزمة" بوصفها فقدانًا لغائية متعالية للوجود الإنساني، وإن اختلفا جذريًا في الحل المقترح: عودة </w:t>
      </w:r>
      <w:proofErr w:type="spellStart"/>
      <w:r>
        <w:rPr>
          <w:color w:val="1A1A1A"/>
        </w:rPr>
        <w:t>ماكنتاير</w:t>
      </w:r>
      <w:proofErr w:type="spellEnd"/>
      <w:r>
        <w:rPr>
          <w:color w:val="1A1A1A"/>
        </w:rPr>
        <w:t xml:space="preserve"> إلى تقليد الفضيلة الأرسطي المُعاد صياغته داخل "مجتمعات الممارسة"، مقابل تأصيل الزراع الكرامة في "الأمانة" القرآنية والميثاق الأزلي بين الله والإنسان (الأعراف: 172). وهذا التقاطع، رغم اختلاف المرجعيتين، يمنح "</w:t>
      </w:r>
      <w:proofErr w:type="spellStart"/>
      <w:r>
        <w:rPr>
          <w:color w:val="1A1A1A"/>
        </w:rPr>
        <w:t>الإنسانوية</w:t>
      </w:r>
      <w:proofErr w:type="spellEnd"/>
      <w:r>
        <w:rPr>
          <w:color w:val="1A1A1A"/>
        </w:rPr>
        <w:t xml:space="preserve"> الروحية" سندًا مقارنًا لجدّية تشخيصها لأزمة الإنسان الحديث بمعزل عن الاتفاق مع حلها التأصيلي.</w:t>
      </w:r>
    </w:p>
    <w:p w14:paraId="7DF3BFE9" w14:textId="77777777" w:rsidR="00501368" w:rsidRDefault="00000000">
      <w:pPr>
        <w:pStyle w:val="2"/>
        <w:bidi/>
        <w:spacing w:before="380" w:after="200"/>
        <w:rPr>
          <w:rFonts w:cs="Arial"/>
        </w:rPr>
      </w:pPr>
      <w:r>
        <w:rPr>
          <w:b/>
          <w:bCs/>
          <w:color w:val="0E6E6E"/>
          <w:sz w:val="29"/>
          <w:szCs w:val="29"/>
        </w:rPr>
        <w:t>٦. الاندماج الخالق</w:t>
      </w:r>
    </w:p>
    <w:p w14:paraId="0B163ECA" w14:textId="77777777" w:rsidR="00501368" w:rsidRDefault="00000000">
      <w:pPr>
        <w:spacing w:after="200" w:line="340" w:lineRule="auto"/>
        <w:jc w:val="both"/>
        <w:rPr>
          <w:rFonts w:cs="Arial"/>
        </w:rPr>
      </w:pPr>
      <w:r>
        <w:rPr>
          <w:color w:val="1A1A1A"/>
        </w:rPr>
        <w:t>"استراتيجية" في "فلسفة المعرفة" ترفض "التبعية" للفكر الغربي و"الانغلاق" عنه معًا، وتدعو إلى "استيعاب" مناهجه و"إعادة صهرها" داخل "المركزية التوحيدية" لخدمة "غاية الاستخلاف".</w:t>
      </w:r>
      <w:r>
        <w:rPr>
          <w:i/>
          <w:iCs/>
          <w:color w:val="0E6E6E"/>
        </w:rPr>
        <w:t xml:space="preserve"> [852، 1007]</w:t>
      </w:r>
    </w:p>
    <w:p w14:paraId="6F73897F" w14:textId="77777777" w:rsidR="00501368" w:rsidRDefault="00000000">
      <w:pPr>
        <w:spacing w:after="200" w:line="340" w:lineRule="auto"/>
        <w:jc w:val="both"/>
        <w:rPr>
          <w:rFonts w:cs="Arial"/>
        </w:rPr>
      </w:pPr>
      <w:proofErr w:type="spellStart"/>
      <w:r>
        <w:rPr>
          <w:color w:val="1A1A1A"/>
        </w:rPr>
        <w:t>تتموضع</w:t>
      </w:r>
      <w:proofErr w:type="spellEnd"/>
      <w:r>
        <w:rPr>
          <w:color w:val="1A1A1A"/>
        </w:rPr>
        <w:t xml:space="preserve"> هذه الاستراتيجية بين قطبين رفضهما المشروع صراحة: "التغريب" الذي يستورد المناهج الغربية دون تمحيص، و"الانغلاق" الذي يرفضها بإطلاق دفاعًا عن "أصالة" متوهَّمة. والمنهجية المقترحة – الاستيعاب النقدي وإعادة الصهر – تُذكِّر منهجيًا بتقاليد "اللاهوت المقارن </w:t>
      </w:r>
      <w:proofErr w:type="spellStart"/>
      <w:r>
        <w:rPr>
          <w:color w:val="1A1A1A"/>
        </w:rPr>
        <w:t>الاستقبالي</w:t>
      </w:r>
      <w:proofErr w:type="spellEnd"/>
      <w:r>
        <w:rPr>
          <w:color w:val="1A1A1A"/>
        </w:rPr>
        <w:t>" (</w:t>
      </w:r>
      <w:proofErr w:type="spellStart"/>
      <w:r>
        <w:rPr>
          <w:color w:val="1A1A1A"/>
        </w:rPr>
        <w:t>Receptive</w:t>
      </w:r>
      <w:proofErr w:type="spellEnd"/>
      <w:r>
        <w:rPr>
          <w:color w:val="1A1A1A"/>
        </w:rPr>
        <w:t xml:space="preserve"> </w:t>
      </w:r>
      <w:proofErr w:type="spellStart"/>
      <w:r>
        <w:rPr>
          <w:color w:val="1A1A1A"/>
        </w:rPr>
        <w:t>Ecumenism</w:t>
      </w:r>
      <w:proofErr w:type="spellEnd"/>
      <w:r>
        <w:rPr>
          <w:color w:val="1A1A1A"/>
        </w:rPr>
        <w:t>) في الحوار المسيحي-اليهودي المعاصر، حيث يُنظر إلى تعلم الآخر لا كتهديد للهوية بل كفرصة لإغناء التقليد الذاتي من داخله. غير أن معيار "الصهر" ذاته – أي متى يُعَدّ مفهوم غربي "مُستوعَبًا" بنجاح ومتى يبقى "دخيلًا" يُشوّه البنية الأصلية – لا يزال بحاجة إلى صياغة أكثر صرامة، إذ إن غياب معايير تشغيلية واضحة لهذا التمييز يترك الباب مفتوحًا لاجتهادات متفاوتة الدقة بين الباحثين الذين يطبّقون هذه الاستراتيجية.</w:t>
      </w:r>
    </w:p>
    <w:p w14:paraId="3E6EBD3B" w14:textId="77777777" w:rsidR="00501368" w:rsidRDefault="00000000">
      <w:pPr>
        <w:pStyle w:val="2"/>
        <w:bidi/>
        <w:spacing w:before="380" w:after="200"/>
        <w:rPr>
          <w:rFonts w:cs="Arial"/>
        </w:rPr>
      </w:pPr>
      <w:r>
        <w:rPr>
          <w:b/>
          <w:bCs/>
          <w:color w:val="0E6E6E"/>
          <w:sz w:val="29"/>
          <w:szCs w:val="29"/>
        </w:rPr>
        <w:t>٧. الكينتسوغي النفسي والاجتماعي</w:t>
      </w:r>
    </w:p>
    <w:p w14:paraId="395E5015" w14:textId="77777777" w:rsidR="00501368" w:rsidRDefault="00000000">
      <w:pPr>
        <w:spacing w:after="200" w:line="340" w:lineRule="auto"/>
        <w:jc w:val="both"/>
        <w:rPr>
          <w:rFonts w:cs="Arial"/>
        </w:rPr>
      </w:pPr>
      <w:r>
        <w:rPr>
          <w:color w:val="1A1A1A"/>
        </w:rPr>
        <w:t xml:space="preserve">"فلسفة علاجية </w:t>
      </w:r>
      <w:proofErr w:type="spellStart"/>
      <w:r>
        <w:rPr>
          <w:color w:val="1A1A1A"/>
        </w:rPr>
        <w:t>وسوسيولوجية</w:t>
      </w:r>
      <w:proofErr w:type="spellEnd"/>
      <w:r>
        <w:rPr>
          <w:color w:val="1A1A1A"/>
        </w:rPr>
        <w:t>" مستوحاة من "الفن الياباني" في ترميم "الخزف" بالذهب. لا تُخفي "الجراح" ولا "الأخطاء"، بل تُرممها بـ"ذهب الإحسان"، فتصبح "مصدر قوة" و"تميز".</w:t>
      </w:r>
      <w:r>
        <w:rPr>
          <w:i/>
          <w:iCs/>
          <w:color w:val="0E6E6E"/>
        </w:rPr>
        <w:t xml:space="preserve"> [853، 869، 1173]</w:t>
      </w:r>
    </w:p>
    <w:p w14:paraId="723312B0" w14:textId="77777777" w:rsidR="00501368" w:rsidRDefault="00000000">
      <w:pPr>
        <w:spacing w:after="200" w:line="340" w:lineRule="auto"/>
        <w:jc w:val="both"/>
        <w:rPr>
          <w:rFonts w:cs="Arial"/>
        </w:rPr>
      </w:pPr>
      <w:r>
        <w:rPr>
          <w:color w:val="1A1A1A"/>
        </w:rPr>
        <w:t>تجد هذه الاستعارة الجمالية-العلاجية سندًا تجريبيًا مثيرًا للاهتمام في أدبيات "النمو ما بعد الصدمة" (</w:t>
      </w:r>
      <w:proofErr w:type="spellStart"/>
      <w:r>
        <w:rPr>
          <w:color w:val="1A1A1A"/>
        </w:rPr>
        <w:t>Posttraumatic</w:t>
      </w:r>
      <w:proofErr w:type="spellEnd"/>
      <w:r>
        <w:rPr>
          <w:color w:val="1A1A1A"/>
        </w:rPr>
        <w:t xml:space="preserve"> </w:t>
      </w:r>
      <w:proofErr w:type="spellStart"/>
      <w:r>
        <w:rPr>
          <w:color w:val="1A1A1A"/>
        </w:rPr>
        <w:t>Growth</w:t>
      </w:r>
      <w:proofErr w:type="spellEnd"/>
      <w:r>
        <w:rPr>
          <w:color w:val="1A1A1A"/>
        </w:rPr>
        <w:t xml:space="preserve">) التي بلورها ريتشارد </w:t>
      </w:r>
      <w:proofErr w:type="spellStart"/>
      <w:r>
        <w:rPr>
          <w:color w:val="1A1A1A"/>
        </w:rPr>
        <w:t>تيديشي</w:t>
      </w:r>
      <w:proofErr w:type="spellEnd"/>
      <w:r>
        <w:rPr>
          <w:color w:val="1A1A1A"/>
        </w:rPr>
        <w:t xml:space="preserve"> ولورنس كالهون، والتي تُظهر تجريبيًا أن نسبة معتبرة من الناجين من الصدمات النفسية يبلغون – بعد المعالجة – مستويات من المعنى والعلاقات والقوة الذاتية تفوق ما كانوا عليه قبل الصدمة، لا مجرد "العودة" إلى خط الأساس. وهذا التقارب بين الاستعارة الجمالية الاستخلافية والمعطى التجريبي الغربي يمنح "الكينتسوغي النفسي" أرضية عبر-ثقافية صلبة، شريطة التمييز الدقيق بين "النمو ما بعد الصدمة" بوصفه ظاهرة نفسية-اجتماعية قابلة للقياس، وبين "ذهب الإحسان" بوصفه تأويلًا أخلاقيًا-غائيًا لتلك الظاهرة يستمد معناه من منظومة القيم الاستخلافية لا من علم النفس الوضعي وحده.</w:t>
      </w:r>
    </w:p>
    <w:p w14:paraId="2C60DAB5" w14:textId="77777777" w:rsidR="00501368" w:rsidRDefault="00000000">
      <w:pPr>
        <w:pStyle w:val="2"/>
        <w:bidi/>
        <w:spacing w:before="380" w:after="200"/>
        <w:rPr>
          <w:rFonts w:cs="Arial"/>
        </w:rPr>
      </w:pPr>
      <w:r>
        <w:rPr>
          <w:b/>
          <w:bCs/>
          <w:color w:val="0E6E6E"/>
          <w:sz w:val="29"/>
          <w:szCs w:val="29"/>
        </w:rPr>
        <w:t>٨. المرجعية المتعالية</w:t>
      </w:r>
    </w:p>
    <w:p w14:paraId="1AB31378" w14:textId="77777777" w:rsidR="00501368" w:rsidRDefault="00000000">
      <w:pPr>
        <w:spacing w:after="200" w:line="340" w:lineRule="auto"/>
        <w:jc w:val="both"/>
        <w:rPr>
          <w:rFonts w:cs="Arial"/>
        </w:rPr>
      </w:pPr>
      <w:r>
        <w:rPr>
          <w:color w:val="1A1A1A"/>
        </w:rPr>
        <w:t>"رؤية ميتافيزيقية" تؤكد أن "الطمأنينة" و"المعنى الوجودي" لا "يتحققان" إلا بوجود "مركز متعالٍ" (الله) "يَمنح" "الحياة" و"الموت" و"المعاناة" "دلالتها".</w:t>
      </w:r>
      <w:r>
        <w:rPr>
          <w:i/>
          <w:iCs/>
          <w:color w:val="0E6E6E"/>
        </w:rPr>
        <w:t xml:space="preserve"> [853، 1111]</w:t>
      </w:r>
    </w:p>
    <w:p w14:paraId="62FEA188" w14:textId="77777777" w:rsidR="00501368" w:rsidRDefault="00000000">
      <w:pPr>
        <w:spacing w:after="200" w:line="340" w:lineRule="auto"/>
        <w:jc w:val="both"/>
        <w:rPr>
          <w:rFonts w:cs="Arial"/>
        </w:rPr>
      </w:pPr>
      <w:r>
        <w:rPr>
          <w:color w:val="1A1A1A"/>
        </w:rPr>
        <w:t>يمكن وضع هذه الأطروحة في حوار مباشر مع "المعطيات الأربعة" (</w:t>
      </w:r>
      <w:proofErr w:type="spellStart"/>
      <w:r>
        <w:rPr>
          <w:color w:val="1A1A1A"/>
        </w:rPr>
        <w:t>The</w:t>
      </w:r>
      <w:proofErr w:type="spellEnd"/>
      <w:r>
        <w:rPr>
          <w:color w:val="1A1A1A"/>
        </w:rPr>
        <w:t xml:space="preserve"> </w:t>
      </w:r>
      <w:proofErr w:type="spellStart"/>
      <w:r>
        <w:rPr>
          <w:color w:val="1A1A1A"/>
        </w:rPr>
        <w:t>Four</w:t>
      </w:r>
      <w:proofErr w:type="spellEnd"/>
      <w:r>
        <w:rPr>
          <w:color w:val="1A1A1A"/>
        </w:rPr>
        <w:t xml:space="preserve"> </w:t>
      </w:r>
      <w:proofErr w:type="spellStart"/>
      <w:r>
        <w:rPr>
          <w:color w:val="1A1A1A"/>
        </w:rPr>
        <w:t>Givens</w:t>
      </w:r>
      <w:proofErr w:type="spellEnd"/>
      <w:r>
        <w:rPr>
          <w:color w:val="1A1A1A"/>
        </w:rPr>
        <w:t xml:space="preserve">) التي حدّدها </w:t>
      </w:r>
      <w:proofErr w:type="spellStart"/>
      <w:r>
        <w:rPr>
          <w:color w:val="1A1A1A"/>
        </w:rPr>
        <w:t>إرفن</w:t>
      </w:r>
      <w:proofErr w:type="spellEnd"/>
      <w:r>
        <w:rPr>
          <w:color w:val="1A1A1A"/>
        </w:rPr>
        <w:t xml:space="preserve"> </w:t>
      </w:r>
      <w:proofErr w:type="spellStart"/>
      <w:r>
        <w:rPr>
          <w:color w:val="1A1A1A"/>
        </w:rPr>
        <w:t>يالوم</w:t>
      </w:r>
      <w:proofErr w:type="spellEnd"/>
      <w:r>
        <w:rPr>
          <w:color w:val="1A1A1A"/>
        </w:rPr>
        <w:t xml:space="preserve"> في العلاج الوجودي: الموت، الحرية، العزلة الوجودية، </w:t>
      </w:r>
      <w:proofErr w:type="spellStart"/>
      <w:r>
        <w:rPr>
          <w:color w:val="1A1A1A"/>
        </w:rPr>
        <w:t>واللامعنى</w:t>
      </w:r>
      <w:proofErr w:type="spellEnd"/>
      <w:r>
        <w:rPr>
          <w:color w:val="1A1A1A"/>
        </w:rPr>
        <w:t xml:space="preserve">. فبينما يقترح </w:t>
      </w:r>
      <w:proofErr w:type="spellStart"/>
      <w:r>
        <w:rPr>
          <w:color w:val="1A1A1A"/>
        </w:rPr>
        <w:t>يالوم</w:t>
      </w:r>
      <w:proofErr w:type="spellEnd"/>
      <w:r>
        <w:rPr>
          <w:color w:val="1A1A1A"/>
        </w:rPr>
        <w:t xml:space="preserve"> مواجهة هذه المعطيات مباشرة دون حل ميتافيزيقي جاهز – إذ يرى "</w:t>
      </w:r>
      <w:proofErr w:type="spellStart"/>
      <w:r>
        <w:rPr>
          <w:color w:val="1A1A1A"/>
        </w:rPr>
        <w:t>اللامعنى</w:t>
      </w:r>
      <w:proofErr w:type="spellEnd"/>
      <w:r>
        <w:rPr>
          <w:color w:val="1A1A1A"/>
        </w:rPr>
        <w:t>" معطى بنيويًا يتعين على الإنسان أن يصنع في مواجهته معناه الخاص – تقدّم "المرجعية المتعالية" حلًا مغايرًا جذريًا لمعضلة "</w:t>
      </w:r>
      <w:proofErr w:type="spellStart"/>
      <w:r>
        <w:rPr>
          <w:color w:val="1A1A1A"/>
        </w:rPr>
        <w:t>اللامعنى</w:t>
      </w:r>
      <w:proofErr w:type="spellEnd"/>
      <w:r>
        <w:rPr>
          <w:color w:val="1A1A1A"/>
        </w:rPr>
        <w:t xml:space="preserve">" تحديدًا: بجعل "الوجود المتعالي" لا خيارًا تأويليًا بين خيارات بل شرط إمكان "لكل" معنى ممكن أصلًا. هذا التمايز الحاد بين النموذجين – الوجودي الملحد أو </w:t>
      </w:r>
      <w:proofErr w:type="spellStart"/>
      <w:r>
        <w:rPr>
          <w:color w:val="1A1A1A"/>
        </w:rPr>
        <w:t>اللاأدري</w:t>
      </w:r>
      <w:proofErr w:type="spellEnd"/>
      <w:r>
        <w:rPr>
          <w:color w:val="1A1A1A"/>
        </w:rPr>
        <w:t xml:space="preserve"> من جهة، </w:t>
      </w:r>
      <w:proofErr w:type="spellStart"/>
      <w:r>
        <w:rPr>
          <w:color w:val="1A1A1A"/>
        </w:rPr>
        <w:t>والاستخلافي</w:t>
      </w:r>
      <w:proofErr w:type="spellEnd"/>
      <w:r>
        <w:rPr>
          <w:color w:val="1A1A1A"/>
        </w:rPr>
        <w:t xml:space="preserve"> التوحيدي من جهة أخرى – يستحق أن يُدرَس بوصفه نقطة حوار فلسفي مثمرة لا نقطة قطيعة صامتة، إذ يتشارك الطرفان تشخيص المعضلة الوجودية ذاتها وإن اختلفا حول إمكان حلها ومصدر ذلك الحل.</w:t>
      </w:r>
    </w:p>
    <w:p w14:paraId="5D87CE6C" w14:textId="77777777" w:rsidR="00501368" w:rsidRDefault="00000000">
      <w:pPr>
        <w:pStyle w:val="2"/>
        <w:bidi/>
        <w:spacing w:before="380" w:after="200"/>
        <w:rPr>
          <w:rFonts w:cs="Arial"/>
        </w:rPr>
      </w:pPr>
      <w:r>
        <w:rPr>
          <w:b/>
          <w:bCs/>
          <w:color w:val="0E6E6E"/>
          <w:sz w:val="29"/>
          <w:szCs w:val="29"/>
        </w:rPr>
        <w:t>٩. أركيولوجيا الجرح</w:t>
      </w:r>
    </w:p>
    <w:p w14:paraId="3E06F447" w14:textId="77777777" w:rsidR="00501368" w:rsidRDefault="00000000">
      <w:pPr>
        <w:spacing w:after="200" w:line="340" w:lineRule="auto"/>
        <w:jc w:val="both"/>
        <w:rPr>
          <w:rFonts w:cs="Arial"/>
        </w:rPr>
      </w:pPr>
      <w:r>
        <w:rPr>
          <w:color w:val="1A1A1A"/>
        </w:rPr>
        <w:t xml:space="preserve">"منهجية نقدية" للحفر المعرفي في "النصوص" و"النفوس"، لكشف "الدوافع </w:t>
      </w:r>
      <w:proofErr w:type="spellStart"/>
      <w:r>
        <w:rPr>
          <w:color w:val="1A1A1A"/>
        </w:rPr>
        <w:t>اللاواعية</w:t>
      </w:r>
      <w:proofErr w:type="spellEnd"/>
      <w:r>
        <w:rPr>
          <w:color w:val="1A1A1A"/>
        </w:rPr>
        <w:t>" و"الجروح التأسيسية" التي تقف خلف "المشاريع الفكرية" الكبرى. إنها "مبضع" "النقد" الذي "يُشرّح" به "الخطاب".</w:t>
      </w:r>
      <w:r>
        <w:rPr>
          <w:i/>
          <w:iCs/>
          <w:color w:val="0E6E6E"/>
        </w:rPr>
        <w:t xml:space="preserve"> [1، 854، 1224]</w:t>
      </w:r>
    </w:p>
    <w:p w14:paraId="2BD628FA" w14:textId="77777777" w:rsidR="00501368" w:rsidRDefault="00000000">
      <w:pPr>
        <w:spacing w:after="200" w:line="340" w:lineRule="auto"/>
        <w:jc w:val="both"/>
        <w:rPr>
          <w:rFonts w:cs="Arial"/>
        </w:rPr>
      </w:pPr>
      <w:r>
        <w:rPr>
          <w:color w:val="1A1A1A"/>
        </w:rPr>
        <w:t>يُقرّ المشروع صراحةً – وهذا في ذاته دليل على التزامه بالشفافية المنهجية – بدينه لمنهج "</w:t>
      </w:r>
      <w:proofErr w:type="spellStart"/>
      <w:r>
        <w:rPr>
          <w:color w:val="1A1A1A"/>
        </w:rPr>
        <w:t>الأركيولوجيا</w:t>
      </w:r>
      <w:proofErr w:type="spellEnd"/>
      <w:r>
        <w:rPr>
          <w:color w:val="1A1A1A"/>
        </w:rPr>
        <w:t xml:space="preserve">" </w:t>
      </w:r>
      <w:proofErr w:type="spellStart"/>
      <w:r>
        <w:rPr>
          <w:color w:val="1A1A1A"/>
        </w:rPr>
        <w:t>و"الجينيالوجيا</w:t>
      </w:r>
      <w:proofErr w:type="spellEnd"/>
      <w:r>
        <w:rPr>
          <w:color w:val="1A1A1A"/>
        </w:rPr>
        <w:t xml:space="preserve">" عند ميشيل فوكو، القائم على الحفر تحت "الخطابات" المُعلنة لكشف علاقات القوة والمعرفة التي أنتجتها، وكذلك لقراءة فتحي بن سلامة التحليلية-النفسية للفكر الإسلامي المعاصر (وهو المرجع الرابع المذكور في قائمة المصادر أعلاه)، والتي طبّقت أدوات التحليل النفسي </w:t>
      </w:r>
      <w:proofErr w:type="spellStart"/>
      <w:r>
        <w:rPr>
          <w:color w:val="1A1A1A"/>
        </w:rPr>
        <w:t>اللاكاني</w:t>
      </w:r>
      <w:proofErr w:type="spellEnd"/>
      <w:r>
        <w:rPr>
          <w:color w:val="1A1A1A"/>
        </w:rPr>
        <w:t xml:space="preserve"> على الخطاب الديني والسياسي العربي. غير أن تطبيق هذا "المبضع" النقدي – الذي وُلد أصلًا من موقف تفكيكي مرتاب بكل "مرجعية كلية" – على مشروع يطمح هو نفسه إلى تأسيس "مرجعية متعالية" جديدة، يستدعي درجة عالية من "الانعكاسية المنهجية" (</w:t>
      </w:r>
      <w:proofErr w:type="spellStart"/>
      <w:r>
        <w:rPr>
          <w:color w:val="1A1A1A"/>
        </w:rPr>
        <w:t>Methodological</w:t>
      </w:r>
      <w:proofErr w:type="spellEnd"/>
      <w:r>
        <w:rPr>
          <w:color w:val="1A1A1A"/>
        </w:rPr>
        <w:t xml:space="preserve"> </w:t>
      </w:r>
      <w:proofErr w:type="spellStart"/>
      <w:r>
        <w:rPr>
          <w:color w:val="1A1A1A"/>
        </w:rPr>
        <w:t>Reflexivity</w:t>
      </w:r>
      <w:proofErr w:type="spellEnd"/>
      <w:r>
        <w:rPr>
          <w:color w:val="1A1A1A"/>
        </w:rPr>
        <w:t>): أي استعداد المشروع لتطبيق "أركيولوجيا الجرح" على ذاته لا على خصومه الفكريين فقط. وهذه نقطة يواصل المشروع – بحسب التزامه المعلن بالنقد الذاتي – العمل على تعميقها بوصفها مساحة بحث مفتوحة لا مسألة مُنجَزة.</w:t>
      </w:r>
    </w:p>
    <w:p w14:paraId="51EEC8D9" w14:textId="77777777" w:rsidR="00501368" w:rsidRDefault="00000000">
      <w:pPr>
        <w:rPr>
          <w:rFonts w:cs="Arial"/>
        </w:rPr>
      </w:pPr>
      <w:r>
        <w:br w:type="page"/>
      </w:r>
    </w:p>
    <w:p w14:paraId="509C185A" w14:textId="77777777" w:rsidR="00501368" w:rsidRDefault="00000000">
      <w:pPr>
        <w:pStyle w:val="1"/>
        <w:pBdr>
          <w:bottom w:val="single" w:sz="12" w:space="6" w:color="B8860B"/>
        </w:pBdr>
        <w:bidi/>
        <w:spacing w:before="500" w:after="260"/>
        <w:rPr>
          <w:rFonts w:cs="Arial"/>
        </w:rPr>
      </w:pPr>
      <w:r>
        <w:rPr>
          <w:b/>
          <w:bCs/>
          <w:color w:val="1B3A5C"/>
          <w:sz w:val="34"/>
          <w:szCs w:val="34"/>
        </w:rPr>
        <w:t>المستوى الثالث: المكونات والمفاهيم المركزية (١٠ مكونات)</w:t>
      </w:r>
    </w:p>
    <w:p w14:paraId="0F5F27A3" w14:textId="77777777" w:rsidR="00501368" w:rsidRDefault="00000000">
      <w:pPr>
        <w:spacing w:after="200" w:line="340" w:lineRule="auto"/>
        <w:jc w:val="both"/>
        <w:rPr>
          <w:rFonts w:cs="Arial"/>
        </w:rPr>
      </w:pPr>
      <w:r>
        <w:rPr>
          <w:color w:val="1A1A1A"/>
        </w:rPr>
        <w:t>هي "الأدوات" و"المفاتيح" الإجرائية التي "تُترجم" بها "النظريات" إلى "ممارسة" و"تطبيق". وهي – معًا – تشكل "قاموس" "علم النفس الاستخلافي".</w:t>
      </w:r>
    </w:p>
    <w:p w14:paraId="5080641E" w14:textId="77777777" w:rsidR="00501368" w:rsidRDefault="00000000">
      <w:pPr>
        <w:pStyle w:val="2"/>
        <w:bidi/>
        <w:spacing w:before="380" w:after="200"/>
        <w:rPr>
          <w:rFonts w:cs="Arial"/>
        </w:rPr>
      </w:pPr>
      <w:r>
        <w:rPr>
          <w:b/>
          <w:bCs/>
          <w:color w:val="0E6E6E"/>
          <w:sz w:val="29"/>
          <w:szCs w:val="29"/>
        </w:rPr>
        <w:t>١٠. نظام التشغيل الأخلاقي (</w:t>
      </w:r>
      <w:proofErr w:type="spellStart"/>
      <w:r>
        <w:rPr>
          <w:b/>
          <w:bCs/>
          <w:color w:val="0E6E6E"/>
          <w:sz w:val="29"/>
          <w:szCs w:val="29"/>
        </w:rPr>
        <w:t>Moral</w:t>
      </w:r>
      <w:proofErr w:type="spellEnd"/>
      <w:r>
        <w:rPr>
          <w:b/>
          <w:bCs/>
          <w:color w:val="0E6E6E"/>
          <w:sz w:val="29"/>
          <w:szCs w:val="29"/>
        </w:rPr>
        <w:t xml:space="preserve"> OS)</w:t>
      </w:r>
    </w:p>
    <w:p w14:paraId="688DACCF" w14:textId="77777777" w:rsidR="00501368" w:rsidRDefault="00000000">
      <w:pPr>
        <w:spacing w:after="200" w:line="340" w:lineRule="auto"/>
        <w:jc w:val="both"/>
        <w:rPr>
          <w:rFonts w:cs="Arial"/>
        </w:rPr>
      </w:pPr>
      <w:r>
        <w:rPr>
          <w:color w:val="1A1A1A"/>
        </w:rPr>
        <w:t xml:space="preserve">"نظرية" تعتبر "الفطرة" بمثابة "كود برمجي أخلاقي" "مودَع" في "النفس" منذ "الأزل"، وهو "ما يُوجه" "سلوك" الإنسان </w:t>
      </w:r>
      <w:proofErr w:type="spellStart"/>
      <w:r>
        <w:rPr>
          <w:color w:val="1A1A1A"/>
        </w:rPr>
        <w:t>و"يُمكنه</w:t>
      </w:r>
      <w:proofErr w:type="spellEnd"/>
      <w:r>
        <w:rPr>
          <w:color w:val="1A1A1A"/>
        </w:rPr>
        <w:t>" من "التمييز" بين "الخير" و"الشر".</w:t>
      </w:r>
      <w:r>
        <w:rPr>
          <w:i/>
          <w:iCs/>
          <w:color w:val="0E6E6E"/>
        </w:rPr>
        <w:t xml:space="preserve"> [863، 1136]</w:t>
      </w:r>
    </w:p>
    <w:p w14:paraId="1E2B8034" w14:textId="77777777" w:rsidR="00501368" w:rsidRDefault="00000000">
      <w:pPr>
        <w:spacing w:after="200" w:line="340" w:lineRule="auto"/>
        <w:jc w:val="both"/>
        <w:rPr>
          <w:rFonts w:cs="Arial"/>
        </w:rPr>
      </w:pPr>
      <w:r>
        <w:rPr>
          <w:color w:val="1A1A1A"/>
        </w:rPr>
        <w:t>تستند هذه الاستعارة الحاسوبية إلى أصل حديثي معروف: "كل مولود يولد على الفطرة، فأبواه يهودانه أو ينصرانه أو يمجسانه"، وهو نص يُقرأ تقليديًا بوصفه إثباتًا لاستعداد أخلاقي-توحيدي فطري تُشوّهه أو تُهذّبه البيئة لاحقًا. غير أن الأمانة المنهجية تقتضي التنبيه إلى حدود الاستعارة الحاسوبية ذاتها: فـ"نظام التشغيل" في الحوسبة كيان صريح، قابل للفحص المباشر وإعادة البرمجة الكاملة، بينما "الفطرة" في التصور الإسلامي كيان غيبي لا يُختبر مباشرة بل تُستنتج آثاره؛ ومن ثم فإن "</w:t>
      </w:r>
      <w:proofErr w:type="spellStart"/>
      <w:r>
        <w:rPr>
          <w:color w:val="1A1A1A"/>
        </w:rPr>
        <w:t>Moral</w:t>
      </w:r>
      <w:proofErr w:type="spellEnd"/>
      <w:r>
        <w:rPr>
          <w:color w:val="1A1A1A"/>
        </w:rPr>
        <w:t xml:space="preserve"> OS" أداة تفسيرية </w:t>
      </w:r>
      <w:proofErr w:type="spellStart"/>
      <w:r>
        <w:rPr>
          <w:color w:val="1A1A1A"/>
        </w:rPr>
        <w:t>استرشادية</w:t>
      </w:r>
      <w:proofErr w:type="spellEnd"/>
      <w:r>
        <w:rPr>
          <w:color w:val="1A1A1A"/>
        </w:rPr>
        <w:t xml:space="preserve"> (</w:t>
      </w:r>
      <w:proofErr w:type="spellStart"/>
      <w:r>
        <w:rPr>
          <w:color w:val="1A1A1A"/>
        </w:rPr>
        <w:t>Heuristic</w:t>
      </w:r>
      <w:proofErr w:type="spellEnd"/>
      <w:r>
        <w:rPr>
          <w:color w:val="1A1A1A"/>
        </w:rPr>
        <w:t>) مفيدة لتقريب المفهوم لجمهور معاصر مألوف بلغة الحوسبة، لا معادلًا أنطولوجيًا دقيقًا للفطرة، وهو تمييز ينبغي أن يبقى حاضرًا لتفادي انزلاق الاستعارة إلى اختزال تبسيطي للمفهوم الأصلي.</w:t>
      </w:r>
    </w:p>
    <w:p w14:paraId="05E2202A" w14:textId="77777777" w:rsidR="00501368" w:rsidRDefault="00000000">
      <w:pPr>
        <w:pStyle w:val="2"/>
        <w:bidi/>
        <w:spacing w:before="380" w:after="200"/>
        <w:rPr>
          <w:rFonts w:cs="Arial"/>
        </w:rPr>
      </w:pPr>
      <w:r>
        <w:rPr>
          <w:b/>
          <w:bCs/>
          <w:color w:val="0E6E6E"/>
          <w:sz w:val="29"/>
          <w:szCs w:val="29"/>
        </w:rPr>
        <w:t>١١. نظرية النتيجة الطبيعية</w:t>
      </w:r>
    </w:p>
    <w:p w14:paraId="4EF8937E" w14:textId="77777777" w:rsidR="00501368" w:rsidRDefault="00000000">
      <w:pPr>
        <w:spacing w:after="200" w:line="340" w:lineRule="auto"/>
        <w:jc w:val="both"/>
        <w:rPr>
          <w:rFonts w:cs="Arial"/>
        </w:rPr>
      </w:pPr>
      <w:r>
        <w:rPr>
          <w:color w:val="1A1A1A"/>
        </w:rPr>
        <w:t xml:space="preserve">"بديل </w:t>
      </w:r>
      <w:proofErr w:type="spellStart"/>
      <w:r>
        <w:rPr>
          <w:color w:val="1A1A1A"/>
        </w:rPr>
        <w:t>إبستمولوجي</w:t>
      </w:r>
      <w:proofErr w:type="spellEnd"/>
      <w:r>
        <w:rPr>
          <w:color w:val="1A1A1A"/>
        </w:rPr>
        <w:t>" يفسر "المصائب" و"الابتلاءات" ليس كـ"عقوبات سحرية مباشرة"، بل كـ"حصاد طبيعي" لـ"مخالفة السنن الكونية" و"الأخلاقية". إنها "استعادة" لـ"منطق السببية" في "العالم".</w:t>
      </w:r>
      <w:r>
        <w:rPr>
          <w:i/>
          <w:iCs/>
          <w:color w:val="0E6E6E"/>
        </w:rPr>
        <w:t xml:space="preserve"> [858، 862]</w:t>
      </w:r>
    </w:p>
    <w:p w14:paraId="313F375E" w14:textId="77777777" w:rsidR="00501368" w:rsidRDefault="00000000">
      <w:pPr>
        <w:spacing w:after="200" w:line="340" w:lineRule="auto"/>
        <w:jc w:val="both"/>
        <w:rPr>
          <w:rFonts w:cs="Arial"/>
        </w:rPr>
      </w:pPr>
      <w:r>
        <w:rPr>
          <w:color w:val="1A1A1A"/>
        </w:rPr>
        <w:t>يجد هذا المنحى سندًا تراثيًا أصيلًا في قراءة ابن خلدون السببية للظواهر الاجتماعية في "المقدمة"، حيث تُفسَّر أحوال العمران والدول (قوةً وانهيارًا) وفق "سنن" اجتماعية-تاريخية مطّردة (كدورة "العصبية") لا وفق تدخلات غيبية مباشرة منفصلة عن الأسباب الملموسة. وبهذا المعنى، لا تُعدّ "نظرية النتيجة الطبيعية" استيرادًا لمنطق علماني بحت في السببية، بل استعادة لتقليد عقلاني-سنني له جذور داخل الفكر الإسلامي نفسه، يقف على طرف نقيض من التفسيرات "السحرية" الشعبية للابتلاء (كربطه بـ"العين" أو "المس" بمعزل عن أي سبب طبيعي أو أخلاقي مباشر)، دون أن ينفي بالضرورة إمكان أسباب غيبية في حالات استثنائية يحددها النص الشرعي لا التعميم القياسي.</w:t>
      </w:r>
    </w:p>
    <w:p w14:paraId="613BEEE2" w14:textId="77777777" w:rsidR="00501368" w:rsidRDefault="00000000">
      <w:pPr>
        <w:pStyle w:val="2"/>
        <w:bidi/>
        <w:spacing w:before="380" w:after="200"/>
        <w:rPr>
          <w:rFonts w:cs="Arial"/>
        </w:rPr>
      </w:pPr>
      <w:r>
        <w:rPr>
          <w:b/>
          <w:bCs/>
          <w:color w:val="0E6E6E"/>
          <w:sz w:val="29"/>
          <w:szCs w:val="29"/>
        </w:rPr>
        <w:t>١٢. خريطة الدين النفسي</w:t>
      </w:r>
    </w:p>
    <w:p w14:paraId="534836DB" w14:textId="77777777" w:rsidR="00501368" w:rsidRDefault="00000000">
      <w:pPr>
        <w:spacing w:after="200" w:line="340" w:lineRule="auto"/>
        <w:jc w:val="both"/>
        <w:rPr>
          <w:rFonts w:cs="Arial"/>
        </w:rPr>
      </w:pPr>
      <w:r>
        <w:rPr>
          <w:color w:val="1A1A1A"/>
        </w:rPr>
        <w:t>"أداة تشخيصية" "محورية" تُستخدم في "الجلسة الأولى" من TLRT، وتهدف إلى "تمييز" "الديون الأخلاقية الحقيقية" (التي تتطلب "تعويضًا") عن "الديون الوهمية" (التي تتطلب "تحررًا").</w:t>
      </w:r>
      <w:r>
        <w:rPr>
          <w:i/>
          <w:iCs/>
          <w:color w:val="0E6E6E"/>
        </w:rPr>
        <w:t xml:space="preserve"> [694، 867]</w:t>
      </w:r>
    </w:p>
    <w:p w14:paraId="146D58D6" w14:textId="77777777" w:rsidR="00501368" w:rsidRDefault="00000000">
      <w:pPr>
        <w:spacing w:after="200" w:line="340" w:lineRule="auto"/>
        <w:jc w:val="both"/>
        <w:rPr>
          <w:rFonts w:cs="Arial"/>
        </w:rPr>
      </w:pPr>
      <w:r>
        <w:rPr>
          <w:color w:val="1A1A1A"/>
        </w:rPr>
        <w:t>يتقاطع هذا التمييز الإكلينيكي مع أدبيات علم النفس الغربي حول التفريق بين "الشعور بالذنب" (</w:t>
      </w:r>
      <w:proofErr w:type="spellStart"/>
      <w:r>
        <w:rPr>
          <w:color w:val="1A1A1A"/>
        </w:rPr>
        <w:t>Guilt</w:t>
      </w:r>
      <w:proofErr w:type="spellEnd"/>
      <w:r>
        <w:rPr>
          <w:color w:val="1A1A1A"/>
        </w:rPr>
        <w:t>) و"الشعور بالعار" (</w:t>
      </w:r>
      <w:proofErr w:type="spellStart"/>
      <w:r>
        <w:rPr>
          <w:color w:val="1A1A1A"/>
        </w:rPr>
        <w:t>Shame</w:t>
      </w:r>
      <w:proofErr w:type="spellEnd"/>
      <w:r>
        <w:rPr>
          <w:color w:val="1A1A1A"/>
        </w:rPr>
        <w:t xml:space="preserve">)، وبخاصة أعمال جون </w:t>
      </w:r>
      <w:proofErr w:type="spellStart"/>
      <w:r>
        <w:rPr>
          <w:color w:val="1A1A1A"/>
        </w:rPr>
        <w:t>تانغني</w:t>
      </w:r>
      <w:proofErr w:type="spellEnd"/>
      <w:r>
        <w:rPr>
          <w:color w:val="1A1A1A"/>
        </w:rPr>
        <w:t xml:space="preserve"> </w:t>
      </w:r>
      <w:proofErr w:type="spellStart"/>
      <w:r>
        <w:rPr>
          <w:color w:val="1A1A1A"/>
        </w:rPr>
        <w:t>ورونda</w:t>
      </w:r>
      <w:proofErr w:type="spellEnd"/>
      <w:r>
        <w:rPr>
          <w:color w:val="1A1A1A"/>
        </w:rPr>
        <w:t xml:space="preserve"> </w:t>
      </w:r>
      <w:proofErr w:type="spellStart"/>
      <w:r>
        <w:rPr>
          <w:color w:val="1A1A1A"/>
        </w:rPr>
        <w:t>ديرينغ</w:t>
      </w:r>
      <w:proofErr w:type="spellEnd"/>
      <w:r>
        <w:rPr>
          <w:color w:val="1A1A1A"/>
        </w:rPr>
        <w:t xml:space="preserve">، التي أظهرت تجريبيًا أن "الذنب" المرتبط بفعل محدد قابل للإصلاح يميل إلى دفع سلوك تعويضي بنّاء، بينما "العار" المرتبط بتقييم الذات الكلي يميل إلى إنتاج انسحاب واكتئاب دون إصلاح فعلي. وتقدّم "خريطة الدين النفسي" – في ضوء هذا التقاطع – أداة تشخيصية تسعى عمليًا لفرز "الديون الحقيقية" (أقرب إلى الذنب البنّاء القابل للتعويض) عن "الديون الوهمية" (أقرب إلى العار المُعمَّم غير المُبرَّر أخلاقيًا)، وهو ما يمنحها – إذا خضعت لتقنين إكلينيكي إضافي (معايير تشخيصية أكثر تفصيلًا، اختبار ثبات بين الفاحصين) – قيمة عملية واعدة تستحق التطوير </w:t>
      </w:r>
      <w:proofErr w:type="spellStart"/>
      <w:r>
        <w:rPr>
          <w:color w:val="1A1A1A"/>
        </w:rPr>
        <w:t>الأداتي</w:t>
      </w:r>
      <w:proofErr w:type="spellEnd"/>
      <w:r>
        <w:rPr>
          <w:color w:val="1A1A1A"/>
        </w:rPr>
        <w:t xml:space="preserve"> المنهجي.</w:t>
      </w:r>
    </w:p>
    <w:p w14:paraId="41F5C516" w14:textId="77777777" w:rsidR="00501368" w:rsidRDefault="00000000">
      <w:pPr>
        <w:pStyle w:val="2"/>
        <w:bidi/>
        <w:spacing w:before="380" w:after="200"/>
        <w:rPr>
          <w:rFonts w:cs="Arial"/>
        </w:rPr>
      </w:pPr>
      <w:r>
        <w:rPr>
          <w:b/>
          <w:bCs/>
          <w:color w:val="0E6E6E"/>
          <w:sz w:val="29"/>
          <w:szCs w:val="29"/>
        </w:rPr>
        <w:t>١٣. الجسر السلوكي (</w:t>
      </w:r>
      <w:proofErr w:type="spellStart"/>
      <w:r>
        <w:rPr>
          <w:b/>
          <w:bCs/>
          <w:color w:val="0E6E6E"/>
          <w:sz w:val="29"/>
          <w:szCs w:val="29"/>
        </w:rPr>
        <w:t>Behavioral</w:t>
      </w:r>
      <w:proofErr w:type="spellEnd"/>
      <w:r>
        <w:rPr>
          <w:b/>
          <w:bCs/>
          <w:color w:val="0E6E6E"/>
          <w:sz w:val="29"/>
          <w:szCs w:val="29"/>
        </w:rPr>
        <w:t xml:space="preserve"> </w:t>
      </w:r>
      <w:proofErr w:type="spellStart"/>
      <w:r>
        <w:rPr>
          <w:b/>
          <w:bCs/>
          <w:color w:val="0E6E6E"/>
          <w:sz w:val="29"/>
          <w:szCs w:val="29"/>
        </w:rPr>
        <w:t>Bridge</w:t>
      </w:r>
      <w:proofErr w:type="spellEnd"/>
      <w:r>
        <w:rPr>
          <w:b/>
          <w:bCs/>
          <w:color w:val="0E6E6E"/>
          <w:sz w:val="29"/>
          <w:szCs w:val="29"/>
        </w:rPr>
        <w:t>)</w:t>
      </w:r>
    </w:p>
    <w:p w14:paraId="0C96B171" w14:textId="77777777" w:rsidR="00501368" w:rsidRDefault="00000000">
      <w:pPr>
        <w:spacing w:after="200" w:line="340" w:lineRule="auto"/>
        <w:jc w:val="both"/>
        <w:rPr>
          <w:rFonts w:cs="Arial"/>
        </w:rPr>
      </w:pPr>
      <w:r>
        <w:rPr>
          <w:color w:val="1A1A1A"/>
        </w:rPr>
        <w:t xml:space="preserve">"الآلية العملية" لـ"تحويل" "طاقة الندم المحتجزة" إلى "مشاريع نفعية ملموسة". إنه "القلب النابض" </w:t>
      </w:r>
      <w:proofErr w:type="spellStart"/>
      <w:r>
        <w:rPr>
          <w:color w:val="1A1A1A"/>
        </w:rPr>
        <w:t>لـTLRT</w:t>
      </w:r>
      <w:proofErr w:type="spellEnd"/>
      <w:r>
        <w:rPr>
          <w:color w:val="1A1A1A"/>
        </w:rPr>
        <w:t>، حيث "تُوظف" "طاقة" "الذنب" في "خدمة" "الآخرين".</w:t>
      </w:r>
      <w:r>
        <w:rPr>
          <w:i/>
          <w:iCs/>
          <w:color w:val="0E6E6E"/>
        </w:rPr>
        <w:t xml:space="preserve"> [694، 714]</w:t>
      </w:r>
    </w:p>
    <w:p w14:paraId="0C21E45E" w14:textId="77777777" w:rsidR="00501368" w:rsidRDefault="00000000">
      <w:pPr>
        <w:spacing w:after="200" w:line="340" w:lineRule="auto"/>
        <w:jc w:val="both"/>
        <w:rPr>
          <w:rFonts w:cs="Arial"/>
        </w:rPr>
      </w:pPr>
      <w:r>
        <w:rPr>
          <w:color w:val="1A1A1A"/>
        </w:rPr>
        <w:t>يستدعي هذا المفهوم، من جهة، تقليد "العدالة التصالحية" (</w:t>
      </w:r>
      <w:proofErr w:type="spellStart"/>
      <w:r>
        <w:rPr>
          <w:color w:val="1A1A1A"/>
        </w:rPr>
        <w:t>Restorative</w:t>
      </w:r>
      <w:proofErr w:type="spellEnd"/>
      <w:r>
        <w:rPr>
          <w:color w:val="1A1A1A"/>
        </w:rPr>
        <w:t xml:space="preserve"> </w:t>
      </w:r>
      <w:proofErr w:type="spellStart"/>
      <w:r>
        <w:rPr>
          <w:color w:val="1A1A1A"/>
        </w:rPr>
        <w:t>Justice</w:t>
      </w:r>
      <w:proofErr w:type="spellEnd"/>
      <w:r>
        <w:rPr>
          <w:color w:val="1A1A1A"/>
        </w:rPr>
        <w:t>) المعاصر، الذي يُعيد توجيه الاستجابة للضرر من العقاب المجرد نحو الجبر الفعلي والمصالحة بين الأطراف؛ ومن جهة أخرى، يستند إلى تأصيل تراثي عميق في مفهوم "التوبة" الفاعلة كما فصّله الحارث المحاسبي في "الرعاية لحقوق الله"، حيث لا تكتمل التوبة بالندم القلبي وحده بل تستلزم – متى أمكن – ردّ الحقوق وإصلاح الأثر. وبذلك يشكّل "الجسر السلوكي" ترجمة إكلينيكية معاصرة لمنطق "التوبة النصوح" ذي الأبعاد الثلاثة (الإقلاع، الندم، العزم مع رد الحقوق)، منقولًا من حقل الفقه والأخلاق إلى حقل الممارسة العلاجية النفسية بأدوات قابلة للتطبيق داخل الجلسة.</w:t>
      </w:r>
    </w:p>
    <w:p w14:paraId="0B4292FD" w14:textId="77777777" w:rsidR="00501368" w:rsidRDefault="00000000">
      <w:pPr>
        <w:pStyle w:val="2"/>
        <w:bidi/>
        <w:spacing w:before="380" w:after="200"/>
        <w:rPr>
          <w:rFonts w:cs="Arial"/>
        </w:rPr>
      </w:pPr>
      <w:r>
        <w:rPr>
          <w:b/>
          <w:bCs/>
          <w:color w:val="0E6E6E"/>
          <w:sz w:val="29"/>
          <w:szCs w:val="29"/>
        </w:rPr>
        <w:t>١٤. سيادة الانتباه</w:t>
      </w:r>
    </w:p>
    <w:p w14:paraId="140DA72A" w14:textId="77777777" w:rsidR="00501368" w:rsidRDefault="00000000">
      <w:pPr>
        <w:spacing w:after="200" w:line="340" w:lineRule="auto"/>
        <w:jc w:val="both"/>
        <w:rPr>
          <w:rFonts w:cs="Arial"/>
        </w:rPr>
      </w:pPr>
      <w:r>
        <w:rPr>
          <w:color w:val="1A1A1A"/>
        </w:rPr>
        <w:t>"نظرية" و"استراتيجية" تهدف إلى "تحرير" "وعي" الإنسان من "الاستعمار الخوارزمي" و"رأسمالية المراقبة"، و"استعادة" "السيادة" على "الانتباه" و"الوقت".</w:t>
      </w:r>
      <w:r>
        <w:rPr>
          <w:i/>
          <w:iCs/>
          <w:color w:val="0E6E6E"/>
        </w:rPr>
        <w:t xml:space="preserve"> [1152، 1311]</w:t>
      </w:r>
    </w:p>
    <w:p w14:paraId="6AD2B306" w14:textId="77777777" w:rsidR="00501368" w:rsidRDefault="00000000">
      <w:pPr>
        <w:spacing w:after="200" w:line="340" w:lineRule="auto"/>
        <w:jc w:val="both"/>
        <w:rPr>
          <w:rFonts w:cs="Arial"/>
        </w:rPr>
      </w:pPr>
      <w:r>
        <w:rPr>
          <w:color w:val="1A1A1A"/>
        </w:rPr>
        <w:t xml:space="preserve">يستثمر هذا المفهوم بشكل مباشر تشخيص شوشانا </w:t>
      </w:r>
      <w:proofErr w:type="spellStart"/>
      <w:r>
        <w:rPr>
          <w:color w:val="1A1A1A"/>
        </w:rPr>
        <w:t>زوبوف</w:t>
      </w:r>
      <w:proofErr w:type="spellEnd"/>
      <w:r>
        <w:rPr>
          <w:color w:val="1A1A1A"/>
        </w:rPr>
        <w:t xml:space="preserve"> في "عصر رأسمالية المراقبة" (</w:t>
      </w:r>
      <w:proofErr w:type="spellStart"/>
      <w:r>
        <w:rPr>
          <w:color w:val="1A1A1A"/>
        </w:rPr>
        <w:t>The</w:t>
      </w:r>
      <w:proofErr w:type="spellEnd"/>
      <w:r>
        <w:rPr>
          <w:color w:val="1A1A1A"/>
        </w:rPr>
        <w:t xml:space="preserve"> </w:t>
      </w:r>
      <w:proofErr w:type="spellStart"/>
      <w:r>
        <w:rPr>
          <w:color w:val="1A1A1A"/>
        </w:rPr>
        <w:t>Age</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Surveillance</w:t>
      </w:r>
      <w:proofErr w:type="spellEnd"/>
      <w:r>
        <w:rPr>
          <w:color w:val="1A1A1A"/>
        </w:rPr>
        <w:t xml:space="preserve"> </w:t>
      </w:r>
      <w:proofErr w:type="spellStart"/>
      <w:r>
        <w:rPr>
          <w:color w:val="1A1A1A"/>
        </w:rPr>
        <w:t>Capitalism</w:t>
      </w:r>
      <w:proofErr w:type="spellEnd"/>
      <w:r>
        <w:rPr>
          <w:color w:val="1A1A1A"/>
        </w:rPr>
        <w:t>) لآليات استخلاص "البيانات السلوكية الفائضة" وتحويلها إلى أدوات للتنبؤ بالسلوك والتحكم فيه عبر منصات رقمية، وهو ما يجعل "الانتباه" ذاته سلعة تُستخرَج لا ملكية سيادية للفرد. ويقترح "النموذج الاستخلافي" – في مقابل هذا التشخيص العلماني الصرف – تأصيلًا تراثيًا موازيًا في مفهوم "حفظ الوقت" عند علماء السلوك والتربية الروحية، حيث يُعَدّ الوقت "أمانة" لا تُهدَر ولا تُستباح، وأن "الانتباه" – بوصفه أخصّ ملكات القلب – من صميم ما استُخلِف الإنسان لحفظه لا لتفريطه فيه لأطراف ثالثة تستثمره تجاريًا. وبذلك تتحول "سيادة الانتباه" من مجرد نقد تقني-اقتصادي إلى مطلب أخلاقي-عبادي متكامل.</w:t>
      </w:r>
    </w:p>
    <w:p w14:paraId="302AD2EF" w14:textId="77777777" w:rsidR="00501368" w:rsidRDefault="00000000">
      <w:pPr>
        <w:pStyle w:val="2"/>
        <w:bidi/>
        <w:spacing w:before="380" w:after="200"/>
        <w:rPr>
          <w:rFonts w:cs="Arial"/>
        </w:rPr>
      </w:pPr>
      <w:r>
        <w:rPr>
          <w:b/>
          <w:bCs/>
          <w:color w:val="0E6E6E"/>
          <w:sz w:val="29"/>
          <w:szCs w:val="29"/>
        </w:rPr>
        <w:t>١٥. علم الاجتماع الاستخلافي</w:t>
      </w:r>
    </w:p>
    <w:p w14:paraId="75EAE7EC" w14:textId="77777777" w:rsidR="00501368" w:rsidRDefault="00000000">
      <w:pPr>
        <w:spacing w:after="200" w:line="340" w:lineRule="auto"/>
        <w:jc w:val="both"/>
        <w:rPr>
          <w:rFonts w:cs="Arial"/>
        </w:rPr>
      </w:pPr>
      <w:r>
        <w:rPr>
          <w:color w:val="1A1A1A"/>
        </w:rPr>
        <w:t xml:space="preserve">"رؤية </w:t>
      </w:r>
      <w:proofErr w:type="spellStart"/>
      <w:r>
        <w:rPr>
          <w:color w:val="1A1A1A"/>
        </w:rPr>
        <w:t>سوسيولوجية</w:t>
      </w:r>
      <w:proofErr w:type="spellEnd"/>
      <w:r>
        <w:rPr>
          <w:color w:val="1A1A1A"/>
        </w:rPr>
        <w:t>" تبني "المجتمع" حول مفهوم "الخبير الحي" و"التكافل الأخلاقي"، لا حول "الاستهلاك" و"التنافس". إنه "نقل" "لمنطق الاستخلاف" من "الفرد" إلى "الجماعة".</w:t>
      </w:r>
      <w:r>
        <w:rPr>
          <w:i/>
          <w:iCs/>
          <w:color w:val="0E6E6E"/>
        </w:rPr>
        <w:t xml:space="preserve"> [1061، 1165]</w:t>
      </w:r>
    </w:p>
    <w:p w14:paraId="4FD0456A" w14:textId="77777777" w:rsidR="00501368" w:rsidRDefault="00000000">
      <w:pPr>
        <w:spacing w:after="200" w:line="340" w:lineRule="auto"/>
        <w:jc w:val="both"/>
        <w:rPr>
          <w:rFonts w:cs="Arial"/>
        </w:rPr>
      </w:pPr>
      <w:r>
        <w:rPr>
          <w:color w:val="1A1A1A"/>
        </w:rPr>
        <w:t>يمكن قراءة مفهوم "الخبير الحي" في تقابل مثمر مع مفهومَي "</w:t>
      </w:r>
      <w:proofErr w:type="spellStart"/>
      <w:r>
        <w:rPr>
          <w:color w:val="1A1A1A"/>
        </w:rPr>
        <w:t>الهابيتوس</w:t>
      </w:r>
      <w:proofErr w:type="spellEnd"/>
      <w:r>
        <w:rPr>
          <w:color w:val="1A1A1A"/>
        </w:rPr>
        <w:t>" (</w:t>
      </w:r>
      <w:proofErr w:type="spellStart"/>
      <w:r>
        <w:rPr>
          <w:color w:val="1A1A1A"/>
        </w:rPr>
        <w:t>Habitus</w:t>
      </w:r>
      <w:proofErr w:type="spellEnd"/>
      <w:r>
        <w:rPr>
          <w:color w:val="1A1A1A"/>
        </w:rPr>
        <w:t>) و"رأس المال الثقافي" (</w:t>
      </w:r>
      <w:proofErr w:type="spellStart"/>
      <w:r>
        <w:rPr>
          <w:color w:val="1A1A1A"/>
        </w:rPr>
        <w:t>Cultural</w:t>
      </w:r>
      <w:proofErr w:type="spellEnd"/>
      <w:r>
        <w:rPr>
          <w:color w:val="1A1A1A"/>
        </w:rPr>
        <w:t xml:space="preserve"> </w:t>
      </w:r>
      <w:proofErr w:type="spellStart"/>
      <w:r>
        <w:rPr>
          <w:color w:val="1A1A1A"/>
        </w:rPr>
        <w:t>Capital</w:t>
      </w:r>
      <w:proofErr w:type="spellEnd"/>
      <w:r>
        <w:rPr>
          <w:color w:val="1A1A1A"/>
        </w:rPr>
        <w:t xml:space="preserve">) عند بيير </w:t>
      </w:r>
      <w:proofErr w:type="spellStart"/>
      <w:r>
        <w:rPr>
          <w:color w:val="1A1A1A"/>
        </w:rPr>
        <w:t>بورديو</w:t>
      </w:r>
      <w:proofErr w:type="spellEnd"/>
      <w:r>
        <w:rPr>
          <w:color w:val="1A1A1A"/>
        </w:rPr>
        <w:t>، اللذين يُظهران كيف تتحول المعرفة والذوق والمهارة إلى "رأسمال" قابل للتوريث والمبادلة داخل "حقول" اجتماعية تنافسية، بما يُعيد إنتاج التفاوت الطبقي عبر آليات مموَّهة رمزيًا. ويطرح "علم الاجتماع الاستخلافي"، عبر مفهوم "الخبير الحي"، نموذجًا بديلًا يقاوم منطق "</w:t>
      </w:r>
      <w:proofErr w:type="spellStart"/>
      <w:r>
        <w:rPr>
          <w:color w:val="1A1A1A"/>
        </w:rPr>
        <w:t>السلعنة</w:t>
      </w:r>
      <w:proofErr w:type="spellEnd"/>
      <w:r>
        <w:rPr>
          <w:color w:val="1A1A1A"/>
        </w:rPr>
        <w:t xml:space="preserve">" هذا: فالخبرة، في هذا التصور، لا تُكتسَب لتراكم "رأسمال" تفاضلي تنافسي، بل تُمارَس كـ"أمانة نقل" ضمن علاقة تكافل جماعي مسؤول. غير أن تطبيق هذا النموذج على نطاق مجتمعي واسع يستدعي معالجة عملية لسؤال مؤسسي دقيق: كيف تُصان "حيوية" الخبرة ونقلها الحيّ دون أن تتحول بدورها – كما حدث تاريخيًا لبعض البنى </w:t>
      </w:r>
      <w:proofErr w:type="spellStart"/>
      <w:r>
        <w:rPr>
          <w:color w:val="1A1A1A"/>
        </w:rPr>
        <w:t>التلمذية</w:t>
      </w:r>
      <w:proofErr w:type="spellEnd"/>
      <w:r>
        <w:rPr>
          <w:color w:val="1A1A1A"/>
        </w:rPr>
        <w:t xml:space="preserve"> التقليدية – إلى هرمية جديدة تعيد إنتاج تفاوتات السلطة الرمزية التي سعت أصلًا إلى تجاوزها؟</w:t>
      </w:r>
    </w:p>
    <w:p w14:paraId="0403D6F1" w14:textId="77777777" w:rsidR="00501368" w:rsidRDefault="00000000">
      <w:pPr>
        <w:pStyle w:val="2"/>
        <w:bidi/>
        <w:spacing w:before="380" w:after="200"/>
        <w:rPr>
          <w:rFonts w:cs="Arial"/>
        </w:rPr>
      </w:pPr>
      <w:r>
        <w:rPr>
          <w:b/>
          <w:bCs/>
          <w:color w:val="0E6E6E"/>
          <w:sz w:val="29"/>
          <w:szCs w:val="29"/>
        </w:rPr>
        <w:t>١٦. الاقتصاد الأخلاقي الاستخلافي</w:t>
      </w:r>
    </w:p>
    <w:p w14:paraId="22599074" w14:textId="77777777" w:rsidR="00501368" w:rsidRDefault="00000000">
      <w:pPr>
        <w:spacing w:after="200" w:line="340" w:lineRule="auto"/>
        <w:jc w:val="both"/>
        <w:rPr>
          <w:rFonts w:cs="Arial"/>
        </w:rPr>
      </w:pPr>
      <w:r>
        <w:rPr>
          <w:color w:val="1A1A1A"/>
        </w:rPr>
        <w:t>"نموذج اقتصادي" يُعيد تعريف "الثروة" و"القيمة"، ويحول "المادة" من "غاية" في ذاتها إلى "وسيلة" لـ"خدمة العمران" و"تحقيق الحياة الطيبة".</w:t>
      </w:r>
      <w:r>
        <w:rPr>
          <w:i/>
          <w:iCs/>
          <w:color w:val="0E6E6E"/>
        </w:rPr>
        <w:t xml:space="preserve"> [906، 1022]</w:t>
      </w:r>
    </w:p>
    <w:p w14:paraId="61076EC2" w14:textId="77777777" w:rsidR="00501368" w:rsidRDefault="00000000">
      <w:pPr>
        <w:spacing w:after="200" w:line="340" w:lineRule="auto"/>
        <w:jc w:val="both"/>
        <w:rPr>
          <w:rFonts w:cs="Arial"/>
        </w:rPr>
      </w:pPr>
      <w:r>
        <w:rPr>
          <w:color w:val="1A1A1A"/>
        </w:rPr>
        <w:t>يتقاطع هذا المكوّن مع تقليد "الاقتصاد الإسلامي" المعاصر القائم على "مقاصد الشريعة" (حفظ الدين والنفس والعقل والنسل والمال) بوصفها معايير لتقويم "القيمة الاقتصادية" بمعزل عن منطق التعظيم النفعي المجرد، وكذلك مع مفهوم "المال أمانة واستخلاف لا ملكية مطلقة" الذي يؤطر النظر الإسلامي التقليدي للثروة. وقد سبق للمشروع تطبيق هذا الإطار تحديدًا على قراءة نقدية لرؤية ما بعد الندرة (</w:t>
      </w:r>
      <w:proofErr w:type="spellStart"/>
      <w:r>
        <w:rPr>
          <w:color w:val="1A1A1A"/>
        </w:rPr>
        <w:t>Post-Scarcity</w:t>
      </w:r>
      <w:proofErr w:type="spellEnd"/>
      <w:r>
        <w:rPr>
          <w:color w:val="1A1A1A"/>
        </w:rPr>
        <w:t xml:space="preserve">) المرتبطة بمشاريع </w:t>
      </w:r>
      <w:proofErr w:type="spellStart"/>
      <w:r>
        <w:rPr>
          <w:color w:val="1A1A1A"/>
        </w:rPr>
        <w:t>إيلون</w:t>
      </w:r>
      <w:proofErr w:type="spellEnd"/>
      <w:r>
        <w:rPr>
          <w:color w:val="1A1A1A"/>
        </w:rPr>
        <w:t xml:space="preserve"> ماسك التقنية، حيث جرى تحليل الوفرة المادية المتوقعة عبر </w:t>
      </w:r>
      <w:proofErr w:type="spellStart"/>
      <w:r>
        <w:rPr>
          <w:color w:val="1A1A1A"/>
        </w:rPr>
        <w:t>الأتمتة</w:t>
      </w:r>
      <w:proofErr w:type="spellEnd"/>
      <w:r>
        <w:rPr>
          <w:color w:val="1A1A1A"/>
        </w:rPr>
        <w:t xml:space="preserve"> والذكاء الاصطناعي لا كغاية تحرّرية نهائية في ذاتها – كما تصوّرها الخطابات </w:t>
      </w:r>
      <w:proofErr w:type="spellStart"/>
      <w:r>
        <w:rPr>
          <w:color w:val="1A1A1A"/>
        </w:rPr>
        <w:t>التقنو</w:t>
      </w:r>
      <w:proofErr w:type="spellEnd"/>
      <w:r>
        <w:rPr>
          <w:color w:val="1A1A1A"/>
        </w:rPr>
        <w:t>-طوباوية العلمانية – بل كوسيلة يُعاد توجيهها نحو "تحقيق الحياة الطيبة" الاستخلافية، بما يُبقي على المساءلة الأخلاقية حاضرة حتى في أكثر السيناريوهات الاقتصادية وفرة متوقعة.</w:t>
      </w:r>
    </w:p>
    <w:p w14:paraId="7530E04A" w14:textId="77777777" w:rsidR="00501368" w:rsidRDefault="00000000">
      <w:pPr>
        <w:pStyle w:val="2"/>
        <w:bidi/>
        <w:spacing w:before="380" w:after="200"/>
        <w:rPr>
          <w:rFonts w:cs="Arial"/>
        </w:rPr>
      </w:pPr>
      <w:r>
        <w:rPr>
          <w:b/>
          <w:bCs/>
          <w:color w:val="0E6E6E"/>
          <w:sz w:val="29"/>
          <w:szCs w:val="29"/>
        </w:rPr>
        <w:t>١٧. التكامل العصبي الفسيولوجي (النفس المطمئنة)</w:t>
      </w:r>
    </w:p>
    <w:p w14:paraId="6F197296" w14:textId="77777777" w:rsidR="00501368" w:rsidRDefault="00000000">
      <w:pPr>
        <w:spacing w:after="200" w:line="340" w:lineRule="auto"/>
        <w:jc w:val="both"/>
        <w:rPr>
          <w:rFonts w:cs="Arial"/>
        </w:rPr>
      </w:pPr>
      <w:r>
        <w:rPr>
          <w:color w:val="1A1A1A"/>
        </w:rPr>
        <w:t>"دراسة" "للأسس العصبية" لـ"السكينة" و"الطمأنينة"، تربط بين "المقامات الإيمانية" و"حالة الجهاز العصبي" و"اللدونة الدماغية".</w:t>
      </w:r>
      <w:r>
        <w:rPr>
          <w:i/>
          <w:iCs/>
          <w:color w:val="0E6E6E"/>
        </w:rPr>
        <w:t xml:space="preserve"> [1112، 1117]</w:t>
      </w:r>
    </w:p>
    <w:p w14:paraId="3E4DE080" w14:textId="77777777" w:rsidR="00501368" w:rsidRDefault="00000000">
      <w:pPr>
        <w:spacing w:after="200" w:line="340" w:lineRule="auto"/>
        <w:jc w:val="both"/>
        <w:rPr>
          <w:rFonts w:cs="Arial"/>
        </w:rPr>
      </w:pPr>
      <w:r>
        <w:rPr>
          <w:color w:val="1A1A1A"/>
        </w:rPr>
        <w:t>يجد هذا التوجه سندًا تجريبيًا واعدًا في "النظرية متعددة المُبهم" (</w:t>
      </w:r>
      <w:proofErr w:type="spellStart"/>
      <w:r>
        <w:rPr>
          <w:color w:val="1A1A1A"/>
        </w:rPr>
        <w:t>Polyvagal</w:t>
      </w:r>
      <w:proofErr w:type="spellEnd"/>
      <w:r>
        <w:rPr>
          <w:color w:val="1A1A1A"/>
        </w:rPr>
        <w:t xml:space="preserve"> </w:t>
      </w:r>
      <w:proofErr w:type="spellStart"/>
      <w:r>
        <w:rPr>
          <w:color w:val="1A1A1A"/>
        </w:rPr>
        <w:t>Theory</w:t>
      </w:r>
      <w:proofErr w:type="spellEnd"/>
      <w:r>
        <w:rPr>
          <w:color w:val="1A1A1A"/>
        </w:rPr>
        <w:t xml:space="preserve">) التي طوّرها ستيفن </w:t>
      </w:r>
      <w:proofErr w:type="spellStart"/>
      <w:r>
        <w:rPr>
          <w:color w:val="1A1A1A"/>
        </w:rPr>
        <w:t>بورجس</w:t>
      </w:r>
      <w:proofErr w:type="spellEnd"/>
      <w:r>
        <w:rPr>
          <w:color w:val="1A1A1A"/>
        </w:rPr>
        <w:t>، والتي تربط بين حالات الأمان الذاتي (</w:t>
      </w:r>
      <w:proofErr w:type="spellStart"/>
      <w:r>
        <w:rPr>
          <w:color w:val="1A1A1A"/>
        </w:rPr>
        <w:t>Neuroception</w:t>
      </w:r>
      <w:proofErr w:type="spellEnd"/>
      <w:r>
        <w:rPr>
          <w:color w:val="1A1A1A"/>
        </w:rPr>
        <w:t xml:space="preserve">) وتنظيم الجهاز العصبي اللاإرادي عبر مسارات العصب المبهم، بما يفسر فسيولوجيًا كيف تُترجَم حالات "الطمأنينة" الذاتية إلى تغيرات قياسية في تقلب معدل ضربات القلب واسترخاء الجهاز العصبي </w:t>
      </w:r>
      <w:proofErr w:type="spellStart"/>
      <w:r>
        <w:rPr>
          <w:color w:val="1A1A1A"/>
        </w:rPr>
        <w:t>السمبثاوي</w:t>
      </w:r>
      <w:proofErr w:type="spellEnd"/>
      <w:r>
        <w:rPr>
          <w:color w:val="1A1A1A"/>
        </w:rPr>
        <w:t>. غير أن ربط "المقامات الإيمانية" تحديدًا (كالرضا والتوكل والسكينة) بمؤشرات عصبية-فسيولوجية بعينها يتطلب – تجاوزًا لمرحلة "القراءة النظرية التقاربية" الحالية – برنامج بحث تجريبي مستقل: دراسات تصوير عصبي وظيفي وقياسات فسيولوجية مباشرة (تقلب معدل ضربات القلب، الكورتيزول، النشاط الكهربائي الدماغي) على عينات من الممارسين الفعليين لهذه المقامات، وهو ما يبقى – بصراحة – أحد أهم الاتجاهات البحثية المستقبلية المفتوحة أمام تطوير هذا المكوّن من مجرد تناظر مفاهيمي إلى معرفة تجريبية موثّقة.</w:t>
      </w:r>
    </w:p>
    <w:p w14:paraId="4CAA59A7" w14:textId="77777777" w:rsidR="00501368" w:rsidRDefault="00000000">
      <w:pPr>
        <w:pStyle w:val="2"/>
        <w:bidi/>
        <w:spacing w:before="380" w:after="200"/>
        <w:rPr>
          <w:rFonts w:cs="Arial"/>
        </w:rPr>
      </w:pPr>
      <w:r>
        <w:rPr>
          <w:b/>
          <w:bCs/>
          <w:color w:val="0E6E6E"/>
          <w:sz w:val="29"/>
          <w:szCs w:val="29"/>
        </w:rPr>
        <w:t>١٨. الهندسة الوجودية</w:t>
      </w:r>
    </w:p>
    <w:p w14:paraId="3E3E3CA0" w14:textId="77777777" w:rsidR="00501368" w:rsidRDefault="00000000">
      <w:pPr>
        <w:spacing w:after="200" w:line="340" w:lineRule="auto"/>
        <w:jc w:val="both"/>
        <w:rPr>
          <w:rFonts w:cs="Arial"/>
        </w:rPr>
      </w:pPr>
      <w:r>
        <w:rPr>
          <w:color w:val="1A1A1A"/>
        </w:rPr>
        <w:t>"مفهوم شامل" يجمع بين "إعادة تصميم الذات" (عبر TLRT) و"إعادة بناء الواقع" (عبر المؤسسات) وفق "غاية الاستخلاف". إنه "الاسم الجامع" لـ"المشروع" بأكمله.</w:t>
      </w:r>
      <w:r>
        <w:rPr>
          <w:i/>
          <w:iCs/>
          <w:color w:val="0E6E6E"/>
        </w:rPr>
        <w:t xml:space="preserve"> [</w:t>
      </w:r>
      <w:proofErr w:type="spellStart"/>
      <w:r>
        <w:rPr>
          <w:i/>
          <w:iCs/>
          <w:color w:val="0E6E6E"/>
        </w:rPr>
        <w:t>Bio</w:t>
      </w:r>
      <w:proofErr w:type="spellEnd"/>
      <w:r>
        <w:rPr>
          <w:i/>
          <w:iCs/>
          <w:color w:val="0E6E6E"/>
        </w:rPr>
        <w:t>]</w:t>
      </w:r>
    </w:p>
    <w:p w14:paraId="74A8A19C" w14:textId="77777777" w:rsidR="00501368" w:rsidRDefault="00000000">
      <w:pPr>
        <w:spacing w:after="200" w:line="340" w:lineRule="auto"/>
        <w:jc w:val="both"/>
        <w:rPr>
          <w:rFonts w:cs="Arial"/>
        </w:rPr>
      </w:pPr>
      <w:r>
        <w:rPr>
          <w:color w:val="1A1A1A"/>
        </w:rPr>
        <w:t>بوصفه "الاسم الجامع" لمجمل المشروع، يعمل مفهوم "الهندسة الوجودية" كنقطة التقاء بين المستويين الفردي والمؤسسي في البنية الاستخلافية: فهو، من جهة، يستوعب "إعادة تصميم الذات" التي يُباشرها بروتوكول TLRT على مستوى الفرد المتعالج، ومن جهة أخرى يمتد ليستوعب "إعادة بناء الواقع" التي تستهدفها "نظرية الدولة الاستخلافية" و"علم الاجتماع الاستخلافي" على المستوى المؤسسي والجماعي. وبذلك يعمل هذا المفهوم كـ"جسر تصوري" يمنع تجزّؤ المشروع إلى "علاج فردي" منعزل عن "مشروع حضاري" جماعي، مؤكدًا أن الاستخلاف – في جوهره – مسؤولية متصلة الحلقات لا تكتمل بإصلاح النفس وحدها ولا بإصلاح البنى وحدها، بل بحركة تبادلية بينهما.</w:t>
      </w:r>
    </w:p>
    <w:p w14:paraId="044CD590" w14:textId="77777777" w:rsidR="00501368" w:rsidRDefault="00000000">
      <w:pPr>
        <w:pStyle w:val="2"/>
        <w:bidi/>
        <w:spacing w:before="380" w:after="200"/>
        <w:rPr>
          <w:rFonts w:cs="Arial"/>
        </w:rPr>
      </w:pPr>
      <w:r>
        <w:rPr>
          <w:b/>
          <w:bCs/>
          <w:color w:val="0E6E6E"/>
          <w:sz w:val="29"/>
          <w:szCs w:val="29"/>
        </w:rPr>
        <w:t>١٩. نظرية الدولة الاستخلافية</w:t>
      </w:r>
    </w:p>
    <w:p w14:paraId="12A99A68" w14:textId="77777777" w:rsidR="00501368" w:rsidRDefault="00000000">
      <w:pPr>
        <w:spacing w:after="200" w:line="340" w:lineRule="auto"/>
        <w:jc w:val="both"/>
        <w:rPr>
          <w:rFonts w:cs="Arial"/>
        </w:rPr>
      </w:pPr>
      <w:r>
        <w:rPr>
          <w:color w:val="1A1A1A"/>
        </w:rPr>
        <w:t>"رؤية سياسية" – بالتعاون مع "مشروع وائل حلاق" – ترى "الدولة" "حاضنة للعمران الأخلاقي"، لا "جهازًا إداريًا محايدًا". إنها "تتويج" "للبناء" على "المستوى" "السياسي".</w:t>
      </w:r>
      <w:r>
        <w:rPr>
          <w:i/>
          <w:iCs/>
          <w:color w:val="0E6E6E"/>
        </w:rPr>
        <w:t xml:space="preserve"> [1246، 1264]</w:t>
      </w:r>
    </w:p>
    <w:p w14:paraId="0F9537E3" w14:textId="77777777" w:rsidR="00501368" w:rsidRDefault="00000000">
      <w:pPr>
        <w:spacing w:after="200" w:line="340" w:lineRule="auto"/>
        <w:jc w:val="both"/>
        <w:rPr>
          <w:rFonts w:cs="Arial"/>
        </w:rPr>
      </w:pPr>
      <w:r>
        <w:rPr>
          <w:color w:val="1A1A1A"/>
        </w:rPr>
        <w:t>بوصفها "تتويجًا" سياسيًا للبناء النظري بأكمله، تُواجه "نظرية الدولة الاستخلافية" سؤالًا مؤسسيًا حاسمًا يتجاوز حدود التنظير الفلسفي: كيف تُدار – عمليًا لا نظريًا فقط – العلاقة بين "حاضنة العمران الأخلاقي" المُعلنة وبين مطلبَي التعددية الداخلية (الاختلاف الفقهي والمذهبي المشروع داخل الأمة نفسها) والتعايش مع غير المسلمين ضمن الكيان السياسي ذاته؟ إن أي نظرية سياسية تجعل "منظومة أخلاقية" واحدة مرجعية سيادية للدولة تواجه – من أي مرجعية أتت – مخاطر منهجية معروفة في الفلسفة السياسية المقارنة يتوجب استحضارها بأمانة: خطر انزلاق "الحاضنة الأخلاقية" إلى أداة إقصاء لمن لا يشاركها المرجعية، وخطر تحوّل "العمران" المنشود إلى مشروع طوباوي يصطدم بتعقيدات الحكم الفعلي. وتبقى هذه الأسئلة – بحسب التزام المشروع بالنقد الذاتي المعلن – من صميم ما ينبغي أن يُفصَّل فيه نظريًا ومؤسسيًا في الأطوار اللاحقة من تطوير هذه النظرية، تمييزًا للطموح التأسيسي عن التفاصيل التطبيقية التي لا تزال قيد الصياغة.</w:t>
      </w:r>
    </w:p>
    <w:p w14:paraId="6A8DCA77" w14:textId="77777777" w:rsidR="00501368" w:rsidRDefault="00000000">
      <w:pPr>
        <w:rPr>
          <w:rFonts w:cs="Arial"/>
        </w:rPr>
      </w:pPr>
      <w:r>
        <w:br w:type="page"/>
      </w:r>
    </w:p>
    <w:p w14:paraId="5C9D309D" w14:textId="77777777" w:rsidR="00501368" w:rsidRDefault="00000000">
      <w:pPr>
        <w:pStyle w:val="1"/>
        <w:pBdr>
          <w:bottom w:val="single" w:sz="12" w:space="6" w:color="B8860B"/>
        </w:pBdr>
        <w:bidi/>
        <w:spacing w:before="500" w:after="260"/>
        <w:rPr>
          <w:rFonts w:cs="Arial"/>
        </w:rPr>
      </w:pPr>
      <w:r>
        <w:rPr>
          <w:b/>
          <w:bCs/>
          <w:color w:val="1B3A5C"/>
          <w:sz w:val="34"/>
          <w:szCs w:val="34"/>
        </w:rPr>
        <w:t>فصل خاص: النقد الذاتي المنهجي — نحو برنامج بحث تراكمي</w:t>
      </w:r>
    </w:p>
    <w:p w14:paraId="155EDAC5" w14:textId="77777777" w:rsidR="00501368" w:rsidRDefault="00000000">
      <w:pPr>
        <w:spacing w:after="200" w:line="340" w:lineRule="auto"/>
        <w:jc w:val="both"/>
        <w:rPr>
          <w:rFonts w:cs="Arial"/>
        </w:rPr>
      </w:pPr>
      <w:r>
        <w:rPr>
          <w:color w:val="1A1A1A"/>
        </w:rPr>
        <w:t>التزامًا بمنهجية "أركيولوجيا الجرح" ذاتها – التي تشترط الانعكاسية المنهجية لا تطبيق النقد على الخصوم فقط – وبالمنهج المعتمد في مجمل أعمال هذا المشروع، يُختتم هذا العرض بتلخيص أمين لأبرز "الأسئلة المفتوحة" التي لا تزال بحاجة إلى معالجة نظرية وتجريبية أعمق، لا بوصفها نقائص تُخفى بل بوصفها خارطة طريق لبرنامج بحث تراكمي:</w:t>
      </w:r>
    </w:p>
    <w:p w14:paraId="72FB61F9" w14:textId="77777777" w:rsidR="00501368" w:rsidRDefault="00000000">
      <w:pPr>
        <w:pStyle w:val="3"/>
        <w:bidi/>
        <w:spacing w:before="260" w:after="160"/>
        <w:rPr>
          <w:rFonts w:cs="Arial"/>
        </w:rPr>
      </w:pPr>
      <w:r>
        <w:rPr>
          <w:b/>
          <w:bCs/>
          <w:color w:val="B8860B"/>
          <w:sz w:val="27"/>
          <w:szCs w:val="27"/>
        </w:rPr>
        <w:t>1. القابلية للتحقق التجريبي</w:t>
      </w:r>
    </w:p>
    <w:p w14:paraId="30EA8651" w14:textId="77777777" w:rsidR="00501368" w:rsidRDefault="00000000">
      <w:pPr>
        <w:spacing w:after="200" w:line="340" w:lineRule="auto"/>
        <w:jc w:val="both"/>
        <w:rPr>
          <w:rFonts w:cs="Arial"/>
        </w:rPr>
      </w:pPr>
      <w:r>
        <w:rPr>
          <w:color w:val="1A1A1A"/>
        </w:rPr>
        <w:t xml:space="preserve">لا يزال بروتوكول TLRT وأداة "خريطة الدين النفسي" بحاجة إلى دراسات تحقق </w:t>
      </w:r>
      <w:proofErr w:type="spellStart"/>
      <w:r>
        <w:rPr>
          <w:color w:val="1A1A1A"/>
        </w:rPr>
        <w:t>مُمنهجة</w:t>
      </w:r>
      <w:proofErr w:type="spellEnd"/>
      <w:r>
        <w:rPr>
          <w:color w:val="1A1A1A"/>
        </w:rPr>
        <w:t xml:space="preserve"> (دراسات حالة موثّقة، تجارب مقارنة، مقاييس نتائج قياسية) تتجاوز التنظير إلى التوثيق الإكلينيكي القابل للمراجعة من الأقران.</w:t>
      </w:r>
    </w:p>
    <w:p w14:paraId="302FAAD1" w14:textId="77777777" w:rsidR="00501368" w:rsidRDefault="00000000">
      <w:pPr>
        <w:pStyle w:val="3"/>
        <w:bidi/>
        <w:spacing w:before="260" w:after="160"/>
        <w:rPr>
          <w:rFonts w:cs="Arial"/>
        </w:rPr>
      </w:pPr>
      <w:r>
        <w:rPr>
          <w:b/>
          <w:bCs/>
          <w:color w:val="B8860B"/>
          <w:sz w:val="27"/>
          <w:szCs w:val="27"/>
        </w:rPr>
        <w:t xml:space="preserve">2. حدود الاستعارات </w:t>
      </w:r>
      <w:proofErr w:type="spellStart"/>
      <w:r>
        <w:rPr>
          <w:b/>
          <w:bCs/>
          <w:color w:val="B8860B"/>
          <w:sz w:val="27"/>
          <w:szCs w:val="27"/>
        </w:rPr>
        <w:t>المفاهيمية</w:t>
      </w:r>
      <w:proofErr w:type="spellEnd"/>
    </w:p>
    <w:p w14:paraId="2FB8E227" w14:textId="77777777" w:rsidR="00501368" w:rsidRDefault="00000000">
      <w:pPr>
        <w:spacing w:after="200" w:line="340" w:lineRule="auto"/>
        <w:jc w:val="both"/>
        <w:rPr>
          <w:rFonts w:cs="Arial"/>
        </w:rPr>
      </w:pPr>
      <w:r>
        <w:rPr>
          <w:color w:val="1A1A1A"/>
        </w:rPr>
        <w:t xml:space="preserve">تستعين عدة مكوّنات (نظام التشغيل الأخلاقي، الجسر السلوكي) باستعارات من الحوسبة والهندسة قد تُبسّط ظواهر غيبية أو نفسية معقدة إن أُخذت حرفيًا بدل أن تبقى أدوات تقريب </w:t>
      </w:r>
      <w:proofErr w:type="spellStart"/>
      <w:r>
        <w:rPr>
          <w:color w:val="1A1A1A"/>
        </w:rPr>
        <w:t>استرشادية</w:t>
      </w:r>
      <w:proofErr w:type="spellEnd"/>
      <w:r>
        <w:rPr>
          <w:color w:val="1A1A1A"/>
        </w:rPr>
        <w:t>.</w:t>
      </w:r>
    </w:p>
    <w:p w14:paraId="62C8BDEB" w14:textId="77777777" w:rsidR="00501368" w:rsidRDefault="00000000">
      <w:pPr>
        <w:pStyle w:val="3"/>
        <w:bidi/>
        <w:spacing w:before="260" w:after="160"/>
        <w:rPr>
          <w:rFonts w:cs="Arial"/>
        </w:rPr>
      </w:pPr>
      <w:r>
        <w:rPr>
          <w:b/>
          <w:bCs/>
          <w:color w:val="B8860B"/>
          <w:sz w:val="27"/>
          <w:szCs w:val="27"/>
        </w:rPr>
        <w:t>3. إدارة التعددية الداخلية</w:t>
      </w:r>
    </w:p>
    <w:p w14:paraId="4A2AD2B6" w14:textId="77777777" w:rsidR="00501368" w:rsidRDefault="00000000">
      <w:pPr>
        <w:spacing w:after="200" w:line="340" w:lineRule="auto"/>
        <w:jc w:val="both"/>
        <w:rPr>
          <w:rFonts w:cs="Arial"/>
        </w:rPr>
      </w:pPr>
      <w:r>
        <w:rPr>
          <w:color w:val="1A1A1A"/>
        </w:rPr>
        <w:t>يحتاج طرح "فلسفة السيادة الأخلاقية" و"نظرية الدولة الاستخلافية" إلى تفصيل أوضح لآليات استيعاب الاختلاف الفقهي المشروع والتعايش مع غير المسلمين ضمن الإطار السيادي المقترح.</w:t>
      </w:r>
    </w:p>
    <w:p w14:paraId="67E270FF" w14:textId="77777777" w:rsidR="00501368" w:rsidRDefault="00000000">
      <w:pPr>
        <w:pStyle w:val="3"/>
        <w:bidi/>
        <w:spacing w:before="260" w:after="160"/>
        <w:rPr>
          <w:rFonts w:cs="Arial"/>
        </w:rPr>
      </w:pPr>
      <w:r>
        <w:rPr>
          <w:b/>
          <w:bCs/>
          <w:color w:val="B8860B"/>
          <w:sz w:val="27"/>
          <w:szCs w:val="27"/>
        </w:rPr>
        <w:t>4. معيار "الاندماج الخالق"</w:t>
      </w:r>
    </w:p>
    <w:p w14:paraId="7515E184" w14:textId="77777777" w:rsidR="00501368" w:rsidRDefault="00000000">
      <w:pPr>
        <w:spacing w:after="200" w:line="340" w:lineRule="auto"/>
        <w:jc w:val="both"/>
        <w:rPr>
          <w:rFonts w:cs="Arial"/>
        </w:rPr>
      </w:pPr>
      <w:r>
        <w:rPr>
          <w:color w:val="1A1A1A"/>
        </w:rPr>
        <w:t>لا تزال استراتيجية استيعاب المفاهيم الغربية وإعادة صهرها بحاجة إلى معايير تشغيلية أكثر صرامة تميّز "الاستيعاب الناجح" عن "التلفيق غير المتجانس".</w:t>
      </w:r>
    </w:p>
    <w:p w14:paraId="637980F5" w14:textId="77777777" w:rsidR="00501368" w:rsidRDefault="00000000">
      <w:pPr>
        <w:pStyle w:val="3"/>
        <w:bidi/>
        <w:spacing w:before="260" w:after="160"/>
        <w:rPr>
          <w:rFonts w:cs="Arial"/>
        </w:rPr>
      </w:pPr>
      <w:r>
        <w:rPr>
          <w:b/>
          <w:bCs/>
          <w:color w:val="B8860B"/>
          <w:sz w:val="27"/>
          <w:szCs w:val="27"/>
        </w:rPr>
        <w:t xml:space="preserve">5. الانتقال من التقارب </w:t>
      </w:r>
      <w:proofErr w:type="spellStart"/>
      <w:r>
        <w:rPr>
          <w:b/>
          <w:bCs/>
          <w:color w:val="B8860B"/>
          <w:sz w:val="27"/>
          <w:szCs w:val="27"/>
        </w:rPr>
        <w:t>المفاهيمي</w:t>
      </w:r>
      <w:proofErr w:type="spellEnd"/>
      <w:r>
        <w:rPr>
          <w:b/>
          <w:bCs/>
          <w:color w:val="B8860B"/>
          <w:sz w:val="27"/>
          <w:szCs w:val="27"/>
        </w:rPr>
        <w:t xml:space="preserve"> إلى الشاهد التجريبي</w:t>
      </w:r>
    </w:p>
    <w:p w14:paraId="47552885" w14:textId="77777777" w:rsidR="00501368" w:rsidRDefault="00000000">
      <w:pPr>
        <w:spacing w:after="200" w:line="340" w:lineRule="auto"/>
        <w:jc w:val="both"/>
        <w:rPr>
          <w:rFonts w:cs="Arial"/>
        </w:rPr>
      </w:pPr>
      <w:r>
        <w:rPr>
          <w:color w:val="1A1A1A"/>
        </w:rPr>
        <w:t xml:space="preserve">يعتمد "التكامل العصبي الفسيولوجي" حاليًا على </w:t>
      </w:r>
      <w:proofErr w:type="spellStart"/>
      <w:r>
        <w:rPr>
          <w:color w:val="1A1A1A"/>
        </w:rPr>
        <w:t>تناظرات</w:t>
      </w:r>
      <w:proofErr w:type="spellEnd"/>
      <w:r>
        <w:rPr>
          <w:color w:val="1A1A1A"/>
        </w:rPr>
        <w:t xml:space="preserve"> نظرية مع أدبيات غربية (كنظرية </w:t>
      </w:r>
      <w:proofErr w:type="spellStart"/>
      <w:r>
        <w:rPr>
          <w:color w:val="1A1A1A"/>
        </w:rPr>
        <w:t>بورجس</w:t>
      </w:r>
      <w:proofErr w:type="spellEnd"/>
      <w:r>
        <w:rPr>
          <w:color w:val="1A1A1A"/>
        </w:rPr>
        <w:t xml:space="preserve"> متعددة المُبهم) بحاجة إلى برنامج قياسات مستقل لتأكيدها تجريبيًا على الظواهر الإيمانية موضوع الدراسة.</w:t>
      </w:r>
    </w:p>
    <w:p w14:paraId="29005746" w14:textId="77777777" w:rsidR="00501368" w:rsidRDefault="00000000">
      <w:pPr>
        <w:spacing w:after="200" w:line="340" w:lineRule="auto"/>
        <w:jc w:val="both"/>
        <w:rPr>
          <w:rFonts w:cs="Arial"/>
        </w:rPr>
      </w:pPr>
      <w:r>
        <w:rPr>
          <w:color w:val="1A1A1A"/>
        </w:rPr>
        <w:t>وتبقى هذه الأسئلة، مجتمعةً، لا مؤشرًا على ضعف بنيوي في المشروع، بل شاهدًا على نضجه المنهجي: فالمشاريع المعرفية التي تُعلن يقينها المطلق منذ اللحظة التأسيسية الأولى هي، غالبًا، الأكثر عرضة للجمود، بينما تظل المشاريع القادرة على تسمية حدودها بصراحة هي الأقدر على النمو التراكمي عبر الزمن.</w:t>
      </w:r>
    </w:p>
    <w:p w14:paraId="0D20F3EC" w14:textId="77777777" w:rsidR="00501368" w:rsidRDefault="00000000">
      <w:pPr>
        <w:rPr>
          <w:rFonts w:cs="Arial"/>
        </w:rPr>
      </w:pPr>
      <w:r>
        <w:br w:type="page"/>
      </w:r>
    </w:p>
    <w:p w14:paraId="443A4FE5" w14:textId="77777777" w:rsidR="00501368" w:rsidRDefault="00000000">
      <w:pPr>
        <w:pStyle w:val="1"/>
        <w:pBdr>
          <w:bottom w:val="single" w:sz="12" w:space="6" w:color="B8860B"/>
        </w:pBdr>
        <w:bidi/>
        <w:spacing w:before="500" w:after="260"/>
        <w:rPr>
          <w:rFonts w:cs="Arial"/>
        </w:rPr>
      </w:pPr>
      <w:r>
        <w:rPr>
          <w:b/>
          <w:bCs/>
          <w:color w:val="1B3A5C"/>
          <w:sz w:val="34"/>
          <w:szCs w:val="34"/>
        </w:rPr>
        <w:t>خاتمة موسّعة: "المنظومة" و"التكامل"</w:t>
      </w:r>
    </w:p>
    <w:p w14:paraId="0C17CFA6" w14:textId="77777777" w:rsidR="00501368" w:rsidRDefault="00000000">
      <w:pPr>
        <w:spacing w:after="200" w:line="340" w:lineRule="auto"/>
        <w:jc w:val="both"/>
        <w:rPr>
          <w:rFonts w:cs="Arial"/>
        </w:rPr>
      </w:pPr>
      <w:r>
        <w:rPr>
          <w:color w:val="1A1A1A"/>
        </w:rPr>
        <w:t>هذه "المكونات التسعة عشر" – كما يلاحظ القارئ – لا تقف "منعزلة"، بل هي – في الحقيقة – "أوجه" لـ"منشور" واحد، و"تجليات" لـ"رؤية" واحدة. فـ"</w:t>
      </w:r>
      <w:proofErr w:type="spellStart"/>
      <w:r>
        <w:rPr>
          <w:color w:val="1A1A1A"/>
        </w:rPr>
        <w:t>البارادايم</w:t>
      </w:r>
      <w:proofErr w:type="spellEnd"/>
      <w:r>
        <w:rPr>
          <w:color w:val="1A1A1A"/>
        </w:rPr>
        <w:t xml:space="preserve"> الاستخلافي" (١) هو "الإطار" الذي يحتويها كلها. و"النموذج الهرمي" (٢) هو "الخريطة" التي توجه "الحركة" فيها. و"بروتوكول TLRT" (٣) هو "الأداة" التي تُحدث "التغيير". و"النظريات </w:t>
      </w:r>
      <w:proofErr w:type="spellStart"/>
      <w:r>
        <w:rPr>
          <w:color w:val="1A1A1A"/>
        </w:rPr>
        <w:t>الإبستمولوجية</w:t>
      </w:r>
      <w:proofErr w:type="spellEnd"/>
      <w:r>
        <w:rPr>
          <w:color w:val="1A1A1A"/>
        </w:rPr>
        <w:t>" (٤-٩) هي "المبررات" و"الضوابط". و"المفاهيم المركزية" (١٠-١٩) هي "المفاتيح" و"الآليات". و"الكل" – معًا – يُشكل "نسيجًا" واحدًا، "يربط" بين "المسطور" و"المنظور"، و"العلم" و"الإيمان"، و"الفرد" و"المجتمع"، و"الدنيا" و"الآخرة"، في "محاولة" "جريئة" و"أصيلة" "لاستعادة الإنسان الخليفة".</w:t>
      </w:r>
      <w:r>
        <w:rPr>
          <w:i/>
          <w:iCs/>
          <w:color w:val="0E6E6E"/>
        </w:rPr>
        <w:t xml:space="preserve"> [1191، 1282]</w:t>
      </w:r>
    </w:p>
    <w:p w14:paraId="0885C36A" w14:textId="77777777" w:rsidR="00501368" w:rsidRDefault="00000000">
      <w:pPr>
        <w:spacing w:after="200" w:line="340" w:lineRule="auto"/>
        <w:jc w:val="both"/>
        <w:rPr>
          <w:rFonts w:cs="Arial"/>
        </w:rPr>
      </w:pPr>
      <w:r>
        <w:rPr>
          <w:color w:val="1A1A1A"/>
        </w:rPr>
        <w:t xml:space="preserve">وإذا كان هذا العرض الموسّع قد سعى إلى وضع كل مكوّن من المكونات التسعة عشر في حوار نقدي مع تقاليد معرفية غربية وإسلامية متعددة – من فلسفة العلم عند كون </w:t>
      </w:r>
      <w:proofErr w:type="spellStart"/>
      <w:r>
        <w:rPr>
          <w:color w:val="1A1A1A"/>
        </w:rPr>
        <w:t>ولاكاتوش</w:t>
      </w:r>
      <w:proofErr w:type="spellEnd"/>
      <w:r>
        <w:rPr>
          <w:color w:val="1A1A1A"/>
        </w:rPr>
        <w:t xml:space="preserve"> وبوبر، إلى الأنثروبولوجيا الفلسفية عند </w:t>
      </w:r>
      <w:proofErr w:type="spellStart"/>
      <w:r>
        <w:rPr>
          <w:color w:val="1A1A1A"/>
        </w:rPr>
        <w:t>فرانكل</w:t>
      </w:r>
      <w:proofErr w:type="spellEnd"/>
      <w:r>
        <w:rPr>
          <w:color w:val="1A1A1A"/>
        </w:rPr>
        <w:t xml:space="preserve"> </w:t>
      </w:r>
      <w:proofErr w:type="spellStart"/>
      <w:r>
        <w:rPr>
          <w:color w:val="1A1A1A"/>
        </w:rPr>
        <w:t>وماكنتاير</w:t>
      </w:r>
      <w:proofErr w:type="spellEnd"/>
      <w:r>
        <w:rPr>
          <w:color w:val="1A1A1A"/>
        </w:rPr>
        <w:t xml:space="preserve"> </w:t>
      </w:r>
      <w:proofErr w:type="spellStart"/>
      <w:r>
        <w:rPr>
          <w:color w:val="1A1A1A"/>
        </w:rPr>
        <w:t>ويالوم</w:t>
      </w:r>
      <w:proofErr w:type="spellEnd"/>
      <w:r>
        <w:rPr>
          <w:color w:val="1A1A1A"/>
        </w:rPr>
        <w:t xml:space="preserve">، إلى النقد الاجتماعي عند فوكو </w:t>
      </w:r>
      <w:proofErr w:type="spellStart"/>
      <w:r>
        <w:rPr>
          <w:color w:val="1A1A1A"/>
        </w:rPr>
        <w:t>وبورديو</w:t>
      </w:r>
      <w:proofErr w:type="spellEnd"/>
      <w:r>
        <w:rPr>
          <w:color w:val="1A1A1A"/>
        </w:rPr>
        <w:t xml:space="preserve"> </w:t>
      </w:r>
      <w:proofErr w:type="spellStart"/>
      <w:r>
        <w:rPr>
          <w:color w:val="1A1A1A"/>
        </w:rPr>
        <w:t>وزوبوف</w:t>
      </w:r>
      <w:proofErr w:type="spellEnd"/>
      <w:r>
        <w:rPr>
          <w:color w:val="1A1A1A"/>
        </w:rPr>
        <w:t xml:space="preserve"> </w:t>
      </w:r>
      <w:proofErr w:type="spellStart"/>
      <w:r>
        <w:rPr>
          <w:color w:val="1A1A1A"/>
        </w:rPr>
        <w:t>وهابرماس</w:t>
      </w:r>
      <w:proofErr w:type="spellEnd"/>
      <w:r>
        <w:rPr>
          <w:color w:val="1A1A1A"/>
        </w:rPr>
        <w:t>، مرورًا بالتراث الكلاسيكي عند الغزالي وابن القيم والمحاسبي وابن خلدون وحلاق – فإن الغاية من هذا الحوار لم تكن تذويب خصوصية "النموذج الاستخلافي" في مرجعيات مستعارة، بل بالعكس تمامًا: اختبار صلابته النظرية عبر مواجهته بأقوى ما أنتجته التقاليد الأخرى من إشكاليات موازية، وهو الاختبار الذي يخرج منه المشروع، في مجمله، بموقع نديّ جاد يستحق مواصلة البحث والتطوير والمساءلة معًا.</w:t>
      </w:r>
    </w:p>
    <w:p w14:paraId="0EA65E27" w14:textId="77777777" w:rsidR="00501368" w:rsidRDefault="00501368">
      <w:pPr>
        <w:spacing w:after="300"/>
        <w:rPr>
          <w:rFonts w:cs="Arial"/>
        </w:rPr>
      </w:pPr>
    </w:p>
    <w:p w14:paraId="1F76AAD4" w14:textId="77777777" w:rsidR="00501368" w:rsidRDefault="00000000">
      <w:pPr>
        <w:rPr>
          <w:rFonts w:cs="Arial"/>
        </w:rPr>
      </w:pPr>
      <w:r>
        <w:br w:type="page"/>
      </w:r>
    </w:p>
    <w:p w14:paraId="26844462" w14:textId="77777777" w:rsidR="00501368" w:rsidRDefault="00000000">
      <w:pPr>
        <w:pStyle w:val="1"/>
        <w:pBdr>
          <w:bottom w:val="single" w:sz="12" w:space="6" w:color="B8860B"/>
        </w:pBdr>
        <w:bidi/>
        <w:spacing w:before="500" w:after="260"/>
        <w:rPr>
          <w:rFonts w:cs="Arial"/>
        </w:rPr>
      </w:pPr>
      <w:r>
        <w:rPr>
          <w:b/>
          <w:bCs/>
          <w:color w:val="1B3A5C"/>
          <w:sz w:val="34"/>
          <w:szCs w:val="34"/>
        </w:rPr>
        <w:t>المراجع والمصادر</w:t>
      </w:r>
    </w:p>
    <w:p w14:paraId="3B403460" w14:textId="77777777" w:rsidR="00501368" w:rsidRDefault="00000000">
      <w:pPr>
        <w:pStyle w:val="2"/>
        <w:bidi/>
        <w:spacing w:before="380" w:after="200"/>
        <w:rPr>
          <w:rFonts w:cs="Arial"/>
        </w:rPr>
      </w:pPr>
      <w:r>
        <w:rPr>
          <w:b/>
          <w:bCs/>
          <w:color w:val="0E6E6E"/>
          <w:sz w:val="29"/>
          <w:szCs w:val="29"/>
        </w:rPr>
        <w:t>المصادر الأساسية (النموذج الاستخلافي)</w:t>
      </w:r>
    </w:p>
    <w:p w14:paraId="2926195F" w14:textId="77777777" w:rsidR="00501368" w:rsidRDefault="00000000">
      <w:pPr>
        <w:spacing w:after="200" w:line="340" w:lineRule="auto"/>
        <w:jc w:val="right"/>
        <w:rPr>
          <w:rFonts w:cs="Arial"/>
        </w:rPr>
      </w:pPr>
      <w:r>
        <w:rPr>
          <w:color w:val="1A1A1A"/>
        </w:rPr>
        <w:t>1. الزراع، عبد السلام. (2026). العلاج بحرث المصالحة التحويلية (TLRT): الدليل النظري والإكلينيكي. (الطبعة التجريبية الأولى).</w:t>
      </w:r>
    </w:p>
    <w:p w14:paraId="35A82AD4" w14:textId="77777777" w:rsidR="00501368" w:rsidRDefault="00000000">
      <w:pPr>
        <w:spacing w:after="200" w:line="340" w:lineRule="auto"/>
        <w:jc w:val="right"/>
        <w:rPr>
          <w:rFonts w:cs="Arial"/>
        </w:rPr>
      </w:pPr>
      <w:r>
        <w:rPr>
          <w:color w:val="1A1A1A"/>
        </w:rPr>
        <w:t>2. الزراع، عبد السلام. (2026). الفصام الأخلاقي ومصدر الأزمات النفسية: قراءة في ضوء نظرية TLRT.</w:t>
      </w:r>
    </w:p>
    <w:p w14:paraId="0F7FCE47" w14:textId="77777777" w:rsidR="00501368" w:rsidRDefault="00000000">
      <w:pPr>
        <w:spacing w:after="200" w:line="340" w:lineRule="auto"/>
        <w:jc w:val="right"/>
        <w:rPr>
          <w:rFonts w:cs="Arial"/>
        </w:rPr>
      </w:pPr>
      <w:r>
        <w:rPr>
          <w:color w:val="1A1A1A"/>
        </w:rPr>
        <w:t xml:space="preserve">3. الزراع، عبد السلام. (2026). </w:t>
      </w:r>
      <w:proofErr w:type="spellStart"/>
      <w:r>
        <w:rPr>
          <w:color w:val="1A1A1A"/>
        </w:rPr>
        <w:t>التمثلات</w:t>
      </w:r>
      <w:proofErr w:type="spellEnd"/>
      <w:r>
        <w:rPr>
          <w:color w:val="1A1A1A"/>
        </w:rPr>
        <w:t xml:space="preserve"> الداخلية للإله: من نظرية </w:t>
      </w:r>
      <w:proofErr w:type="spellStart"/>
      <w:r>
        <w:rPr>
          <w:color w:val="1A1A1A"/>
        </w:rPr>
        <w:t>ريزوتو</w:t>
      </w:r>
      <w:proofErr w:type="spellEnd"/>
      <w:r>
        <w:rPr>
          <w:color w:val="1A1A1A"/>
        </w:rPr>
        <w:t xml:space="preserve"> إلى إعادة بناء صورة الله في TLRT.</w:t>
      </w:r>
    </w:p>
    <w:p w14:paraId="3519234E" w14:textId="77777777" w:rsidR="00501368" w:rsidRDefault="00000000">
      <w:pPr>
        <w:spacing w:after="200" w:line="340" w:lineRule="auto"/>
        <w:jc w:val="right"/>
        <w:rPr>
          <w:rFonts w:cs="Arial"/>
        </w:rPr>
      </w:pPr>
      <w:r>
        <w:rPr>
          <w:color w:val="1A1A1A"/>
        </w:rPr>
        <w:t>4. الزراع، عبد السلام. (2026). أركيولوجيا الجرح الخطابي: فتحي بن سلامة والبنية الثقافية العربية. تونس: قصور الساف.</w:t>
      </w:r>
    </w:p>
    <w:p w14:paraId="206C32F1" w14:textId="77777777" w:rsidR="00501368" w:rsidRDefault="00000000">
      <w:pPr>
        <w:pStyle w:val="2"/>
        <w:bidi/>
        <w:spacing w:before="380" w:after="200"/>
        <w:rPr>
          <w:rFonts w:cs="Arial"/>
        </w:rPr>
      </w:pPr>
      <w:r>
        <w:rPr>
          <w:b/>
          <w:bCs/>
          <w:color w:val="0E6E6E"/>
          <w:sz w:val="29"/>
          <w:szCs w:val="29"/>
        </w:rPr>
        <w:t>التراث الإسلامي الكلاسيكي</w:t>
      </w:r>
    </w:p>
    <w:p w14:paraId="71EB0597" w14:textId="77777777" w:rsidR="00501368" w:rsidRDefault="00000000">
      <w:pPr>
        <w:spacing w:after="200" w:line="340" w:lineRule="auto"/>
        <w:jc w:val="right"/>
        <w:rPr>
          <w:rFonts w:cs="Arial"/>
        </w:rPr>
      </w:pPr>
      <w:r>
        <w:rPr>
          <w:color w:val="1A1A1A"/>
        </w:rPr>
        <w:t>1. الغزالي، أبو حامد. إحياء علوم الدين. بيروت: دار المعرفة.</w:t>
      </w:r>
    </w:p>
    <w:p w14:paraId="60425AFA" w14:textId="77777777" w:rsidR="00501368" w:rsidRDefault="00000000">
      <w:pPr>
        <w:spacing w:after="200" w:line="340" w:lineRule="auto"/>
        <w:jc w:val="right"/>
        <w:rPr>
          <w:rFonts w:cs="Arial"/>
        </w:rPr>
      </w:pPr>
      <w:r>
        <w:rPr>
          <w:color w:val="1A1A1A"/>
        </w:rPr>
        <w:t>2. ابن قيم الجوزية. مدارج السالكين بين منازل إياك نعبد وإياك نستعين. بيروت: دار الكتاب العربي.</w:t>
      </w:r>
    </w:p>
    <w:p w14:paraId="6CA92307" w14:textId="77777777" w:rsidR="00501368" w:rsidRDefault="00000000">
      <w:pPr>
        <w:spacing w:after="200" w:line="340" w:lineRule="auto"/>
        <w:jc w:val="right"/>
        <w:rPr>
          <w:rFonts w:cs="Arial"/>
        </w:rPr>
      </w:pPr>
      <w:r>
        <w:rPr>
          <w:color w:val="1A1A1A"/>
        </w:rPr>
        <w:t>3. المحاسبي، الحارث بن أسد. الرعاية لحقوق الله. القاهرة: دار المعارف.</w:t>
      </w:r>
    </w:p>
    <w:p w14:paraId="2FB1A733" w14:textId="77777777" w:rsidR="00501368" w:rsidRDefault="00000000">
      <w:pPr>
        <w:spacing w:after="200" w:line="340" w:lineRule="auto"/>
        <w:jc w:val="right"/>
        <w:rPr>
          <w:rFonts w:cs="Arial"/>
        </w:rPr>
      </w:pPr>
      <w:r>
        <w:rPr>
          <w:color w:val="1A1A1A"/>
        </w:rPr>
        <w:t>4. ابن خلدون، عبد الرحمن. المقدمة. بيروت: دار الفكر.</w:t>
      </w:r>
    </w:p>
    <w:p w14:paraId="4D681955" w14:textId="77777777" w:rsidR="00501368" w:rsidRDefault="00000000">
      <w:pPr>
        <w:pStyle w:val="2"/>
        <w:bidi/>
        <w:spacing w:before="380" w:after="200"/>
        <w:rPr>
          <w:rFonts w:cs="Arial"/>
        </w:rPr>
      </w:pPr>
      <w:r>
        <w:rPr>
          <w:b/>
          <w:bCs/>
          <w:color w:val="0E6E6E"/>
          <w:sz w:val="29"/>
          <w:szCs w:val="29"/>
        </w:rPr>
        <w:t>مراجع في فلسفة العلم وعلم اجتماع المعرفة</w:t>
      </w:r>
    </w:p>
    <w:p w14:paraId="2DA0A87F" w14:textId="77777777" w:rsidR="00501368" w:rsidRDefault="00000000">
      <w:pPr>
        <w:spacing w:after="200" w:line="340" w:lineRule="auto"/>
        <w:rPr>
          <w:rFonts w:cs="Arial"/>
        </w:rPr>
      </w:pPr>
      <w:r>
        <w:rPr>
          <w:color w:val="1A1A1A"/>
          <w:rtl w:val="0"/>
        </w:rPr>
        <w:t>1. Kuhn, T. S. (1962). The Structure of Scientific Revolutions. Chicago: University of Chicago Press.</w:t>
      </w:r>
    </w:p>
    <w:p w14:paraId="076CE915" w14:textId="77777777" w:rsidR="00501368" w:rsidRDefault="00000000">
      <w:pPr>
        <w:spacing w:after="200" w:line="340" w:lineRule="auto"/>
        <w:rPr>
          <w:rFonts w:cs="Arial"/>
        </w:rPr>
      </w:pPr>
      <w:r>
        <w:rPr>
          <w:color w:val="1A1A1A"/>
          <w:rtl w:val="0"/>
        </w:rPr>
        <w:t>2. Popper, K. (1959). The Logic of Scientific Discovery. London: Hutchinson.</w:t>
      </w:r>
    </w:p>
    <w:p w14:paraId="78366F0A" w14:textId="77777777" w:rsidR="00501368" w:rsidRDefault="00000000">
      <w:pPr>
        <w:spacing w:after="200" w:line="340" w:lineRule="auto"/>
        <w:rPr>
          <w:rFonts w:cs="Arial"/>
        </w:rPr>
      </w:pPr>
      <w:r>
        <w:rPr>
          <w:color w:val="1A1A1A"/>
          <w:rtl w:val="0"/>
        </w:rPr>
        <w:t>3. Lakatos, I. (1978). The Methodology of Scientific Research Programmes. Cambridge: Cambridge University Press.</w:t>
      </w:r>
    </w:p>
    <w:p w14:paraId="5B4EDD79" w14:textId="77777777" w:rsidR="00501368" w:rsidRDefault="00000000">
      <w:pPr>
        <w:pStyle w:val="2"/>
        <w:bidi/>
        <w:spacing w:before="380" w:after="200"/>
        <w:rPr>
          <w:rFonts w:cs="Arial"/>
        </w:rPr>
      </w:pPr>
      <w:r>
        <w:rPr>
          <w:b/>
          <w:bCs/>
          <w:color w:val="0E6E6E"/>
          <w:sz w:val="29"/>
          <w:szCs w:val="29"/>
        </w:rPr>
        <w:t>مراجع في الفكر السياسي الإسلامي والفلسفة الاجتماعية</w:t>
      </w:r>
    </w:p>
    <w:p w14:paraId="7B935B1F" w14:textId="77777777" w:rsidR="00501368" w:rsidRDefault="00000000">
      <w:pPr>
        <w:spacing w:after="200" w:line="340" w:lineRule="auto"/>
        <w:rPr>
          <w:rFonts w:cs="Arial"/>
        </w:rPr>
      </w:pPr>
      <w:r>
        <w:rPr>
          <w:color w:val="1A1A1A"/>
          <w:rtl w:val="0"/>
        </w:rPr>
        <w:t>1. حلاق، وائل. (2013). الدولة المستحيلة: الإسلام والسياسة ومأزق الحداثة الأخلاقي. بيروت: الشبكة العربية للأبحاث والنشر.</w:t>
      </w:r>
    </w:p>
    <w:p w14:paraId="5F1BB13E" w14:textId="77777777" w:rsidR="00501368" w:rsidRDefault="00000000">
      <w:pPr>
        <w:spacing w:after="200" w:line="340" w:lineRule="auto"/>
        <w:rPr>
          <w:rFonts w:cs="Arial"/>
        </w:rPr>
      </w:pPr>
      <w:r>
        <w:rPr>
          <w:color w:val="1A1A1A"/>
          <w:rtl w:val="0"/>
        </w:rPr>
        <w:t>2. Habermas, J. (1981). Theorie des kommunikativen Handelns. Frankfurt: Suhrkamp.</w:t>
      </w:r>
    </w:p>
    <w:p w14:paraId="446B7077" w14:textId="77777777" w:rsidR="00501368" w:rsidRDefault="00000000">
      <w:pPr>
        <w:spacing w:after="200" w:line="340" w:lineRule="auto"/>
        <w:rPr>
          <w:rFonts w:cs="Arial"/>
        </w:rPr>
      </w:pPr>
      <w:r>
        <w:rPr>
          <w:color w:val="1A1A1A"/>
          <w:rtl w:val="0"/>
        </w:rPr>
        <w:t>3. Bourdieu, P. (1980). Le sens pratique. Paris: Éditions de Minuit.</w:t>
      </w:r>
    </w:p>
    <w:p w14:paraId="68C65002" w14:textId="77777777" w:rsidR="00501368" w:rsidRDefault="00000000">
      <w:pPr>
        <w:spacing w:after="200" w:line="340" w:lineRule="auto"/>
        <w:rPr>
          <w:rFonts w:cs="Arial"/>
        </w:rPr>
      </w:pPr>
      <w:r>
        <w:rPr>
          <w:color w:val="1A1A1A"/>
          <w:rtl w:val="0"/>
        </w:rPr>
        <w:t>4. Foucault, M. (1975). Surveiller et punir: Naissance de la prison. Paris: Gallimard.</w:t>
      </w:r>
    </w:p>
    <w:p w14:paraId="1AF84135" w14:textId="77777777" w:rsidR="00501368" w:rsidRDefault="00000000">
      <w:pPr>
        <w:spacing w:after="200" w:line="340" w:lineRule="auto"/>
        <w:rPr>
          <w:rFonts w:cs="Arial"/>
        </w:rPr>
      </w:pPr>
      <w:r>
        <w:rPr>
          <w:color w:val="1A1A1A"/>
          <w:rtl w:val="0"/>
        </w:rPr>
        <w:t>5. Zuboff, S. (2019). The Age of Surveillance Capitalism. New York: PublicAffairs.</w:t>
      </w:r>
    </w:p>
    <w:p w14:paraId="40EA57FC" w14:textId="77777777" w:rsidR="00501368" w:rsidRDefault="00000000">
      <w:pPr>
        <w:pStyle w:val="2"/>
        <w:bidi/>
        <w:spacing w:before="380" w:after="200"/>
        <w:rPr>
          <w:rFonts w:cs="Arial"/>
        </w:rPr>
      </w:pPr>
      <w:r>
        <w:rPr>
          <w:b/>
          <w:bCs/>
          <w:color w:val="0E6E6E"/>
          <w:sz w:val="29"/>
          <w:szCs w:val="29"/>
        </w:rPr>
        <w:t>مراجع في علم النفس والأنثروبولوجيا الفلسفية</w:t>
      </w:r>
    </w:p>
    <w:p w14:paraId="793E2E31" w14:textId="77777777" w:rsidR="00501368" w:rsidRDefault="00000000">
      <w:pPr>
        <w:spacing w:after="200" w:line="340" w:lineRule="auto"/>
        <w:rPr>
          <w:rFonts w:cs="Arial"/>
        </w:rPr>
      </w:pPr>
      <w:r>
        <w:rPr>
          <w:color w:val="1A1A1A"/>
          <w:rtl w:val="0"/>
        </w:rPr>
        <w:t>1. Frankl, V. E. (1946). Man's Search for Meaning. Boston: Beacon Press.</w:t>
      </w:r>
    </w:p>
    <w:p w14:paraId="617F1139" w14:textId="77777777" w:rsidR="00501368" w:rsidRDefault="00000000">
      <w:pPr>
        <w:spacing w:after="200" w:line="340" w:lineRule="auto"/>
        <w:rPr>
          <w:rFonts w:cs="Arial"/>
        </w:rPr>
      </w:pPr>
      <w:r>
        <w:rPr>
          <w:color w:val="1A1A1A"/>
          <w:rtl w:val="0"/>
        </w:rPr>
        <w:t>2. MacIntyre, A. (1981). After Virtue: A Study in Moral Theory. Notre Dame: University of Notre Dame Press.</w:t>
      </w:r>
    </w:p>
    <w:p w14:paraId="62C4A879" w14:textId="77777777" w:rsidR="00501368" w:rsidRDefault="00000000">
      <w:pPr>
        <w:spacing w:after="200" w:line="340" w:lineRule="auto"/>
        <w:rPr>
          <w:rFonts w:cs="Arial"/>
        </w:rPr>
      </w:pPr>
      <w:r>
        <w:rPr>
          <w:color w:val="1A1A1A"/>
          <w:rtl w:val="0"/>
        </w:rPr>
        <w:t>3. Yalom, I. D. (1980). Existential Psychotherapy. New York: Basic Books.</w:t>
      </w:r>
    </w:p>
    <w:p w14:paraId="2D8011F5" w14:textId="77777777" w:rsidR="00501368" w:rsidRDefault="00000000">
      <w:pPr>
        <w:spacing w:after="200" w:line="340" w:lineRule="auto"/>
        <w:rPr>
          <w:rFonts w:cs="Arial"/>
        </w:rPr>
      </w:pPr>
      <w:r>
        <w:rPr>
          <w:color w:val="1A1A1A"/>
          <w:rtl w:val="0"/>
        </w:rPr>
        <w:t>4. Tedeschi, R. G., &amp; Calhoun, L. G. (2004). Posttraumatic Growth: Conceptual Foundations and Empirical Evidence. Psychological Inquiry, 15(1).</w:t>
      </w:r>
    </w:p>
    <w:p w14:paraId="253DC257" w14:textId="77777777" w:rsidR="00501368" w:rsidRDefault="00000000">
      <w:pPr>
        <w:spacing w:after="200" w:line="340" w:lineRule="auto"/>
        <w:rPr>
          <w:rFonts w:cs="Arial"/>
        </w:rPr>
      </w:pPr>
      <w:r>
        <w:rPr>
          <w:color w:val="1A1A1A"/>
          <w:rtl w:val="0"/>
        </w:rPr>
        <w:t>5. Tangney, J. P., &amp; Dearing, R. L. (2002). Shame and Guilt. New York: Guilford Press.</w:t>
      </w:r>
    </w:p>
    <w:p w14:paraId="4D555161" w14:textId="77777777" w:rsidR="00501368" w:rsidRDefault="00000000">
      <w:pPr>
        <w:spacing w:after="200" w:line="340" w:lineRule="auto"/>
        <w:rPr>
          <w:rFonts w:cs="Arial"/>
        </w:rPr>
      </w:pPr>
      <w:r>
        <w:rPr>
          <w:color w:val="1A1A1A"/>
          <w:rtl w:val="0"/>
        </w:rPr>
        <w:t>6. Porges, S. W. (2011). The Polyvagal Theory. New York: W. W. Norton.</w:t>
      </w:r>
    </w:p>
    <w:sectPr w:rsidR="00501368">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A5AAB" w14:textId="77777777" w:rsidR="00D725E6" w:rsidRDefault="00D725E6">
      <w:pPr>
        <w:rPr>
          <w:rFonts w:cs="Arial"/>
        </w:rPr>
      </w:pPr>
      <w:r>
        <w:separator/>
      </w:r>
    </w:p>
  </w:endnote>
  <w:endnote w:type="continuationSeparator" w:id="0">
    <w:p w14:paraId="76FF0486" w14:textId="77777777" w:rsidR="00D725E6" w:rsidRDefault="00D725E6">
      <w:pPr>
        <w:rPr>
          <w:rFonts w:cs="Aria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F084" w14:textId="77777777" w:rsidR="00501368" w:rsidRDefault="00000000">
    <w:pPr>
      <w:jc w:val="center"/>
      <w:rPr>
        <w:rFonts w:cs="Arial"/>
      </w:rPr>
    </w:pPr>
    <w:r>
      <w:rPr>
        <w:color w:val="B8860B"/>
        <w:sz w:val="18"/>
        <w:szCs w:val="18"/>
      </w:rPr>
      <w:t xml:space="preserve">عبد السلام الزراع  —  </w:t>
    </w:r>
    <w:r>
      <w:rPr>
        <w:color w:val="B8860B"/>
        <w:sz w:val="18"/>
        <w:szCs w:val="18"/>
      </w:rPr>
      <w:fldChar w:fldCharType="begin"/>
    </w:r>
    <w:r>
      <w:rPr>
        <w:color w:val="B8860B"/>
        <w:sz w:val="18"/>
        <w:szCs w:val="18"/>
      </w:rPr>
      <w:instrText>PAGE</w:instrText>
    </w:r>
    <w:r>
      <w:rPr>
        <w:color w:val="B8860B"/>
        <w:sz w:val="18"/>
        <w:szCs w:val="18"/>
      </w:rPr>
      <w:fldChar w:fldCharType="separate"/>
    </w:r>
    <w:r>
      <w:rPr>
        <w:color w:val="B8860B"/>
        <w:sz w:val="18"/>
        <w:szCs w:val="18"/>
      </w:rPr>
      <w:fldChar w:fldCharType="end"/>
    </w:r>
    <w:r>
      <w:rPr>
        <w:color w:val="B8860B"/>
        <w:sz w:val="18"/>
        <w:szCs w:val="18"/>
      </w:rPr>
      <w:t xml:space="preserve"> / </w:t>
    </w:r>
    <w:r>
      <w:rPr>
        <w:color w:val="B8860B"/>
        <w:sz w:val="18"/>
        <w:szCs w:val="18"/>
      </w:rPr>
      <w:fldChar w:fldCharType="begin"/>
    </w:r>
    <w:r>
      <w:rPr>
        <w:color w:val="B8860B"/>
        <w:sz w:val="18"/>
        <w:szCs w:val="18"/>
      </w:rPr>
      <w:instrText>NUMPAGES</w:instrText>
    </w:r>
    <w:r>
      <w:rPr>
        <w:color w:val="B8860B"/>
        <w:sz w:val="18"/>
        <w:szCs w:val="18"/>
      </w:rPr>
      <w:fldChar w:fldCharType="separate"/>
    </w:r>
    <w:r>
      <w:rPr>
        <w:color w:val="B8860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A09B6" w14:textId="77777777" w:rsidR="00D725E6" w:rsidRDefault="00D725E6">
      <w:pPr>
        <w:rPr>
          <w:rFonts w:cs="Arial"/>
        </w:rPr>
      </w:pPr>
      <w:r>
        <w:separator/>
      </w:r>
    </w:p>
  </w:footnote>
  <w:footnote w:type="continuationSeparator" w:id="0">
    <w:p w14:paraId="3D8E70CB" w14:textId="77777777" w:rsidR="00D725E6" w:rsidRDefault="00D725E6">
      <w:pPr>
        <w:rPr>
          <w:rFonts w:cs="Aria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DA9A" w14:textId="77777777" w:rsidR="00501368" w:rsidRDefault="00000000">
    <w:pPr>
      <w:pBdr>
        <w:bottom w:val="single" w:sz="6" w:space="4" w:color="0E6E6E"/>
      </w:pBdr>
      <w:jc w:val="center"/>
      <w:rPr>
        <w:rFonts w:cs="Arial"/>
      </w:rPr>
    </w:pPr>
    <w:r>
      <w:rPr>
        <w:color w:val="0E6E6E"/>
        <w:sz w:val="18"/>
        <w:szCs w:val="18"/>
      </w:rPr>
      <w:t>علم النفس الاستخلافي — النموذج الاستخلافي: تسعة عشر مكوّنًا</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544E2"/>
    <w:multiLevelType w:val="hybridMultilevel"/>
    <w:tmpl w:val="FFFFFFFF"/>
    <w:lvl w:ilvl="0" w:tplc="B59C9BC0">
      <w:start w:val="1"/>
      <w:numFmt w:val="bullet"/>
      <w:lvlText w:val="●"/>
      <w:lvlJc w:val="left"/>
      <w:pPr>
        <w:ind w:left="720" w:hanging="360"/>
      </w:pPr>
    </w:lvl>
    <w:lvl w:ilvl="1" w:tplc="AAD8CEDE">
      <w:start w:val="1"/>
      <w:numFmt w:val="bullet"/>
      <w:lvlText w:val="○"/>
      <w:lvlJc w:val="left"/>
      <w:pPr>
        <w:ind w:left="1440" w:hanging="360"/>
      </w:pPr>
    </w:lvl>
    <w:lvl w:ilvl="2" w:tplc="AEE4FFF6">
      <w:start w:val="1"/>
      <w:numFmt w:val="bullet"/>
      <w:lvlText w:val="■"/>
      <w:lvlJc w:val="left"/>
      <w:pPr>
        <w:ind w:left="2160" w:hanging="360"/>
      </w:pPr>
    </w:lvl>
    <w:lvl w:ilvl="3" w:tplc="20745A94">
      <w:start w:val="1"/>
      <w:numFmt w:val="bullet"/>
      <w:lvlText w:val="●"/>
      <w:lvlJc w:val="left"/>
      <w:pPr>
        <w:ind w:left="2880" w:hanging="360"/>
      </w:pPr>
    </w:lvl>
    <w:lvl w:ilvl="4" w:tplc="6B3EBB22">
      <w:start w:val="1"/>
      <w:numFmt w:val="bullet"/>
      <w:lvlText w:val="○"/>
      <w:lvlJc w:val="left"/>
      <w:pPr>
        <w:ind w:left="3600" w:hanging="360"/>
      </w:pPr>
    </w:lvl>
    <w:lvl w:ilvl="5" w:tplc="772E8DE6">
      <w:start w:val="1"/>
      <w:numFmt w:val="bullet"/>
      <w:lvlText w:val="■"/>
      <w:lvlJc w:val="left"/>
      <w:pPr>
        <w:ind w:left="4320" w:hanging="360"/>
      </w:pPr>
    </w:lvl>
    <w:lvl w:ilvl="6" w:tplc="14706270">
      <w:start w:val="1"/>
      <w:numFmt w:val="bullet"/>
      <w:lvlText w:val="●"/>
      <w:lvlJc w:val="left"/>
      <w:pPr>
        <w:ind w:left="5040" w:hanging="360"/>
      </w:pPr>
    </w:lvl>
    <w:lvl w:ilvl="7" w:tplc="E126164A">
      <w:start w:val="1"/>
      <w:numFmt w:val="bullet"/>
      <w:lvlText w:val="●"/>
      <w:lvlJc w:val="left"/>
      <w:pPr>
        <w:ind w:left="5760" w:hanging="360"/>
      </w:pPr>
    </w:lvl>
    <w:lvl w:ilvl="8" w:tplc="9920CF20">
      <w:start w:val="1"/>
      <w:numFmt w:val="bullet"/>
      <w:lvlText w:val="●"/>
      <w:lvlJc w:val="left"/>
      <w:pPr>
        <w:ind w:left="6480" w:hanging="360"/>
      </w:pPr>
    </w:lvl>
  </w:abstractNum>
  <w:num w:numId="1" w16cid:durableId="9301647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8"/>
    <w:rsid w:val="002F1C10"/>
    <w:rsid w:val="00501368"/>
    <w:rsid w:val="00585182"/>
    <w:rsid w:val="00A4481B"/>
    <w:rsid w:val="00D725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1FB9CC0"/>
  <w15:docId w15:val="{A9017745-1957-2844-87AE-2FD25C0A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6"/>
        <w:szCs w:val="26"/>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rPr>
  </w:style>
  <w:style w:type="paragraph" w:styleId="3">
    <w:name w:val="heading 3"/>
    <w:uiPriority w:val="9"/>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4049</Words>
  <Characters>23082</Characters>
  <Application>Microsoft Office Word</Application>
  <DocSecurity>0</DocSecurity>
  <Lines>192</Lines>
  <Paragraphs>54</Paragraphs>
  <ScaleCrop>false</ScaleCrop>
  <Company/>
  <LinksUpToDate>false</LinksUpToDate>
  <CharactersWithSpaces>27077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النموذج الاستخلافي: تسعة عشر مكوّنًا</dc:title>
  <dc:creator>Abd al-Salam al-Zarraa</dc:creator>
  <cp:lastModifiedBy>zaraaabdesslem@gmail.com</cp:lastModifiedBy>
  <cp:revision>3</cp:revision>
  <dcterms:created xsi:type="dcterms:W3CDTF">2026-07-30T22:54:00Z</dcterms:created>
  <dcterms:modified xsi:type="dcterms:W3CDTF">2026-07-31T06:15:00Z</dcterms:modified>
</cp:coreProperties>
</file>