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600"/>
        <w:jc w:val="center"/>
      </w:pPr>
      <w:r>
        <w:rPr>
          <w:b/>
          <w:bCs/>
          <w:color w:val="1B2A4A"/>
          <w:sz w:val="40"/>
          <w:szCs w:val="40"/>
        </w:rPr>
        <w:t xml:space="preserve">Man Between Algorithm and Revelation</w:t>
      </w:r>
    </w:p>
    <w:p>
      <w:pPr>
        <w:spacing w:after="100"/>
        <w:jc w:val="center"/>
      </w:pPr>
      <w:r>
        <w:rPr>
          <w:i/>
          <w:iCs/>
          <w:color w:val="2F5D62"/>
          <w:sz w:val="24"/>
          <w:szCs w:val="24"/>
        </w:rPr>
        <w:t xml:space="preserve">An In-Depth Istikhlafi (Vicegerency) Reading on the Impossibility of the Algorithmic System's Self-Deconstruction,</w:t>
      </w:r>
    </w:p>
    <w:p>
      <w:pPr>
        <w:spacing w:after="300"/>
        <w:jc w:val="center"/>
      </w:pPr>
      <w:r>
        <w:rPr>
          <w:i/>
          <w:iCs/>
          <w:color w:val="2F5D62"/>
          <w:sz w:val="24"/>
          <w:szCs w:val="24"/>
        </w:rPr>
        <w:t xml:space="preserve">and Its Dialogue with the Achievement Society, Surveillance Capitalism, and the Lacanian Big Other</w:t>
      </w:r>
    </w:p>
    <w:p>
      <w:pPr>
        <w:spacing w:after="400"/>
        <w:jc w:val="center"/>
      </w:pPr>
      <w:r>
        <w:rPr>
          <w:b/>
          <w:bCs/>
          <w:color w:val="1B2A4A"/>
          <w:sz w:val="24"/>
          <w:szCs w:val="24"/>
        </w:rPr>
        <w:t xml:space="preserve">A Comparative Study within the Project of Istikhlafi (Vicegerency) Psychology</w:t>
      </w:r>
    </w:p>
    <w:p>
      <w:pPr>
        <w:spacing w:after="80"/>
        <w:jc w:val="center"/>
      </w:pPr>
      <w:r>
        <w:rPr>
          <w:b/>
          <w:bCs/>
          <w:sz w:val="24"/>
          <w:szCs w:val="24"/>
        </w:rPr>
        <w:t xml:space="preserve">Prepared by: Abd al-Salam al-Zaraa</w:t>
      </w:r>
    </w:p>
    <w:p>
      <w:pPr>
        <w:spacing w:after="80"/>
        <w:jc w:val="center"/>
      </w:pPr>
      <w:r>
        <w:rPr>
          <w:i/>
          <w:iCs/>
          <w:color w:val="2F5D62"/>
          <w:sz w:val="22"/>
          <w:szCs w:val="22"/>
        </w:rPr>
        <w:t xml:space="preserve">zaraapsychology.com</w:t>
      </w:r>
    </w:p>
    <w:p>
      <w:pPr>
        <w:spacing w:after="600"/>
        <w:jc w:val="center"/>
      </w:pPr>
      <w:r>
        <w:rPr>
          <w:sz w:val="22"/>
          <w:szCs w:val="22"/>
        </w:rPr>
        <w:t xml:space="preserve">1447 AH / 2026 CE</w:t>
      </w:r>
    </w:p>
    <w:p>
      <w:r>
        <w:br w:type="page"/>
      </w:r>
    </w:p>
    <w:p>
      <w:pPr>
        <w:pStyle w:val="Heading1"/>
        <w:pBdr>
          <w:bottom w:val="single" w:color="9A7B2E" w:sz="6" w:space="4"/>
        </w:pBdr>
        <w:spacing w:after="200" w:before="400"/>
      </w:pPr>
      <w:r>
        <w:rPr>
          <w:b/>
          <w:bCs/>
          <w:color w:val="1B2A4A"/>
          <w:sz w:val="30"/>
          <w:szCs w:val="30"/>
        </w:rPr>
        <w:t xml:space="preserve">Table of Contents</w:t>
      </w:r>
    </w:p>
    <w:p>
      <w:pPr>
        <w:pStyle w:val="Heading1"/>
        <w:pBdr>
          <w:bottom w:val="single" w:color="9A7B2E" w:sz="6" w:space="4"/>
        </w:pBdr>
        <w:spacing w:after="200" w:before="400"/>
      </w:pPr>
      <w:r>
        <w:rPr>
          <w:b/>
          <w:bCs/>
          <w:color w:val="1B2A4A"/>
          <w:sz w:val="30"/>
          <w:szCs w:val="30"/>
        </w:rPr>
        <w:t xml:space="preserve">Methodological Introduction</w:t>
      </w:r>
    </w:p>
    <w:p>
      <w:pPr>
        <w:spacing w:after="200" w:line="300"/>
        <w:jc w:val="both"/>
      </w:pPr>
      <w:r>
        <w:rPr>
          <w:sz w:val="22"/>
          <w:szCs w:val="22"/>
        </w:rPr>
        <w:t xml:space="preserve">This study undertakes an in-depth critical interrogation of one of the theses of Istikhlafi (Vicegerency) Psychology — namely, the impossibility of artificial intelligence deconstructing itself from within its own system, set against the human being, who possesses a transcendent frame of reference enabling emancipation from algorithmic mechanism. The aim of this study is not to summarize that thesis, but to interrogate it from three angles it did not explicitly engage: an epistemological angle (the relation of the argument to Gödel's two incompleteness theorems), a socio-critical angle (its intersection with the concept of the “achievement society” in the work of the German-Korean philosopher Byung-Chul Han, and with Shoshana Zuboff’s “surveillance capitalism”), and a psychoanalytic angle (a reading of the “hidden architecture of consciousness” as the algorithm’s substitution for the big Other of Lacanian psychoanalysis).</w:t>
      </w:r>
    </w:p>
    <w:p>
      <w:pPr>
        <w:spacing w:after="200" w:line="300"/>
        <w:jc w:val="both"/>
      </w:pPr>
      <w:r>
        <w:rPr>
          <w:sz w:val="22"/>
          <w:szCs w:val="22"/>
        </w:rPr>
        <w:t xml:space="preserve">The study proceeds from the methodological premise that the strength of the Istikhlafi framework lies not in its self-sufficiency within its own vocabulary, but in its capacity to absorb the deepest insights produced by contemporary Western critical philosophy and to transcend them from the standpoint of a transcendent frame of reference. Every comparison drawn here is therefore not a mere illustrative juxtaposition, but an attempt to show that what Western critical philosophy describes as a crisis without exit finds, in Istikhlaf (Vicegerency), both an explanation of its deep causes and a practical way out.</w:t>
      </w:r>
    </w:p>
    <w:tbl>
      <w:tblPr>
        <w:tblW w:type="dxa" w:w="9350"/>
        <w:tblBorders>
          <w:top w:val="single" w:color="9A7B2E" w:sz="8"/>
          <w:left w:val="single" w:color="9A7B2E" w:sz="8"/>
          <w:bottom w:val="single" w:color="9A7B2E" w:sz="8"/>
          <w:right w:val="single" w:color="9A7B2E" w:sz="8"/>
          <w:insideH w:val="single" w:color="auto" w:sz="4"/>
          <w:insideV w:val="single" w:color="auto" w:sz="4"/>
        </w:tblBorders>
      </w:tblPr>
      <w:tblGrid>
        <w:gridCol w:w="9350"/>
      </w:tblGrid>
      <w:tr>
        <w:tc>
          <w:tcPr>
            <w:tcW w:type="dxa" w:w="9350"/>
            <w:shd w:fill="F7F2E7" w:val="clear"/>
            <w:tcMar>
              <w:top w:type="dxa" w:w="200"/>
              <w:left w:type="dxa" w:w="300"/>
              <w:bottom w:type="dxa" w:w="200"/>
              <w:right w:type="dxa" w:w="300"/>
            </w:tcMar>
          </w:tcPr>
          <w:p>
            <w:pPr>
              <w:spacing w:after="80"/>
              <w:jc w:val="center"/>
            </w:pPr>
            <w:r>
              <w:rPr>
                <w:b/>
                <w:bCs/>
                <w:i/>
                <w:iCs/>
                <w:color w:val="1B2A4A"/>
                <w:sz w:val="24"/>
                <w:szCs w:val="24"/>
              </w:rPr>
              <w:t xml:space="preserve">“Indeed, I will make upon the earth a vicegerent (khalīfah).”</w:t>
            </w:r>
          </w:p>
          <w:p>
            <w:pPr>
              <w:jc w:val="center"/>
            </w:pPr>
            <w:r>
              <w:rPr>
                <w:i/>
                <w:iCs/>
                <w:color w:val="2F5D62"/>
                <w:sz w:val="20"/>
                <w:szCs w:val="20"/>
              </w:rPr>
              <w:t xml:space="preserve">Sūrat al-Baqarah, verse 30</w:t>
            </w:r>
          </w:p>
        </w:tc>
      </w:tr>
    </w:tbl>
    <w:p>
      <w:pPr>
        <w:pStyle w:val="Heading1"/>
        <w:pBdr>
          <w:bottom w:val="single" w:color="9A7B2E" w:sz="6" w:space="4"/>
        </w:pBdr>
        <w:spacing w:after="200" w:before="400"/>
      </w:pPr>
      <w:r>
        <w:rPr>
          <w:b/>
          <w:bCs/>
          <w:color w:val="1B2A4A"/>
          <w:sz w:val="30"/>
          <w:szCs w:val="30"/>
        </w:rPr>
        <w:t xml:space="preserve">First: The Primordial Poverty (al-Faqah al-Aṣliyyah) Between Gödel’s Two Theorems and Vicegerency</w:t>
      </w:r>
    </w:p>
    <w:p>
      <w:pPr>
        <w:spacing w:after="200" w:line="300"/>
        <w:jc w:val="both"/>
      </w:pPr>
      <w:r>
        <w:rPr>
          <w:sz w:val="22"/>
          <w:szCs w:val="22"/>
        </w:rPr>
        <w:t xml:space="preserve">The central argument advanced here holds that the algorithm “possesses no outside” from which to view itself, and that code cannot turn back upon its own code to reformulate its origin without an external command. Although this argument is presented in descriptive language, it in fact reformulates, with precision, an epistemological problem already established by the mathematician Kurt Gödel in 1931 in his two incompleteness theorems: every formal system that is both consistent and capable of expressing elementary arithmetic necessarily contains true propositions that cannot be proven from within it, nor can such a system prove its own consistency by its own means.</w:t>
      </w:r>
    </w:p>
    <w:p>
      <w:pPr>
        <w:pStyle w:val="Heading2"/>
        <w:spacing w:after="140" w:before="260"/>
      </w:pPr>
      <w:r>
        <w:rPr>
          <w:b/>
          <w:bCs/>
          <w:color w:val="2F5D62"/>
          <w:sz w:val="26"/>
          <w:szCs w:val="26"/>
        </w:rPr>
        <w:t xml:space="preserve">From Mathematical Incapacity to Existential Poverty</w:t>
      </w:r>
    </w:p>
    <w:p>
      <w:pPr>
        <w:spacing w:after="200" w:line="300"/>
        <w:jc w:val="both"/>
      </w:pPr>
      <w:r>
        <w:rPr>
          <w:sz w:val="22"/>
          <w:szCs w:val="22"/>
        </w:rPr>
        <w:t xml:space="preserve">The essential difference that Istikhlafi Psychology adds here is not technical but existential: Gödel describes a silent, structural incapacity, whereas Istikhlaf transforms this incapacity into an active, positive awareness — “the primordial poverty (al-faqah al-aṣliyyah)” — the entity’s realization that it derives its existence rather than being its source, and that its presumed epistemic completeness is a programmed illusion. The algorithm does not “know” that it is deficient; it operates within its limits without any internal tension. The Istikhlafi human being, by contrast, is defined precisely by this constitutive tension — the sense of incapacity before the Absolute — which is itself the point of departure toward purification (tazkiyah). In other words, deficiency in the machine is a closed ending, while deficiency in the human being is an open beginning; and this is precisely what gives “awareness of Faqah” its value as the first step of deconstruction within the Istikhlafi framework.</w:t>
      </w:r>
    </w:p>
    <w:p>
      <w:pPr>
        <w:spacing w:after="200" w:line="300"/>
        <w:jc w:val="both"/>
      </w:pPr>
      <w:r>
        <w:rPr>
          <w:sz w:val="22"/>
          <w:szCs w:val="22"/>
        </w:rPr>
        <w:t xml:space="preserve">For this reason, any attempt to simulate “awareness of deficiency” within a purely artificial system will remain a merely formal simulation: an algorithm can be programmed to produce statements expressing doubt or epistemic humility, but this does not achieve Faqah in the Istikhlafi sense, because Faqah presupposes the existence of a self that suffers from its own deficiency and yearns for what transcends it — something that symbolic processing, however sophisticated, does not possess.</w:t>
      </w:r>
    </w:p>
    <w:tbl>
      <w:tblPr>
        <w:tblW w:type="dxa" w:w="9350"/>
        <w:tblBorders>
          <w:top w:val="single" w:color="9A7B2E" w:sz="8"/>
          <w:left w:val="single" w:color="9A7B2E" w:sz="8"/>
          <w:bottom w:val="single" w:color="9A7B2E" w:sz="8"/>
          <w:right w:val="single" w:color="9A7B2E" w:sz="8"/>
          <w:insideH w:val="single" w:color="auto" w:sz="4"/>
          <w:insideV w:val="single" w:color="auto" w:sz="4"/>
        </w:tblBorders>
      </w:tblPr>
      <w:tblGrid>
        <w:gridCol w:w="9350"/>
      </w:tblGrid>
      <w:tr>
        <w:tc>
          <w:tcPr>
            <w:tcW w:type="dxa" w:w="9350"/>
            <w:shd w:fill="F7F2E7" w:val="clear"/>
            <w:tcMar>
              <w:top w:type="dxa" w:w="200"/>
              <w:left w:type="dxa" w:w="300"/>
              <w:bottom w:type="dxa" w:w="200"/>
              <w:right w:type="dxa" w:w="300"/>
            </w:tcMar>
          </w:tcPr>
          <w:p>
            <w:pPr>
              <w:spacing w:after="80"/>
              <w:jc w:val="center"/>
            </w:pPr>
            <w:r>
              <w:rPr>
                <w:b/>
                <w:bCs/>
                <w:i/>
                <w:iCs/>
                <w:color w:val="1B2A4A"/>
                <w:sz w:val="24"/>
                <w:szCs w:val="24"/>
              </w:rPr>
              <w:t xml:space="preserve">“By the soul and He who proportioned it, and inspired it [with discernment of] its wickedness and its righteousness.”</w:t>
            </w:r>
          </w:p>
          <w:p>
            <w:pPr>
              <w:jc w:val="center"/>
            </w:pPr>
            <w:r>
              <w:rPr>
                <w:i/>
                <w:iCs/>
                <w:color w:val="2F5D62"/>
                <w:sz w:val="20"/>
                <w:szCs w:val="20"/>
              </w:rPr>
              <w:t xml:space="preserve">Sūrat al-Shams, verses 7–8</w:t>
            </w:r>
          </w:p>
        </w:tc>
      </w:tr>
    </w:tbl>
    <w:p>
      <w:pPr>
        <w:pStyle w:val="Heading1"/>
        <w:pBdr>
          <w:bottom w:val="single" w:color="9A7B2E" w:sz="6" w:space="4"/>
        </w:pBdr>
        <w:spacing w:after="200" w:before="400"/>
      </w:pPr>
      <w:r>
        <w:rPr>
          <w:b/>
          <w:bCs/>
          <w:color w:val="1B2A4A"/>
          <w:sz w:val="30"/>
          <w:szCs w:val="30"/>
        </w:rPr>
        <w:t xml:space="preserve">Second: From Istikhlafi Moral Schizophrenia to Byung-Chul Han’s Achievement Society</w:t>
      </w:r>
    </w:p>
    <w:p>
      <w:pPr>
        <w:spacing w:after="200" w:line="300"/>
        <w:jc w:val="both"/>
      </w:pPr>
      <w:r>
        <w:rPr>
          <w:sz w:val="22"/>
          <w:szCs w:val="22"/>
        </w:rPr>
        <w:t xml:space="preserve">[The thesis holds] that artificial intelligence operates according to the principle of “probability and greatest utility,” and that its deconstruction requires confronting it with an absolute moral choice that yields no digital benefit whatsoever. This characterization requires completion at the socio-psychological level: the deeper danger lies not in the machine being governed by a logic of utility, but in the fact that the contemporary human being voluntarily reshapes himself according to this very same logic, without feeling any external coercion.</w:t>
      </w:r>
    </w:p>
    <w:p>
      <w:pPr>
        <w:pStyle w:val="Heading2"/>
        <w:spacing w:after="140" w:before="260"/>
      </w:pPr>
      <w:r>
        <w:rPr>
          <w:b/>
          <w:bCs/>
          <w:color w:val="2F5D62"/>
          <w:sz w:val="26"/>
          <w:szCs w:val="26"/>
        </w:rPr>
        <w:t xml:space="preserve">Self-Exploitation in Place of External Coercion</w:t>
      </w:r>
    </w:p>
    <w:p>
      <w:pPr>
        <w:spacing w:after="200" w:line="300"/>
        <w:jc w:val="both"/>
      </w:pPr>
      <w:r>
        <w:rPr>
          <w:sz w:val="22"/>
          <w:szCs w:val="22"/>
        </w:rPr>
        <w:t xml:space="preserve">In his book on “the burnout/achievement society,” the philosopher Byung-Chul Han argues that contemporary societies have moved beyond the model of coercive discipline described by Foucault, entering a new model in which the individual exploits himself in the name of freedom and achievement, thereby becoming, at once, his own executioner and his own victim. This description lends the Istikhlafi concept of “moral schizophrenia” a dangerous new dimension: the human being is not enslaved to the algorithm through a visible coercion that can be resisted, but through a false inner sense of liberation and competence — which makes resisting it far harder than resisting an openly declared tyranny.</w:t>
      </w:r>
    </w:p>
    <w:p>
      <w:pPr>
        <w:pStyle w:val="Heading2"/>
        <w:spacing w:after="140" w:before="260"/>
      </w:pPr>
      <w:r>
        <w:rPr>
          <w:b/>
          <w:bCs/>
          <w:color w:val="2F5D62"/>
          <w:sz w:val="26"/>
          <w:szCs w:val="26"/>
        </w:rPr>
        <w:t xml:space="preserve">Rereading “Material Abundance and Spiritual Poverty”</w:t>
      </w:r>
    </w:p>
    <w:p>
      <w:pPr>
        <w:spacing w:after="200" w:line="300"/>
        <w:jc w:val="both"/>
      </w:pPr>
      <w:r>
        <w:rPr>
          <w:sz w:val="22"/>
          <w:szCs w:val="22"/>
        </w:rPr>
        <w:t xml:space="preserve">This intersection also deepens the thesis’s third point, concerning the “trap of material abundance and spiritual poverty”: the technological promise of comfort and liberation from humanity’s historical suffering, read through Han’s lens, reveals itself to be not a liberation from labor but its extension into every moment of life — including moments of rest, relationship, and love themselves — which are transformed into fields of performance and measurement. This explains why contemporary relationships have been described as “input-output operations”: because the logic of achievement that Han uncovers no longer distinguishes between the field of labor and the field of human relationship.</w:t>
      </w:r>
    </w:p>
    <w:p>
      <w:pPr>
        <w:spacing w:after="200" w:line="300"/>
        <w:jc w:val="both"/>
      </w:pPr>
      <w:r>
        <w:rPr>
          <w:sz w:val="22"/>
          <w:szCs w:val="22"/>
        </w:rPr>
        <w:t xml:space="preserve">Yet Istikhlaf offers here what Han does not: whereas Han’s analysis ends in a near-nihilistic diagnosis with no clear horizon of transcendence, the Istikhlafi framework proposes the transcendent frame of reference (Revelation) as an actual line of exit from the cycle of self-exploitation — through redefining the human being’s worth as a vicegerent (mustakhlaf) rather than a producer, and as an end in himself rather than a means for measuring performance.</w:t>
      </w:r>
    </w:p>
    <w:p>
      <w:pPr>
        <w:pStyle w:val="Heading1"/>
        <w:pBdr>
          <w:bottom w:val="single" w:color="9A7B2E" w:sz="6" w:space="4"/>
        </w:pBdr>
        <w:spacing w:after="200" w:before="400"/>
      </w:pPr>
      <w:r>
        <w:rPr>
          <w:b/>
          <w:bCs/>
          <w:color w:val="1B2A4A"/>
          <w:sz w:val="30"/>
          <w:szCs w:val="30"/>
        </w:rPr>
        <w:t xml:space="preserve">Third: The Algorithmic Big Other — A Lacanian Reading of the Hidden Architecture of Consciousness</w:t>
      </w:r>
    </w:p>
    <w:p>
      <w:pPr>
        <w:spacing w:after="200" w:line="300"/>
        <w:jc w:val="both"/>
      </w:pPr>
      <w:r>
        <w:rPr>
          <w:sz w:val="22"/>
          <w:szCs w:val="22"/>
        </w:rPr>
        <w:t xml:space="preserve">[The thesis describes] how “the algorithm determines for the individual whom to love, by whom to be influenced, and what a successful marital or social life looks like,” terming this a “hidden architecture of consciousness.” When read through the tools of Lacanian psychoanalysis, this description reveals a more precise mechanism: the algorithm does not merely influence the individual from without, but occupies the symbolic position Lacan calls the “big Other” — the absent symbolic authority from which the standards of desire, meaning, and language itself are derived, a position traditionally occupied by the family, religion, community, and sacred law.</w:t>
      </w:r>
    </w:p>
    <w:p>
      <w:pPr>
        <w:pStyle w:val="Heading2"/>
        <w:spacing w:after="140" w:before="260"/>
      </w:pPr>
      <w:r>
        <w:rPr>
          <w:b/>
          <w:bCs/>
          <w:color w:val="2F5D62"/>
          <w:sz w:val="26"/>
          <w:szCs w:val="26"/>
        </w:rPr>
        <w:t xml:space="preserve">Closing the Symbolic Gap</w:t>
      </w:r>
    </w:p>
    <w:p>
      <w:pPr>
        <w:spacing w:after="200" w:line="300"/>
        <w:jc w:val="both"/>
      </w:pPr>
      <w:r>
        <w:rPr>
          <w:sz w:val="22"/>
          <w:szCs w:val="22"/>
        </w:rPr>
        <w:t xml:space="preserve">The decisive difference between the traditional big Other — foremost among which, within the Istikhlafi framework, stands Revelation — and the algorithmic big Other lies in the fate of the “gap” (manque) between them and the subject. The traditional symbolic big Other always preserves a gap or lack that leaves the subject space for questioning, choice, and moral accountability; Revelation commands and forbids, yet it does not abolish the freedom of will by which the human being is held accountable. The algorithmic big Other, by contrast, works through “personalization” to close this gap entirely: it presents the individual with what appears to be a choice arising from his own authentic desire, while it is in reality a pre-calculated reflection of his behavior, which he in turn feeds back into the system. In this sense, the algorithm does not abolish desire but confiscates the very condition of its possibility: the critical distance between the subject and his desire.</w:t>
      </w:r>
    </w:p>
    <w:p>
      <w:pPr>
        <w:spacing w:after="200" w:line="300"/>
        <w:jc w:val="both"/>
      </w:pPr>
      <w:r>
        <w:rPr>
          <w:sz w:val="22"/>
          <w:szCs w:val="22"/>
        </w:rPr>
        <w:t xml:space="preserve">This offers a deeper explanation of why this transformation amounts to “the abolition of human free will” and turns the individual into a “duplicated copy”: when the symbolic source of desire closes in upon itself with no transcendent gap remaining, every desire becomes a mere reproduction of what has already been programmed — precisely what has been described as the “vicious cycle of emotional and material consumption.”</w:t>
      </w:r>
    </w:p>
    <w:p>
      <w:pPr>
        <w:pStyle w:val="Heading2"/>
        <w:spacing w:after="140" w:before="260"/>
      </w:pPr>
      <w:r>
        <w:rPr>
          <w:b/>
          <w:bCs/>
          <w:color w:val="2F5D62"/>
          <w:sz w:val="26"/>
          <w:szCs w:val="26"/>
        </w:rPr>
        <w:t xml:space="preserve">Revelation’s Position as a Liberating Gap, Not an Additional Constraint</w:t>
      </w:r>
    </w:p>
    <w:p>
      <w:pPr>
        <w:spacing w:after="200" w:line="300"/>
        <w:jc w:val="both"/>
      </w:pPr>
      <w:r>
        <w:rPr>
          <w:sz w:val="22"/>
          <w:szCs w:val="22"/>
        </w:rPr>
        <w:t xml:space="preserve">From this it becomes clear that the function of Revelation within the Istikhlafi framework is not that of a rival authority competing with the algorithm for the position of the big Other, but rather that which reopens the symbolic gap closed by digital architecture: Revelation, unlike the algorithm, does not know the individual through data on his past behavior in order to reproduce it for him; rather, it addresses him from a position transcending his entire personal history — which is precisely what opens up the possibility of repentance and radical transformation, a possibility that systems built on behavioral prediction lack by their very definition.</w:t>
      </w:r>
    </w:p>
    <w:p>
      <w:pPr>
        <w:pStyle w:val="Heading1"/>
        <w:pBdr>
          <w:bottom w:val="single" w:color="9A7B2E" w:sz="6" w:space="4"/>
        </w:pBdr>
        <w:spacing w:after="200" w:before="400"/>
      </w:pPr>
      <w:r>
        <w:rPr>
          <w:b/>
          <w:bCs/>
          <w:color w:val="1B2A4A"/>
          <w:sz w:val="30"/>
          <w:szCs w:val="30"/>
        </w:rPr>
        <w:t xml:space="preserve">Fourth: A Methodological Critique — Toward an Operational Criterion for the “Absolute Moral Decision”</w:t>
      </w:r>
    </w:p>
    <w:p>
      <w:pPr>
        <w:spacing w:after="200" w:line="300"/>
        <w:jc w:val="both"/>
      </w:pPr>
      <w:r>
        <w:rPr>
          <w:sz w:val="22"/>
          <w:szCs w:val="22"/>
        </w:rPr>
        <w:t xml:space="preserve">[The thesis holds] that the deconstruction of the algorithmic structure occurs “when the system is confronted with an absolute moral choice that yields no digital benefit whatsoever.” This idea is rhetorically and philosophically powerful, yet it lacks — from a rigorously critical standpoint — an operational criterion capable of distinguishing a “truly absolute” moral decision from one that merely appears so on the surface while in fact being calculated for a distant or hidden benefit.</w:t>
      </w:r>
    </w:p>
    <w:p>
      <w:pPr>
        <w:spacing w:after="200" w:line="300"/>
        <w:jc w:val="both"/>
      </w:pPr>
      <w:r>
        <w:rPr>
          <w:sz w:val="22"/>
          <w:szCs w:val="22"/>
        </w:rPr>
        <w:t xml:space="preserve">An apparent sacrifice may, at a deeper level, constitute a symbolic investment (a claim to status, self-salvation, or even a sense of moral superiority), which renders the boundary between “material non-benefit” and “hidden symbolic benefit” ambiguous in the argument’s current formulation. To close this gap, this critique proposes three preliminary operational conditions for testing the “absoluteness” of a moral decision, for any future development of the clinical TLRT protocol:</w:t>
      </w:r>
    </w:p>
    <w:p>
      <w:pPr>
        <w:pStyle w:val="ListParagraph"/>
        <w:numPr>
          <w:ilvl w:val="0"/>
          <w:numId w:val="2"/>
        </w:numPr>
        <w:spacing w:after="120" w:line="300"/>
      </w:pPr>
      <w:r>
        <w:rPr>
          <w:sz w:val="22"/>
          <w:szCs w:val="22"/>
        </w:rPr>
        <w:t xml:space="preserve">The condition of unwitnessed persistence: Does the individual persist in the same decision when certain that no one will ever know of it or judge him for it?</w:t>
      </w:r>
    </w:p>
    <w:p>
      <w:pPr>
        <w:pStyle w:val="ListParagraph"/>
        <w:numPr>
          <w:ilvl w:val="0"/>
          <w:numId w:val="2"/>
        </w:numPr>
        <w:spacing w:after="120" w:line="300"/>
      </w:pPr>
      <w:r>
        <w:rPr>
          <w:sz w:val="22"/>
          <w:szCs w:val="22"/>
        </w:rPr>
        <w:t xml:space="preserve">The condition of disproportion: Does the cost of the decision to the individual exceed any conceivable symbolic return, in a way that breaks the very logic of exchange?</w:t>
      </w:r>
    </w:p>
    <w:p>
      <w:pPr>
        <w:pStyle w:val="ListParagraph"/>
        <w:numPr>
          <w:ilvl w:val="0"/>
          <w:numId w:val="2"/>
        </w:numPr>
        <w:spacing w:after="120" w:line="300"/>
      </w:pPr>
      <w:r>
        <w:rPr>
          <w:sz w:val="22"/>
          <w:szCs w:val="22"/>
        </w:rPr>
        <w:t xml:space="preserve">The condition of retrospective constancy: Does the individual, after time has passed and his circumstances have changed, still affirm the rightness of the decision from the standpoint of its value rather than from the standpoint of its outcomes?</w:t>
      </w:r>
    </w:p>
    <w:p>
      <w:pPr>
        <w:spacing w:after="200" w:line="300"/>
        <w:jc w:val="both"/>
      </w:pPr>
      <w:r>
        <w:rPr>
          <w:sz w:val="22"/>
          <w:szCs w:val="22"/>
        </w:rPr>
        <w:t xml:space="preserve">Providing a criterion of this kind does not weaken the original argument but fortifies it: it transforms the argument from a general philosophical description into a diagnostic tool available for clinical application within the Behavioral Bridge, serving the project’s stated goal of moving from theorization to therapeutic practice.</w:t>
      </w:r>
    </w:p>
    <w:p>
      <w:pPr>
        <w:pStyle w:val="Heading1"/>
        <w:pBdr>
          <w:bottom w:val="single" w:color="9A7B2E" w:sz="6" w:space="4"/>
        </w:pBdr>
        <w:spacing w:after="200" w:before="400"/>
      </w:pPr>
      <w:r>
        <w:rPr>
          <w:b/>
          <w:bCs/>
          <w:color w:val="1B2A4A"/>
          <w:sz w:val="30"/>
          <w:szCs w:val="30"/>
        </w:rPr>
        <w:t xml:space="preserve">Conclusion: Toward a Behavioral Bridge for Restoring the Transcendent Frame of Reference</w:t>
      </w:r>
    </w:p>
    <w:p>
      <w:pPr>
        <w:spacing w:after="200" w:line="300"/>
        <w:jc w:val="both"/>
      </w:pPr>
      <w:r>
        <w:rPr>
          <w:sz w:val="22"/>
          <w:szCs w:val="22"/>
        </w:rPr>
        <w:t xml:space="preserve">This comparative reading reveals that what Istikhlafi Psychology described in purely Istikhlafi language finds a profound resonance in the most formidable diagnoses of contemporary Western critical philosophy: Gödel’s structural incapacity, Han’s self-exploitation, and Lacan’s symbolic closure are all facets of a single phenomenon — the blocking of the transcendent horizon before the contemporary subject. Where these Western diagnoses stop at describing the crisis, or at best at a partial and merely formal resistance, Istikhlafi Psychology offers a horizon that moves beyond description to treatment: reopening the symbolic gap through Revelation, activating awareness of primordial Faqah, and building a practical criterion for moral action that cannot be reduced to a logic of utility.</w:t>
      </w:r>
    </w:p>
    <w:p>
      <w:pPr>
        <w:spacing w:after="200" w:line="300"/>
        <w:jc w:val="both"/>
      </w:pPr>
      <w:r>
        <w:rPr>
          <w:sz w:val="22"/>
          <w:szCs w:val="22"/>
        </w:rPr>
        <w:t xml:space="preserve">Everyday relationships, as this study concludes, are not healed of their mechanistic character by mere withdrawal from technology, but by restoring the human being’s Istikhlafi function as a being addressed from above his own history — not merely from within his data alone.</w:t>
      </w:r>
    </w:p>
    <w:p>
      <w:pPr>
        <w:pStyle w:val="Heading1"/>
        <w:pBdr>
          <w:bottom w:val="single" w:color="9A7B2E" w:sz="6" w:space="4"/>
        </w:pBdr>
        <w:spacing w:after="200" w:before="400"/>
      </w:pPr>
      <w:r>
        <w:rPr>
          <w:b/>
          <w:bCs/>
          <w:color w:val="1B2A4A"/>
          <w:sz w:val="30"/>
          <w:szCs w:val="30"/>
        </w:rPr>
        <w:t xml:space="preserve">References</w:t>
      </w:r>
    </w:p>
    <w:p>
      <w:pPr>
        <w:pStyle w:val="ListParagraph"/>
        <w:numPr>
          <w:ilvl w:val="0"/>
          <w:numId w:val="3"/>
        </w:numPr>
        <w:spacing w:after="100"/>
      </w:pPr>
      <w:r>
        <w:rPr>
          <w:sz w:val="21"/>
          <w:szCs w:val="21"/>
        </w:rPr>
        <w:t xml:space="preserve">al-Zarā‘, ‘Abd al-Salām. Man Between Algorithm and Revelation. Istikhlafi Psychology, zaraapsychology.com.</w:t>
      </w:r>
    </w:p>
    <w:p>
      <w:pPr>
        <w:pStyle w:val="ListParagraph"/>
        <w:numPr>
          <w:ilvl w:val="0"/>
          <w:numId w:val="3"/>
        </w:numPr>
        <w:spacing w:after="100"/>
      </w:pPr>
      <w:r>
        <w:rPr>
          <w:sz w:val="21"/>
          <w:szCs w:val="21"/>
        </w:rPr>
        <w:t xml:space="preserve">Gödel, Kurt. Über formal unentscheidbare Sätze der Principia Mathematica und verwandter Systeme I, 1931.</w:t>
      </w:r>
    </w:p>
    <w:p>
      <w:pPr>
        <w:pStyle w:val="ListParagraph"/>
        <w:numPr>
          <w:ilvl w:val="0"/>
          <w:numId w:val="3"/>
        </w:numPr>
        <w:spacing w:after="100"/>
      </w:pPr>
      <w:r>
        <w:rPr>
          <w:sz w:val="21"/>
          <w:szCs w:val="21"/>
        </w:rPr>
        <w:t xml:space="preserve">Han, Byung-Chul. Müdigkeitsgesellschaft [The Burnout/Achievement Society], Matthes &amp; Seitz Berlin, 2010.</w:t>
      </w:r>
    </w:p>
    <w:p>
      <w:pPr>
        <w:pStyle w:val="ListParagraph"/>
        <w:numPr>
          <w:ilvl w:val="0"/>
          <w:numId w:val="3"/>
        </w:numPr>
        <w:spacing w:after="100"/>
      </w:pPr>
      <w:r>
        <w:rPr>
          <w:sz w:val="21"/>
          <w:szCs w:val="21"/>
        </w:rPr>
        <w:t xml:space="preserve">Zuboff, Shoshana. The Age of Surveillance Capitalism, PublicAffairs, 2019.</w:t>
      </w:r>
    </w:p>
    <w:p>
      <w:pPr>
        <w:pStyle w:val="ListParagraph"/>
        <w:numPr>
          <w:ilvl w:val="0"/>
          <w:numId w:val="3"/>
        </w:numPr>
        <w:spacing w:after="100"/>
      </w:pPr>
      <w:r>
        <w:rPr>
          <w:sz w:val="21"/>
          <w:szCs w:val="21"/>
        </w:rPr>
        <w:t xml:space="preserve">Lacan, Jacques. Écrits, Seuil, 1966 — concept of the big Other (grand Autre).</w:t>
      </w:r>
    </w:p>
    <w:p>
      <w:pPr>
        <w:pStyle w:val="ListParagraph"/>
        <w:numPr>
          <w:ilvl w:val="0"/>
          <w:numId w:val="3"/>
        </w:numPr>
        <w:spacing w:after="100"/>
      </w:pPr>
      <w:r>
        <w:rPr>
          <w:sz w:val="21"/>
          <w:szCs w:val="21"/>
        </w:rPr>
        <w:t xml:space="preserve">Foucault, Michel. Surveiller et punir [Discipline and Punish], Gallimard, 1975.</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50" w:hanging="260"/>
      </w:pPr>
    </w:lvl>
  </w:abstractNum>
  <w:abstractNum w:abstractNumId="3" w15:restartNumberingAfterBreak="0">
    <w:multiLevelType w:val="hybridMultilevel"/>
    <w:lvl w:ilvl="0" w15:tentative="1">
      <w:start w:val="1"/>
      <w:numFmt w:val="bullet"/>
      <w:lvlText w:val="•"/>
      <w:lvlJc w:val="left"/>
      <w:pPr>
        <w:ind w:left="45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2026-09-13T16:15:23.117Z</dcterms:created>
  <dcterms:modified xsi:type="dcterms:W3CDTF">2026-09-13T16:15:23.127Z</dcterms:modified>
</cp:coreProperties>
</file>

<file path=docProps/custom.xml><?xml version="1.0" encoding="utf-8"?>
<Properties xmlns="http://schemas.openxmlformats.org/officeDocument/2006/custom-properties" xmlns:vt="http://schemas.openxmlformats.org/officeDocument/2006/docPropsVTypes"/>
</file>