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921F2" w14:textId="77777777" w:rsidR="00136201" w:rsidRDefault="00136201">
      <w:pPr>
        <w:spacing w:after="0" w:line="360" w:lineRule="auto"/>
        <w:rPr>
          <w:rFonts w:hint="cs"/>
        </w:rPr>
      </w:pPr>
    </w:p>
    <w:p w14:paraId="33C9BF67" w14:textId="51D7FC7C" w:rsidR="00136201" w:rsidRDefault="00136201">
      <w:pPr>
        <w:spacing w:after="210" w:line="360" w:lineRule="auto"/>
      </w:pPr>
    </w:p>
    <w:p w14:paraId="5DC0A330" w14:textId="77777777" w:rsidR="00136201" w:rsidRDefault="00000000">
      <w:pPr>
        <w:spacing w:before="157" w:after="157" w:line="270" w:lineRule="auto"/>
        <w:rPr>
          <w:rtl/>
        </w:rPr>
      </w:pPr>
      <w:bookmarkStart w:id="0" w:name="علم_النفس_الاستخلافي_ومقاومة_الاس_41e9e7"/>
      <w:r>
        <w:rPr>
          <w:rFonts w:ascii="source serif 4" w:eastAsia="source serif 4" w:hAnsi="source serif 4" w:cs="source serif 4"/>
          <w:b/>
          <w:color w:val="000000"/>
          <w:sz w:val="39"/>
        </w:rPr>
        <w:t>علم النفس الاستخلافي ومقاومة الاستعمار الخوارزمي</w:t>
      </w:r>
      <w:bookmarkEnd w:id="0"/>
    </w:p>
    <w:p w14:paraId="3541C2EB" w14:textId="2E643862" w:rsidR="004C0F83" w:rsidRPr="00EB6520" w:rsidRDefault="004C0F83">
      <w:pPr>
        <w:spacing w:before="157" w:after="157" w:line="270" w:lineRule="auto"/>
        <w:rPr>
          <w:sz w:val="24"/>
          <w:szCs w:val="24"/>
        </w:rPr>
      </w:pPr>
      <w:r>
        <w:rPr>
          <w:rFonts w:hint="cs"/>
          <w:rtl/>
        </w:rPr>
        <w:t xml:space="preserve">          </w:t>
      </w:r>
      <w:r w:rsidRPr="00EB6520">
        <w:rPr>
          <w:rFonts w:hint="cs"/>
          <w:sz w:val="24"/>
          <w:szCs w:val="24"/>
          <w:rtl/>
        </w:rPr>
        <w:t xml:space="preserve">بقلم : عبد السلام الزراع </w:t>
      </w:r>
    </w:p>
    <w:p w14:paraId="4241614C" w14:textId="77777777" w:rsidR="00136201" w:rsidRDefault="00000000">
      <w:pPr>
        <w:spacing w:before="315" w:after="105" w:line="360" w:lineRule="auto"/>
        <w:ind w:left="-30"/>
      </w:pPr>
      <w:bookmarkStart w:id="1" w:name="دراسة_نظرية_نقدية_في_سيادة_الانتب_8ea44d"/>
      <w:r>
        <w:rPr>
          <w:rFonts w:ascii="source serif 4" w:eastAsia="source serif 4" w:hAnsi="source serif 4" w:cs="source serif 4"/>
          <w:b/>
          <w:color w:val="000000"/>
          <w:sz w:val="24"/>
        </w:rPr>
        <w:t>دراسة نظرية نقدية في سيادة الانتباه، وبناء المعنى والهوية، وحدود تحويل المعاناة</w:t>
      </w:r>
      <w:bookmarkEnd w:id="1"/>
    </w:p>
    <w:p w14:paraId="613E79EC" w14:textId="77777777" w:rsidR="00136201" w:rsidRDefault="00000000">
      <w:pPr>
        <w:spacing w:before="315" w:after="105" w:line="360" w:lineRule="auto"/>
        <w:ind w:left="-30"/>
      </w:pPr>
      <w:bookmarkStart w:id="2" w:name="الملخص"/>
      <w:r>
        <w:rPr>
          <w:rFonts w:ascii="source serif 4" w:eastAsia="source serif 4" w:hAnsi="source serif 4" w:cs="source serif 4"/>
          <w:b/>
          <w:color w:val="000000"/>
          <w:sz w:val="24"/>
        </w:rPr>
        <w:t>الملخص</w:t>
      </w:r>
      <w:bookmarkEnd w:id="2"/>
    </w:p>
    <w:p w14:paraId="34D8405B" w14:textId="6D81BF4E" w:rsidR="00136201" w:rsidRDefault="00000000">
      <w:pPr>
        <w:spacing w:after="210" w:line="360" w:lineRule="auto"/>
      </w:pPr>
      <w:r>
        <w:rPr>
          <w:rFonts w:ascii="source serif 4" w:eastAsia="source serif 4" w:hAnsi="source serif 4" w:cs="source serif 4"/>
          <w:color w:val="000000"/>
        </w:rPr>
        <w:t xml:space="preserve">يتناول هذا البحث إمكان الإفادة من المنظور الاستخلافي في تحليل أشكال الاستلاب المرتبطة بالبيئة الرقمية، وبخاصة ما يتصل بتوجيه الانتباه، وتشكيل الرغبات، وتحويل التجربة الإنسانية إلى بيانات قابلة للاستخراج والاستثمار. وينطلق من أطروحة </w:t>
      </w:r>
      <w:r w:rsidR="00AE297B">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التي تقرأ العلاقة بين الإنسان والمنظومات الخوارزمية من خلال التعارض بين اختزال الإنسان في موقع «المستخدم» وإعادة الاعتبار إليه بوصفه ذاتًا مسؤولة ذات مرجعية وغاية. ويضع البحث هذه الأطروحة في حوار مع مفهوم استعمار البيانات، مع تجنب المساواة بين النقد الفلسفي للمنصات وإثبات آثار نفسية محددة لكل استخدام رقمي.</w:t>
      </w:r>
      <w:bookmarkStart w:id="3" w:name="fnref2"/>
      <w:bookmarkEnd w:id="3"/>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bookmarkStart w:id="4" w:name="fnref3"/>
      <w:bookmarkEnd w:id="4"/>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bookmarkStart w:id="5" w:name="fnref4"/>
      <w:bookmarkEnd w:id="5"/>
      <w:r>
        <w:fldChar w:fldCharType="begin"/>
      </w:r>
      <w:r>
        <w:instrText>HYPERLINK \l "fn4" \h</w:instrText>
      </w:r>
      <w:r>
        <w:fldChar w:fldCharType="separate"/>
      </w:r>
      <w:r>
        <w:rPr>
          <w:rFonts w:ascii="source sans 3" w:eastAsia="source sans 3" w:hAnsi="source sans 3" w:cs="source sans 3"/>
          <w:u w:val="single"/>
          <w:vertAlign w:val="superscript"/>
        </w:rPr>
        <w:t>[4]</w:t>
      </w:r>
      <w:r>
        <w:fldChar w:fldCharType="end"/>
      </w:r>
    </w:p>
    <w:p w14:paraId="6729B2EE" w14:textId="77777777" w:rsidR="00136201" w:rsidRDefault="00000000">
      <w:pPr>
        <w:spacing w:after="210" w:line="360" w:lineRule="auto"/>
      </w:pPr>
      <w:r>
        <w:rPr>
          <w:rFonts w:ascii="source serif 4" w:eastAsia="source serif 4" w:hAnsi="source serif 4" w:cs="source serif 4"/>
          <w:color w:val="000000"/>
        </w:rPr>
        <w:t>يعتمد البحث منهجًا تحليليًا نقديًا يميّز بين ثلاثة مستويات: المستوى المعياري المتعلق بالكرامة والمسؤولية، والمستوى التفسيري المتعلق بآليات التأثير الرقمي، والمستوى التجريبي المتعلق بقياس النتائج النفسية. ويقترح أن القيمة البحثية للإطار الاستخلافي يمكن أن تتجلى في تطوير مفاهيم الفاعلية الرقمية والمسافة النقدية والفعل القيمي، بشرط تحويلها إلى تعريفات قابلة للفحص، وعدم تقديمها بوصفها علاجًا مثبتًا قبل توافر الأدلة اللازمة.</w:t>
      </w:r>
    </w:p>
    <w:p w14:paraId="45C2466D" w14:textId="77777777" w:rsidR="00136201" w:rsidRDefault="00000000">
      <w:pPr>
        <w:spacing w:before="315" w:after="105" w:line="360" w:lineRule="auto"/>
        <w:ind w:left="-30"/>
      </w:pPr>
      <w:bookmarkStart w:id="6" w:name="bm_1_المقدمة_من_استخدام_التقنية_إ_36f9da"/>
      <w:r>
        <w:rPr>
          <w:rFonts w:ascii="source serif 4" w:eastAsia="source serif 4" w:hAnsi="source serif 4" w:cs="source serif 4"/>
          <w:b/>
          <w:color w:val="000000"/>
          <w:sz w:val="24"/>
        </w:rPr>
        <w:t>1. المقدمة: من استخدام التقنية إلى مساءلة شروط الاستخدام</w:t>
      </w:r>
      <w:bookmarkEnd w:id="6"/>
    </w:p>
    <w:p w14:paraId="4914A800" w14:textId="77777777" w:rsidR="00136201" w:rsidRDefault="00000000">
      <w:pPr>
        <w:spacing w:after="210" w:line="360" w:lineRule="auto"/>
      </w:pPr>
      <w:r>
        <w:rPr>
          <w:rFonts w:ascii="source serif 4" w:eastAsia="source serif 4" w:hAnsi="source serif 4" w:cs="source serif 4"/>
          <w:color w:val="000000"/>
        </w:rPr>
        <w:t xml:space="preserve">تطرح البيئة الرقمية سؤالًا يتجاوز مقدار الوقت الذي يقضيه الإنسان أمام الشاشة: من يحدد موضوعات انتباهه، ومعايير أهميتها، والكيفية التي يفهم بها نفسه وعلاقاته؟ يكتسب هذا السؤال أهميته عندما تصبح الممارسات اليومية، من البحث والتواصل إلى الترفيه، مصدرًا مستمرًا للبيانات التي تدخل في عمليات التصنيف والتوقع والاستثمار الاقتصادي. وفي هذا السياق، يرى </w:t>
      </w:r>
      <w:proofErr w:type="spellStart"/>
      <w:r>
        <w:rPr>
          <w:rFonts w:ascii="source serif 4" w:eastAsia="source serif 4" w:hAnsi="source serif 4" w:cs="source serif 4"/>
          <w:color w:val="000000"/>
        </w:rPr>
        <w:t>كولدري</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وميخياس</w:t>
      </w:r>
      <w:proofErr w:type="spellEnd"/>
      <w:r>
        <w:rPr>
          <w:rFonts w:ascii="source serif 4" w:eastAsia="source serif 4" w:hAnsi="source serif 4" w:cs="source serif 4"/>
          <w:color w:val="000000"/>
        </w:rPr>
        <w:t xml:space="preserve"> أن استعمار البيانات يقوم على تحويل الحياة الاجتماعية إلى مورد قابل للاستخراج، بحيث لا يكون موضوع الاستحواذ مجرد معلومات منفصلة، بل جوانب متزايدة من الحياة الإنسانية نفسها.</w:t>
      </w:r>
      <w:bookmarkStart w:id="7" w:name="fnref4_1"/>
      <w:bookmarkEnd w:id="7"/>
      <w:r>
        <w:fldChar w:fldCharType="begin"/>
      </w:r>
      <w:r>
        <w:instrText>HYPERLINK \l "fn4" \h</w:instrText>
      </w:r>
      <w:r>
        <w:fldChar w:fldCharType="separate"/>
      </w:r>
      <w:r>
        <w:rPr>
          <w:rFonts w:ascii="source sans 3" w:eastAsia="source sans 3" w:hAnsi="source sans 3" w:cs="source sans 3"/>
          <w:u w:val="single"/>
          <w:vertAlign w:val="superscript"/>
        </w:rPr>
        <w:t>[4]</w:t>
      </w:r>
      <w:r>
        <w:fldChar w:fldCharType="end"/>
      </w:r>
      <w:bookmarkStart w:id="8" w:name="fnref5"/>
      <w:bookmarkEnd w:id="8"/>
      <w:r>
        <w:fldChar w:fldCharType="begin"/>
      </w:r>
      <w:r>
        <w:instrText>HYPERLINK \l "fn5" \h</w:instrText>
      </w:r>
      <w:r>
        <w:fldChar w:fldCharType="separate"/>
      </w:r>
      <w:r>
        <w:rPr>
          <w:rFonts w:ascii="source sans 3" w:eastAsia="source sans 3" w:hAnsi="source sans 3" w:cs="source sans 3"/>
          <w:u w:val="single"/>
          <w:vertAlign w:val="superscript"/>
        </w:rPr>
        <w:t>[5]</w:t>
      </w:r>
      <w:r>
        <w:fldChar w:fldCharType="end"/>
      </w:r>
    </w:p>
    <w:p w14:paraId="387DF120" w14:textId="0C61ED1C" w:rsidR="00136201" w:rsidRDefault="00000000">
      <w:pPr>
        <w:spacing w:after="210" w:line="360" w:lineRule="auto"/>
      </w:pPr>
      <w:r>
        <w:rPr>
          <w:rFonts w:ascii="source serif 4" w:eastAsia="source serif 4" w:hAnsi="source serif 4" w:cs="source serif 4"/>
          <w:color w:val="000000"/>
        </w:rPr>
        <w:t xml:space="preserve">ضمن هذا الأفق، يقدّم </w:t>
      </w:r>
      <w:r w:rsidR="009E770A">
        <w:rPr>
          <w:rFonts w:ascii="source serif 4" w:eastAsia="source serif 4" w:hAnsi="source serif 4" w:cs="Times New Roman" w:hint="cs"/>
          <w:color w:val="000000"/>
          <w:rtl/>
        </w:rPr>
        <w:t xml:space="preserve">هذا العلم </w:t>
      </w:r>
      <w:r>
        <w:rPr>
          <w:rFonts w:ascii="source serif 4" w:eastAsia="source serif 4" w:hAnsi="source serif 4" w:cs="source serif 4"/>
          <w:color w:val="000000"/>
        </w:rPr>
        <w:t xml:space="preserve"> قراءة استخلافية للتحدي الرقمي، تتمحور حول الاعتراض على اختزال الإنسان في كائن قابل للاستنزاف والتوجيه. وتربط هذه القراءة مقاومة الهيمنة الرقمية باستعادة المرجعية والمعنى والمسؤولية، لا بمجرد الانسحاب من التقنية. وهذه أطروحة صاحب المشروع كما تعرضها نصوصه، وليست في ذاتها نتيجة تجريبية تثبت مقدار تأثير الخوارزميات أو فعالية تدخل علاجي محدد.</w:t>
      </w:r>
      <w:bookmarkStart w:id="9" w:name="fnref3_1"/>
      <w:bookmarkEnd w:id="9"/>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bookmarkStart w:id="10" w:name="fnref2_1"/>
      <w:bookmarkEnd w:id="10"/>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p>
    <w:p w14:paraId="52982C65" w14:textId="77777777" w:rsidR="00136201" w:rsidRDefault="00000000">
      <w:pPr>
        <w:spacing w:after="210" w:line="360" w:lineRule="auto"/>
      </w:pPr>
      <w:r>
        <w:rPr>
          <w:rFonts w:ascii="source serif 4" w:eastAsia="source serif 4" w:hAnsi="source serif 4" w:cs="source serif 4"/>
          <w:color w:val="000000"/>
        </w:rPr>
        <w:t>وعليه، يقترح البحث الانتقال من خطاب ثنائي يقابل بين «التقنية الشريرة» و«الإنسان الحر» إلى تحليل شروط العلاقة بينهما: متى تعزز التقنية الفاعلية؟ ومتى تقيدها؟ وكيف يمكن بناء استخدام رقمي منسجم مع الغايات التي يختارها الفرد، دون إغفال مسؤولية المؤسسات التي تصمم البيئة الرقمية وتديرها؟</w:t>
      </w:r>
    </w:p>
    <w:p w14:paraId="32EBFB61" w14:textId="77777777" w:rsidR="00136201" w:rsidRDefault="00000000">
      <w:pPr>
        <w:spacing w:before="315" w:after="105" w:line="360" w:lineRule="auto"/>
        <w:ind w:left="-30"/>
      </w:pPr>
      <w:bookmarkStart w:id="11" w:name="bm_2_إشكالية_البحث_وأسئلته"/>
      <w:r>
        <w:rPr>
          <w:rFonts w:ascii="source serif 4" w:eastAsia="source serif 4" w:hAnsi="source serif 4" w:cs="source serif 4"/>
          <w:b/>
          <w:color w:val="000000"/>
          <w:sz w:val="24"/>
        </w:rPr>
        <w:t>2. إشكالية البحث وأسئلته</w:t>
      </w:r>
      <w:bookmarkEnd w:id="11"/>
    </w:p>
    <w:p w14:paraId="2217862A" w14:textId="77777777" w:rsidR="00136201" w:rsidRDefault="00000000">
      <w:pPr>
        <w:spacing w:after="210" w:line="360" w:lineRule="auto"/>
      </w:pPr>
      <w:r>
        <w:rPr>
          <w:rFonts w:ascii="source serif 4" w:eastAsia="source serif 4" w:hAnsi="source serif 4" w:cs="source serif 4"/>
          <w:color w:val="000000"/>
        </w:rPr>
        <w:t>يمكن صياغة الإشكالية المركزية على النحو الآتي:</w:t>
      </w:r>
    </w:p>
    <w:p w14:paraId="7B82CF7F" w14:textId="77777777" w:rsidR="00136201" w:rsidRDefault="00000000">
      <w:pPr>
        <w:spacing w:after="210" w:line="360" w:lineRule="auto"/>
        <w:ind w:left="630"/>
      </w:pPr>
      <w:r>
        <w:rPr>
          <w:rFonts w:ascii="source serif 4" w:eastAsia="source serif 4" w:hAnsi="source serif 4" w:cs="source serif 4"/>
          <w:color w:val="000000"/>
        </w:rPr>
        <w:t>كيف يمكن تطوير قراءة استخلافية للاستلاب الرقمي تحفظ خصوصيتها المعيارية، وتستفيد من البحث النفسي والاجتماعي، دون أن تحوّل مفاهيمها التأويلية إلى حقائق تجريبية غير مختبرة؟</w:t>
      </w:r>
    </w:p>
    <w:p w14:paraId="645F3DF6" w14:textId="77777777" w:rsidR="00136201" w:rsidRDefault="00000000">
      <w:pPr>
        <w:spacing w:after="210" w:line="360" w:lineRule="auto"/>
      </w:pPr>
      <w:r>
        <w:rPr>
          <w:rFonts w:ascii="source serif 4" w:eastAsia="source serif 4" w:hAnsi="source serif 4" w:cs="source serif 4"/>
          <w:color w:val="000000"/>
        </w:rPr>
        <w:t>وتتفرع عنها الأسئلة الآتية:</w:t>
      </w:r>
    </w:p>
    <w:p w14:paraId="34D8E5C0" w14:textId="77777777" w:rsidR="00136201" w:rsidRDefault="00000000">
      <w:pPr>
        <w:numPr>
          <w:ilvl w:val="0"/>
          <w:numId w:val="1"/>
        </w:numPr>
        <w:spacing w:before="105" w:after="105" w:line="360" w:lineRule="auto"/>
      </w:pPr>
      <w:r>
        <w:rPr>
          <w:rFonts w:ascii="source serif 4" w:eastAsia="source serif 4" w:hAnsi="source serif 4" w:cs="source serif 4"/>
          <w:color w:val="000000"/>
        </w:rPr>
        <w:t>ما المقصود بالاستعمار الخوارزمي، وما حدوده بالمقارنة مع استعمار البيانات والتأثير الرقمي عمومًا؟</w:t>
      </w:r>
    </w:p>
    <w:p w14:paraId="7FF2D95A" w14:textId="77777777" w:rsidR="00136201" w:rsidRDefault="00000000">
      <w:pPr>
        <w:numPr>
          <w:ilvl w:val="0"/>
          <w:numId w:val="1"/>
        </w:numPr>
        <w:spacing w:before="105" w:after="105" w:line="360" w:lineRule="auto"/>
      </w:pPr>
      <w:r>
        <w:rPr>
          <w:rFonts w:ascii="source serif 4" w:eastAsia="source serif 4" w:hAnsi="source serif 4" w:cs="source serif 4"/>
          <w:color w:val="000000"/>
        </w:rPr>
        <w:t>كيف يمكن تعريف سيادة الانتباه دون افتراض إمكان تحكم الإنسان الكامل في انتباهه؟</w:t>
      </w:r>
    </w:p>
    <w:p w14:paraId="22895366" w14:textId="77777777" w:rsidR="00136201" w:rsidRDefault="00000000">
      <w:pPr>
        <w:numPr>
          <w:ilvl w:val="0"/>
          <w:numId w:val="1"/>
        </w:numPr>
        <w:spacing w:before="105" w:after="105" w:line="360" w:lineRule="auto"/>
      </w:pPr>
      <w:r>
        <w:rPr>
          <w:rFonts w:ascii="source serif 4" w:eastAsia="source serif 4" w:hAnsi="source serif 4" w:cs="source serif 4"/>
          <w:color w:val="000000"/>
        </w:rPr>
        <w:t>ما العلاقة بين المرجعية المتعالية والمسافة النقدية التي تفصل الفرد عن رغباته الآنية؟</w:t>
      </w:r>
    </w:p>
    <w:p w14:paraId="095133B8" w14:textId="77777777" w:rsidR="00136201" w:rsidRDefault="00000000">
      <w:pPr>
        <w:numPr>
          <w:ilvl w:val="0"/>
          <w:numId w:val="1"/>
        </w:numPr>
        <w:spacing w:before="105" w:after="105" w:line="360" w:lineRule="auto"/>
      </w:pPr>
      <w:r>
        <w:rPr>
          <w:rFonts w:ascii="source serif 4" w:eastAsia="source serif 4" w:hAnsi="source serif 4" w:cs="source serif 4"/>
          <w:color w:val="000000"/>
        </w:rPr>
        <w:t>كيف تتصل الهوية والمعنى والمسؤولية بمقاومة الاختزال الرقمي؟</w:t>
      </w:r>
    </w:p>
    <w:p w14:paraId="0B39CE26" w14:textId="77777777" w:rsidR="00136201" w:rsidRDefault="00000000">
      <w:pPr>
        <w:numPr>
          <w:ilvl w:val="0"/>
          <w:numId w:val="1"/>
        </w:numPr>
        <w:spacing w:before="105" w:after="105" w:line="360" w:lineRule="auto"/>
      </w:pPr>
      <w:r>
        <w:rPr>
          <w:rFonts w:ascii="source serif 4" w:eastAsia="source serif 4" w:hAnsi="source serif 4" w:cs="source serif 4"/>
          <w:color w:val="000000"/>
        </w:rPr>
        <w:t>ما حدود تحويل المعاناة إلى فعل ذي معنى، وما الضوابط التي تمنع هذا التصور من تبرير الألم أو تأخير العلاج؟</w:t>
      </w:r>
    </w:p>
    <w:p w14:paraId="43A6330A" w14:textId="77777777" w:rsidR="00136201" w:rsidRDefault="00000000">
      <w:pPr>
        <w:numPr>
          <w:ilvl w:val="0"/>
          <w:numId w:val="1"/>
        </w:numPr>
        <w:spacing w:before="105" w:after="105" w:line="360" w:lineRule="auto"/>
      </w:pPr>
      <w:r>
        <w:rPr>
          <w:rFonts w:ascii="source serif 4" w:eastAsia="source serif 4" w:hAnsi="source serif 4" w:cs="source serif 4"/>
          <w:color w:val="000000"/>
        </w:rPr>
        <w:t>كيف يمكن تحويل هذه المقترحات إلى برنامج بحثي قابل للتقويم؟</w:t>
      </w:r>
    </w:p>
    <w:p w14:paraId="5A00D90D" w14:textId="77777777" w:rsidR="00136201" w:rsidRDefault="00000000">
      <w:pPr>
        <w:spacing w:before="315" w:after="105" w:line="360" w:lineRule="auto"/>
        <w:ind w:left="-30"/>
      </w:pPr>
      <w:bookmarkStart w:id="12" w:name="bm_3_المنهج_وحدود_الاستدلال"/>
      <w:r>
        <w:rPr>
          <w:rFonts w:ascii="source serif 4" w:eastAsia="source serif 4" w:hAnsi="source serif 4" w:cs="source serif 4"/>
          <w:b/>
          <w:color w:val="000000"/>
          <w:sz w:val="24"/>
        </w:rPr>
        <w:t>3. المنهج وحدود الاستدلال</w:t>
      </w:r>
      <w:bookmarkEnd w:id="12"/>
    </w:p>
    <w:p w14:paraId="6D93C06E" w14:textId="77777777" w:rsidR="00136201" w:rsidRDefault="00000000">
      <w:pPr>
        <w:spacing w:after="210" w:line="360" w:lineRule="auto"/>
      </w:pPr>
      <w:r>
        <w:rPr>
          <w:rFonts w:ascii="source serif 4" w:eastAsia="source serif 4" w:hAnsi="source serif 4" w:cs="source serif 4"/>
          <w:color w:val="000000"/>
        </w:rPr>
        <w:t>يقوم البحث المقترح على تحليل المفاهيم وإعادة بناء العلاقات بينها، مع إخضاع التعميمات النفسية للمراجعة النقدية. ولهذا يلزم الفصل بين مستويات لا يجوز الخلط بينها:</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226"/>
        <w:gridCol w:w="3809"/>
        <w:gridCol w:w="2952"/>
      </w:tblGrid>
      <w:tr w:rsidR="00136201" w14:paraId="20B6C14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84A2DB3" w14:textId="77777777" w:rsidR="00136201" w:rsidRDefault="00000000">
            <w:pPr>
              <w:spacing w:line="360" w:lineRule="auto"/>
            </w:pPr>
            <w:r>
              <w:rPr>
                <w:rFonts w:ascii="source sans 3" w:eastAsia="source sans 3" w:hAnsi="source sans 3" w:cs="source sans 3"/>
                <w:color w:val="000000"/>
                <w:sz w:val="17"/>
              </w:rPr>
              <w:t>مستوى الخطاب</w:t>
            </w:r>
          </w:p>
        </w:tc>
        <w:tc>
          <w:tcPr>
            <w:tcW w:w="0" w:type="auto"/>
            <w:tcBorders>
              <w:top w:val="single" w:sz="1" w:space="0" w:color="000000"/>
              <w:bottom w:val="single" w:sz="1" w:space="0" w:color="000000"/>
              <w:right w:val="single" w:sz="1" w:space="0" w:color="000000"/>
            </w:tcBorders>
          </w:tcPr>
          <w:p w14:paraId="30C821E4" w14:textId="77777777" w:rsidR="00136201" w:rsidRDefault="00000000">
            <w:pPr>
              <w:spacing w:line="360" w:lineRule="auto"/>
            </w:pPr>
            <w:r>
              <w:rPr>
                <w:rFonts w:ascii="source sans 3" w:eastAsia="source sans 3" w:hAnsi="source sans 3" w:cs="source sans 3"/>
                <w:color w:val="000000"/>
                <w:sz w:val="17"/>
              </w:rPr>
              <w:t>السؤال الذي يعالجه</w:t>
            </w:r>
          </w:p>
        </w:tc>
        <w:tc>
          <w:tcPr>
            <w:tcW w:w="0" w:type="auto"/>
            <w:tcBorders>
              <w:top w:val="single" w:sz="1" w:space="0" w:color="000000"/>
              <w:bottom w:val="single" w:sz="1" w:space="0" w:color="000000"/>
            </w:tcBorders>
          </w:tcPr>
          <w:p w14:paraId="08C8F6F5" w14:textId="77777777" w:rsidR="00136201" w:rsidRDefault="00000000">
            <w:pPr>
              <w:spacing w:line="360" w:lineRule="auto"/>
            </w:pPr>
            <w:r>
              <w:rPr>
                <w:rFonts w:ascii="source sans 3" w:eastAsia="source sans 3" w:hAnsi="source sans 3" w:cs="source sans 3"/>
                <w:color w:val="000000"/>
                <w:sz w:val="17"/>
              </w:rPr>
              <w:t>معيار تقويمه</w:t>
            </w:r>
          </w:p>
        </w:tc>
      </w:tr>
      <w:tr w:rsidR="00136201" w14:paraId="38C6B4B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E21F4C6" w14:textId="77777777" w:rsidR="00136201" w:rsidRDefault="00000000">
            <w:pPr>
              <w:spacing w:line="360" w:lineRule="auto"/>
            </w:pPr>
            <w:r>
              <w:rPr>
                <w:rFonts w:ascii="source sans 3" w:eastAsia="source sans 3" w:hAnsi="source sans 3" w:cs="source sans 3"/>
                <w:color w:val="000000"/>
                <w:sz w:val="17"/>
              </w:rPr>
              <w:t>المعياري والديني</w:t>
            </w:r>
          </w:p>
        </w:tc>
        <w:tc>
          <w:tcPr>
            <w:tcW w:w="0" w:type="auto"/>
            <w:tcBorders>
              <w:top w:val="single" w:sz="1" w:space="0" w:color="000000"/>
              <w:bottom w:val="single" w:sz="1" w:space="0" w:color="000000"/>
              <w:right w:val="single" w:sz="1" w:space="0" w:color="000000"/>
            </w:tcBorders>
          </w:tcPr>
          <w:p w14:paraId="17B80EF2" w14:textId="77777777" w:rsidR="00136201" w:rsidRDefault="00000000">
            <w:pPr>
              <w:spacing w:line="360" w:lineRule="auto"/>
            </w:pPr>
            <w:r>
              <w:rPr>
                <w:rFonts w:ascii="source sans 3" w:eastAsia="source sans 3" w:hAnsi="source sans 3" w:cs="source sans 3"/>
                <w:color w:val="000000"/>
                <w:sz w:val="17"/>
              </w:rPr>
              <w:t>ما الغاية الإنسانية المرغوبة؟ وما المسؤولية الأخلاقية؟</w:t>
            </w:r>
          </w:p>
        </w:tc>
        <w:tc>
          <w:tcPr>
            <w:tcW w:w="0" w:type="auto"/>
            <w:tcBorders>
              <w:top w:val="single" w:sz="1" w:space="0" w:color="000000"/>
              <w:bottom w:val="single" w:sz="1" w:space="0" w:color="000000"/>
            </w:tcBorders>
          </w:tcPr>
          <w:p w14:paraId="0B222A8A" w14:textId="77777777" w:rsidR="00136201" w:rsidRDefault="00000000">
            <w:pPr>
              <w:spacing w:line="360" w:lineRule="auto"/>
            </w:pPr>
            <w:r>
              <w:rPr>
                <w:rFonts w:ascii="source sans 3" w:eastAsia="source sans 3" w:hAnsi="source sans 3" w:cs="source sans 3"/>
                <w:color w:val="000000"/>
                <w:sz w:val="17"/>
              </w:rPr>
              <w:t>وضوح المرجعية واتساق الاستدلال</w:t>
            </w:r>
          </w:p>
        </w:tc>
      </w:tr>
      <w:tr w:rsidR="00136201" w14:paraId="2F13753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A0ECBDC" w14:textId="77777777" w:rsidR="00136201" w:rsidRDefault="00000000">
            <w:pPr>
              <w:spacing w:line="360" w:lineRule="auto"/>
            </w:pPr>
            <w:r>
              <w:rPr>
                <w:rFonts w:ascii="source sans 3" w:eastAsia="source sans 3" w:hAnsi="source sans 3" w:cs="source sans 3"/>
                <w:color w:val="000000"/>
                <w:sz w:val="17"/>
              </w:rPr>
              <w:t>الفلسفي والتأويلي</w:t>
            </w:r>
          </w:p>
        </w:tc>
        <w:tc>
          <w:tcPr>
            <w:tcW w:w="0" w:type="auto"/>
            <w:tcBorders>
              <w:top w:val="single" w:sz="1" w:space="0" w:color="000000"/>
              <w:bottom w:val="single" w:sz="1" w:space="0" w:color="000000"/>
              <w:right w:val="single" w:sz="1" w:space="0" w:color="000000"/>
            </w:tcBorders>
          </w:tcPr>
          <w:p w14:paraId="64AF7D6D" w14:textId="77777777" w:rsidR="00136201" w:rsidRDefault="00000000">
            <w:pPr>
              <w:spacing w:line="360" w:lineRule="auto"/>
            </w:pPr>
            <w:r>
              <w:rPr>
                <w:rFonts w:ascii="source sans 3" w:eastAsia="source sans 3" w:hAnsi="source sans 3" w:cs="source sans 3"/>
                <w:color w:val="000000"/>
                <w:sz w:val="17"/>
              </w:rPr>
              <w:t>كيف نفهم الاستلاب والحرية والمعنى؟</w:t>
            </w:r>
          </w:p>
        </w:tc>
        <w:tc>
          <w:tcPr>
            <w:tcW w:w="0" w:type="auto"/>
            <w:tcBorders>
              <w:top w:val="single" w:sz="1" w:space="0" w:color="000000"/>
              <w:bottom w:val="single" w:sz="1" w:space="0" w:color="000000"/>
            </w:tcBorders>
          </w:tcPr>
          <w:p w14:paraId="3B6BBBE1" w14:textId="77777777" w:rsidR="00136201" w:rsidRDefault="00000000">
            <w:pPr>
              <w:spacing w:line="360" w:lineRule="auto"/>
            </w:pPr>
            <w:r>
              <w:rPr>
                <w:rFonts w:ascii="source sans 3" w:eastAsia="source sans 3" w:hAnsi="source sans 3" w:cs="source sans 3"/>
                <w:color w:val="000000"/>
                <w:sz w:val="17"/>
              </w:rPr>
              <w:t>الدقة المفهومية والقوة التفسيرية</w:t>
            </w:r>
          </w:p>
        </w:tc>
      </w:tr>
      <w:tr w:rsidR="00136201" w14:paraId="34FBF37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8839319" w14:textId="77777777" w:rsidR="00136201" w:rsidRDefault="00000000">
            <w:pPr>
              <w:spacing w:line="360" w:lineRule="auto"/>
            </w:pPr>
            <w:r>
              <w:rPr>
                <w:rFonts w:ascii="source sans 3" w:eastAsia="source sans 3" w:hAnsi="source sans 3" w:cs="source sans 3"/>
                <w:color w:val="000000"/>
                <w:sz w:val="17"/>
              </w:rPr>
              <w:t>النفسي التجريبي</w:t>
            </w:r>
          </w:p>
        </w:tc>
        <w:tc>
          <w:tcPr>
            <w:tcW w:w="0" w:type="auto"/>
            <w:tcBorders>
              <w:top w:val="single" w:sz="1" w:space="0" w:color="000000"/>
              <w:bottom w:val="single" w:sz="1" w:space="0" w:color="000000"/>
              <w:right w:val="single" w:sz="1" w:space="0" w:color="000000"/>
            </w:tcBorders>
          </w:tcPr>
          <w:p w14:paraId="0AAEE5B3" w14:textId="77777777" w:rsidR="00136201" w:rsidRDefault="00000000">
            <w:pPr>
              <w:spacing w:line="360" w:lineRule="auto"/>
            </w:pPr>
            <w:r>
              <w:rPr>
                <w:rFonts w:ascii="source sans 3" w:eastAsia="source sans 3" w:hAnsi="source sans 3" w:cs="source sans 3"/>
                <w:color w:val="000000"/>
                <w:sz w:val="17"/>
              </w:rPr>
              <w:t>ما العلاقة بين متغيرات محددة؟ وهل يتغير السلوك بعد تدخل معين؟</w:t>
            </w:r>
          </w:p>
        </w:tc>
        <w:tc>
          <w:tcPr>
            <w:tcW w:w="0" w:type="auto"/>
            <w:tcBorders>
              <w:top w:val="single" w:sz="1" w:space="0" w:color="000000"/>
              <w:bottom w:val="single" w:sz="1" w:space="0" w:color="000000"/>
            </w:tcBorders>
          </w:tcPr>
          <w:p w14:paraId="72AEBFAB" w14:textId="77777777" w:rsidR="00136201" w:rsidRDefault="00000000">
            <w:pPr>
              <w:spacing w:line="360" w:lineRule="auto"/>
            </w:pPr>
            <w:r>
              <w:rPr>
                <w:rFonts w:ascii="source sans 3" w:eastAsia="source sans 3" w:hAnsi="source sans 3" w:cs="source sans 3"/>
                <w:color w:val="000000"/>
                <w:sz w:val="17"/>
              </w:rPr>
              <w:t>جودة التصميم والقياس والتحليل</w:t>
            </w:r>
          </w:p>
        </w:tc>
      </w:tr>
      <w:tr w:rsidR="00136201" w14:paraId="2963607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0B6F451" w14:textId="77777777" w:rsidR="00136201" w:rsidRDefault="00000000">
            <w:pPr>
              <w:spacing w:line="360" w:lineRule="auto"/>
            </w:pPr>
            <w:r>
              <w:rPr>
                <w:rFonts w:ascii="source sans 3" w:eastAsia="source sans 3" w:hAnsi="source sans 3" w:cs="source sans 3"/>
                <w:color w:val="000000"/>
                <w:sz w:val="17"/>
              </w:rPr>
              <w:t>السريري</w:t>
            </w:r>
          </w:p>
        </w:tc>
        <w:tc>
          <w:tcPr>
            <w:tcW w:w="0" w:type="auto"/>
            <w:tcBorders>
              <w:top w:val="single" w:sz="1" w:space="0" w:color="000000"/>
              <w:bottom w:val="single" w:sz="1" w:space="0" w:color="000000"/>
              <w:right w:val="single" w:sz="1" w:space="0" w:color="000000"/>
            </w:tcBorders>
          </w:tcPr>
          <w:p w14:paraId="45C79F18" w14:textId="77777777" w:rsidR="00136201" w:rsidRDefault="00000000">
            <w:pPr>
              <w:spacing w:line="360" w:lineRule="auto"/>
            </w:pPr>
            <w:r>
              <w:rPr>
                <w:rFonts w:ascii="source sans 3" w:eastAsia="source sans 3" w:hAnsi="source sans 3" w:cs="source sans 3"/>
                <w:color w:val="000000"/>
                <w:sz w:val="17"/>
              </w:rPr>
              <w:t>هل التدخل آمن وفعّال لفئة محددة؟</w:t>
            </w:r>
          </w:p>
        </w:tc>
        <w:tc>
          <w:tcPr>
            <w:tcW w:w="0" w:type="auto"/>
            <w:tcBorders>
              <w:top w:val="single" w:sz="1" w:space="0" w:color="000000"/>
              <w:bottom w:val="single" w:sz="1" w:space="0" w:color="000000"/>
            </w:tcBorders>
          </w:tcPr>
          <w:p w14:paraId="162F2321" w14:textId="77777777" w:rsidR="00136201" w:rsidRDefault="00000000">
            <w:pPr>
              <w:spacing w:line="360" w:lineRule="auto"/>
            </w:pPr>
            <w:r>
              <w:rPr>
                <w:rFonts w:ascii="source sans 3" w:eastAsia="source sans 3" w:hAnsi="source sans 3" w:cs="source sans 3"/>
                <w:color w:val="000000"/>
                <w:sz w:val="17"/>
              </w:rPr>
              <w:t>الدليل العلاجي، وحدود التطبيق، ومتابعة الأضرار</w:t>
            </w:r>
          </w:p>
        </w:tc>
      </w:tr>
    </w:tbl>
    <w:p w14:paraId="64776C0C" w14:textId="77777777" w:rsidR="00136201" w:rsidRDefault="00136201"/>
    <w:p w14:paraId="5478ED83" w14:textId="77777777" w:rsidR="00136201" w:rsidRDefault="00000000">
      <w:pPr>
        <w:spacing w:after="210" w:line="360" w:lineRule="auto"/>
      </w:pPr>
      <w:r>
        <w:rPr>
          <w:rFonts w:ascii="source serif 4" w:eastAsia="source serif 4" w:hAnsi="source serif 4" w:cs="source serif 4"/>
          <w:color w:val="000000"/>
        </w:rPr>
        <w:t>وبناءً على ذلك، فإن وجاهة القول بكرامة الإنسان لا تثبت وحدها فعالية برنامج علاجي، كما أن العثور على أثر إيجابي لتقليل الاستخدام لا يثبت صحة نظرية شاملة عن النفس. ويعتمد البناء المقترح هنا هذا الفصل لمنع انتقال الحجة من مستوى إلى آخر دون مسوّغ.</w:t>
      </w:r>
    </w:p>
    <w:p w14:paraId="3E3C9CAC" w14:textId="77777777" w:rsidR="00136201" w:rsidRDefault="00000000">
      <w:pPr>
        <w:spacing w:before="315" w:after="105" w:line="360" w:lineRule="auto"/>
        <w:ind w:left="-30"/>
      </w:pPr>
      <w:bookmarkStart w:id="13" w:name="bm_4_الاستعمار_الخوارزمي_تحديد_ال_36ca03"/>
      <w:r>
        <w:rPr>
          <w:rFonts w:ascii="source serif 4" w:eastAsia="source serif 4" w:hAnsi="source serif 4" w:cs="source serif 4"/>
          <w:b/>
          <w:color w:val="000000"/>
          <w:sz w:val="24"/>
        </w:rPr>
        <w:t>4. الاستعمار الخوارزمي: تحديد المفهوم وتجنب التوسع البلاغي</w:t>
      </w:r>
      <w:bookmarkEnd w:id="13"/>
    </w:p>
    <w:p w14:paraId="36534368" w14:textId="77777777" w:rsidR="00136201" w:rsidRDefault="00000000">
      <w:pPr>
        <w:spacing w:before="315" w:after="105" w:line="360" w:lineRule="auto"/>
        <w:ind w:left="-30"/>
      </w:pPr>
      <w:bookmarkStart w:id="14" w:name="bm_4_1_بين_استعمار_البيانات_وتوجي_5d5620"/>
      <w:r>
        <w:rPr>
          <w:rFonts w:ascii="source serif 4" w:eastAsia="source serif 4" w:hAnsi="source serif 4" w:cs="source serif 4"/>
          <w:b/>
          <w:color w:val="000000"/>
          <w:sz w:val="24"/>
        </w:rPr>
        <w:t>4.1. بين استعمار البيانات وتوجيه السلوك</w:t>
      </w:r>
      <w:bookmarkEnd w:id="14"/>
    </w:p>
    <w:p w14:paraId="334DCD37" w14:textId="77777777" w:rsidR="00136201" w:rsidRDefault="00000000">
      <w:pPr>
        <w:spacing w:after="210" w:line="360" w:lineRule="auto"/>
      </w:pPr>
      <w:r>
        <w:rPr>
          <w:rFonts w:ascii="source serif 4" w:eastAsia="source serif 4" w:hAnsi="source serif 4" w:cs="source serif 4"/>
          <w:color w:val="000000"/>
        </w:rPr>
        <w:t xml:space="preserve">يشير استعمار البيانات، في طرح </w:t>
      </w:r>
      <w:proofErr w:type="spellStart"/>
      <w:r>
        <w:rPr>
          <w:rFonts w:ascii="source serif 4" w:eastAsia="source serif 4" w:hAnsi="source serif 4" w:cs="source serif 4"/>
          <w:color w:val="000000"/>
        </w:rPr>
        <w:t>كولدري</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وميخياس</w:t>
      </w:r>
      <w:proofErr w:type="spellEnd"/>
      <w:r>
        <w:rPr>
          <w:rFonts w:ascii="source serif 4" w:eastAsia="source serif 4" w:hAnsi="source serif 4" w:cs="source serif 4"/>
          <w:color w:val="000000"/>
        </w:rPr>
        <w:t>، إلى نمط من الاستحواذ تُحوَّل فيه الحياة اليومية إلى تدفقات بيانات تدخل في التراكم الاقتصادي. أما «الاستعمار الخوارزمي»، فيمكن استخدامه داخل هذا البحث مفهومًا إجرائيًا أضيق، للدلالة على علاقات غير متكافئة تتداخل فيها عملية استخراج البيانات مع ترتيب المحتوى وتوجيه فرص الظهور والتفاعل. وهذا التحديد المقترح يستفيد من مفهوم استعمار البيانات، لكنه لا يدّعي التطابق معه.</w:t>
      </w:r>
      <w:bookmarkStart w:id="15" w:name="fnref6"/>
      <w:bookmarkEnd w:id="15"/>
      <w:r>
        <w:fldChar w:fldCharType="begin"/>
      </w:r>
      <w:r>
        <w:instrText>HYPERLINK \l "fn6" \h</w:instrText>
      </w:r>
      <w:r>
        <w:fldChar w:fldCharType="separate"/>
      </w:r>
      <w:r>
        <w:rPr>
          <w:rFonts w:ascii="source sans 3" w:eastAsia="source sans 3" w:hAnsi="source sans 3" w:cs="source sans 3"/>
          <w:u w:val="single"/>
          <w:vertAlign w:val="superscript"/>
        </w:rPr>
        <w:t>[6]</w:t>
      </w:r>
      <w:r>
        <w:fldChar w:fldCharType="end"/>
      </w:r>
      <w:bookmarkStart w:id="16" w:name="fnref4_2"/>
      <w:bookmarkEnd w:id="16"/>
      <w:r>
        <w:fldChar w:fldCharType="begin"/>
      </w:r>
      <w:r>
        <w:instrText>HYPERLINK \l "fn4" \h</w:instrText>
      </w:r>
      <w:r>
        <w:fldChar w:fldCharType="separate"/>
      </w:r>
      <w:r>
        <w:rPr>
          <w:rFonts w:ascii="source sans 3" w:eastAsia="source sans 3" w:hAnsi="source sans 3" w:cs="source sans 3"/>
          <w:u w:val="single"/>
          <w:vertAlign w:val="superscript"/>
        </w:rPr>
        <w:t>[4]</w:t>
      </w:r>
      <w:r>
        <w:fldChar w:fldCharType="end"/>
      </w:r>
    </w:p>
    <w:p w14:paraId="4AC6880D" w14:textId="77777777" w:rsidR="00136201" w:rsidRDefault="00000000">
      <w:pPr>
        <w:spacing w:after="210" w:line="360" w:lineRule="auto"/>
      </w:pPr>
      <w:r>
        <w:rPr>
          <w:rFonts w:ascii="source serif 4" w:eastAsia="source serif 4" w:hAnsi="source serif 4" w:cs="source serif 4"/>
          <w:color w:val="000000"/>
        </w:rPr>
        <w:t>ولا يستلزم ذلك اعتبار كل خوارزمية أداة استعمار؛ فموضع النقد ليس وجود إجراء حسابي، بل طبيعة العلاقة التي تنتظم حوله: من يضع أهدافه؟ ومن يملك بياناته؟ وما الذي يستطيع المستخدم معرفته أو الاعتراض عليه؟</w:t>
      </w:r>
    </w:p>
    <w:p w14:paraId="3D5E4918" w14:textId="77777777" w:rsidR="00136201" w:rsidRDefault="00000000">
      <w:pPr>
        <w:spacing w:after="210" w:line="360" w:lineRule="auto"/>
      </w:pPr>
      <w:r>
        <w:rPr>
          <w:rFonts w:ascii="source serif 4" w:eastAsia="source serif 4" w:hAnsi="source serif 4" w:cs="source serif 4"/>
          <w:color w:val="000000"/>
        </w:rPr>
        <w:t>وبهذا يصبح استعمال المصطلح مشروطًا بإظهار آليات محددة، بدل الاكتفاء بقوته التعبيرية.</w:t>
      </w:r>
    </w:p>
    <w:p w14:paraId="6526E68C" w14:textId="77777777" w:rsidR="00136201" w:rsidRDefault="00000000">
      <w:pPr>
        <w:spacing w:before="315" w:after="105" w:line="360" w:lineRule="auto"/>
        <w:ind w:left="-30"/>
      </w:pPr>
      <w:bookmarkStart w:id="17" w:name="bm_4_2_حدود_الاستعارة_الاستعمارية"/>
      <w:r>
        <w:rPr>
          <w:rFonts w:ascii="source serif 4" w:eastAsia="source serif 4" w:hAnsi="source serif 4" w:cs="source serif 4"/>
          <w:b/>
          <w:color w:val="000000"/>
          <w:sz w:val="24"/>
        </w:rPr>
        <w:t>4.2. حدود الاستعارة الاستعمارية</w:t>
      </w:r>
      <w:bookmarkEnd w:id="17"/>
    </w:p>
    <w:p w14:paraId="206777FB" w14:textId="77777777" w:rsidR="00136201" w:rsidRDefault="00000000">
      <w:pPr>
        <w:spacing w:after="210" w:line="360" w:lineRule="auto"/>
      </w:pPr>
      <w:r>
        <w:rPr>
          <w:rFonts w:ascii="source serif 4" w:eastAsia="source serif 4" w:hAnsi="source serif 4" w:cs="source serif 4"/>
          <w:color w:val="000000"/>
        </w:rPr>
        <w:t>تساعد الاستعارة الاستعمارية على إبراز عدم تكافؤ القوة والاستحواذ على الموارد الاجتماعية، لكنها لا تعني تطابق السيطرة الرقمية مع الاستعمار التاريخي في أدواته وآثاره. وتقوم أطروحة استعمار البيانات نفسها على إقامة علاقة تحليلية بين الاستحواذ التاريخي على الموارد والاستحواذ المعاصر على الحياة عبر البيانات؛ ولذلك ينبغي بيان أوجه المقارنة وحدودها، لا تحويل التشابه إلى مساواة شاملة.</w:t>
      </w:r>
      <w:bookmarkStart w:id="18" w:name="fnref7"/>
      <w:bookmarkEnd w:id="18"/>
      <w:r>
        <w:fldChar w:fldCharType="begin"/>
      </w:r>
      <w:r>
        <w:instrText>HYPERLINK \l "fn7" \h</w:instrText>
      </w:r>
      <w:r>
        <w:fldChar w:fldCharType="separate"/>
      </w:r>
      <w:r>
        <w:rPr>
          <w:rFonts w:ascii="source sans 3" w:eastAsia="source sans 3" w:hAnsi="source sans 3" w:cs="source sans 3"/>
          <w:u w:val="single"/>
          <w:vertAlign w:val="superscript"/>
        </w:rPr>
        <w:t>[7]</w:t>
      </w:r>
      <w:r>
        <w:fldChar w:fldCharType="end"/>
      </w:r>
      <w:bookmarkStart w:id="19" w:name="fnref4_3"/>
      <w:bookmarkEnd w:id="19"/>
      <w:r>
        <w:fldChar w:fldCharType="begin"/>
      </w:r>
      <w:r>
        <w:instrText>HYPERLINK \l "fn4" \h</w:instrText>
      </w:r>
      <w:r>
        <w:fldChar w:fldCharType="separate"/>
      </w:r>
      <w:r>
        <w:rPr>
          <w:rFonts w:ascii="source sans 3" w:eastAsia="source sans 3" w:hAnsi="source sans 3" w:cs="source sans 3"/>
          <w:u w:val="single"/>
          <w:vertAlign w:val="superscript"/>
        </w:rPr>
        <w:t>[4]</w:t>
      </w:r>
      <w:r>
        <w:fldChar w:fldCharType="end"/>
      </w:r>
    </w:p>
    <w:p w14:paraId="3C7299F9" w14:textId="77777777" w:rsidR="00136201" w:rsidRDefault="00000000">
      <w:pPr>
        <w:spacing w:after="210" w:line="360" w:lineRule="auto"/>
      </w:pPr>
      <w:r>
        <w:rPr>
          <w:rFonts w:ascii="source serif 4" w:eastAsia="source serif 4" w:hAnsi="source serif 4" w:cs="source serif 4"/>
          <w:color w:val="000000"/>
        </w:rPr>
        <w:t>وتقوى الحجة حين تحدد ما يُستحوذ عليه، وكيف تُستخرج قيمته، ومن يستفيد منه، وما إمكانات الرفض أو الخروج؛ وتضعف حين تجعل كل علاقة بالتقنية صورة واحدة من صور الإخضاع.</w:t>
      </w:r>
    </w:p>
    <w:p w14:paraId="1389AB5E" w14:textId="77777777" w:rsidR="00136201" w:rsidRDefault="00000000">
      <w:pPr>
        <w:spacing w:before="315" w:after="105" w:line="360" w:lineRule="auto"/>
        <w:ind w:left="-30"/>
      </w:pPr>
      <w:bookmarkStart w:id="20" w:name="bm_5_سيادة_الانتباه_من_شعار_التحر_550b89"/>
      <w:r>
        <w:rPr>
          <w:rFonts w:ascii="source serif 4" w:eastAsia="source serif 4" w:hAnsi="source serif 4" w:cs="source serif 4"/>
          <w:b/>
          <w:color w:val="000000"/>
          <w:sz w:val="24"/>
        </w:rPr>
        <w:t>5. سيادة الانتباه: من شعار التحرر إلى مفهوم قابل للفحص</w:t>
      </w:r>
      <w:bookmarkEnd w:id="20"/>
    </w:p>
    <w:p w14:paraId="237FFAAF" w14:textId="77777777" w:rsidR="00136201" w:rsidRDefault="00000000">
      <w:pPr>
        <w:spacing w:before="315" w:after="105" w:line="360" w:lineRule="auto"/>
        <w:ind w:left="-30"/>
      </w:pPr>
      <w:bookmarkStart w:id="21" w:name="bm_5_1_الانتباه_بوصفه_مجالًا_للفاعلية"/>
      <w:r>
        <w:rPr>
          <w:rFonts w:ascii="source serif 4" w:eastAsia="source serif 4" w:hAnsi="source serif 4" w:cs="source serif 4"/>
          <w:b/>
          <w:color w:val="000000"/>
          <w:sz w:val="24"/>
        </w:rPr>
        <w:t>5.1. الانتباه بوصفه مجالًا للفاعلية</w:t>
      </w:r>
      <w:bookmarkEnd w:id="21"/>
    </w:p>
    <w:p w14:paraId="7FC0D4A0" w14:textId="77777777" w:rsidR="00136201" w:rsidRDefault="00000000">
      <w:pPr>
        <w:spacing w:after="210" w:line="360" w:lineRule="auto"/>
      </w:pPr>
      <w:r>
        <w:rPr>
          <w:rFonts w:ascii="source serif 4" w:eastAsia="source serif 4" w:hAnsi="source serif 4" w:cs="source serif 4"/>
          <w:color w:val="000000"/>
        </w:rPr>
        <w:t>يمكن تعريف سيادة الانتباه، في هذا البحث، بأنها قدرة الفرد على تنظيم انخراطه الرقمي بما ينسجم بدرجة معقولة مع أهدافه وقيمه، مع إدراك حدود هذه القدرة وشروطها البيئية. وهي بهذا المعنى ليست سيطرة مطلقة على الذهن، بل فاعلية قابلة للتنمية والتعثر والتقويم.</w:t>
      </w:r>
    </w:p>
    <w:p w14:paraId="23AA0227" w14:textId="77777777" w:rsidR="00136201" w:rsidRDefault="00000000">
      <w:pPr>
        <w:spacing w:after="210" w:line="360" w:lineRule="auto"/>
      </w:pPr>
      <w:r>
        <w:rPr>
          <w:rFonts w:ascii="source serif 4" w:eastAsia="source serif 4" w:hAnsi="source serif 4" w:cs="source serif 4"/>
          <w:color w:val="000000"/>
        </w:rPr>
        <w:t>ويقترح تحليلها عبر ثلاثة أبعاد:</w:t>
      </w:r>
    </w:p>
    <w:p w14:paraId="4C214797" w14:textId="77777777" w:rsidR="00136201" w:rsidRDefault="00000000">
      <w:pPr>
        <w:numPr>
          <w:ilvl w:val="0"/>
          <w:numId w:val="2"/>
        </w:numPr>
        <w:spacing w:before="105" w:after="105" w:line="360" w:lineRule="auto"/>
      </w:pPr>
      <w:r>
        <w:rPr>
          <w:rFonts w:ascii="source serif 4" w:eastAsia="source serif 4" w:hAnsi="source serif 4" w:cs="source serif 4"/>
          <w:color w:val="000000"/>
        </w:rPr>
        <w:t>بعد معرفي: إدراك كيفية ترتيب المحتوى، والتمييز بين الحاجة الأصلية والدافع الذي ينشأ أثناء التصفح.</w:t>
      </w:r>
    </w:p>
    <w:p w14:paraId="33C45940" w14:textId="77777777" w:rsidR="00136201" w:rsidRDefault="00000000">
      <w:pPr>
        <w:numPr>
          <w:ilvl w:val="0"/>
          <w:numId w:val="2"/>
        </w:numPr>
        <w:spacing w:before="105" w:after="105" w:line="360" w:lineRule="auto"/>
      </w:pPr>
      <w:r>
        <w:rPr>
          <w:rFonts w:ascii="source serif 4" w:eastAsia="source serif 4" w:hAnsi="source serif 4" w:cs="source serif 4"/>
          <w:color w:val="000000"/>
        </w:rPr>
        <w:t>بعد سلوكي: إمكان بدء الاستخدام وإنهائه أو تغييره وفق مقصد محدد.</w:t>
      </w:r>
    </w:p>
    <w:p w14:paraId="0EA0CD96" w14:textId="77777777" w:rsidR="00136201" w:rsidRDefault="00000000">
      <w:pPr>
        <w:numPr>
          <w:ilvl w:val="0"/>
          <w:numId w:val="2"/>
        </w:numPr>
        <w:spacing w:before="105" w:after="105" w:line="360" w:lineRule="auto"/>
      </w:pPr>
      <w:r>
        <w:rPr>
          <w:rFonts w:ascii="source serif 4" w:eastAsia="source serif 4" w:hAnsi="source serif 4" w:cs="source serif 4"/>
          <w:color w:val="000000"/>
        </w:rPr>
        <w:t>بعد معياري: تقويم الاستخدام بحسب علاقته بالتعلم والعمل والعلاقات والراحة، لا بحسب المدة وحدها.</w:t>
      </w:r>
    </w:p>
    <w:p w14:paraId="49FBA518" w14:textId="77777777" w:rsidR="00136201" w:rsidRDefault="00000000">
      <w:pPr>
        <w:spacing w:after="210" w:line="360" w:lineRule="auto"/>
      </w:pPr>
      <w:r>
        <w:rPr>
          <w:rFonts w:ascii="source serif 4" w:eastAsia="source serif 4" w:hAnsi="source serif 4" w:cs="source serif 4"/>
          <w:color w:val="000000"/>
        </w:rPr>
        <w:t>ويمثل هذا التعريف تطويرًا إجرائيًا مقترحًا لفكرة استعادة الانتباه التي تحتل موقعًا مركزيًا في المادة الأصلية.</w:t>
      </w:r>
      <w:bookmarkStart w:id="22" w:name="fnref1_1"/>
      <w:bookmarkEnd w:id="22"/>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p w14:paraId="55F96CFF" w14:textId="77777777" w:rsidR="00136201" w:rsidRDefault="00000000">
      <w:pPr>
        <w:spacing w:before="315" w:after="105" w:line="360" w:lineRule="auto"/>
        <w:ind w:left="-30"/>
      </w:pPr>
      <w:bookmarkStart w:id="23" w:name="bm_5_2_لماذا_لا_يكفي_تقليل_وقت_الشاشة"/>
      <w:r>
        <w:rPr>
          <w:rFonts w:ascii="source serif 4" w:eastAsia="source serif 4" w:hAnsi="source serif 4" w:cs="source serif 4"/>
          <w:b/>
          <w:color w:val="000000"/>
          <w:sz w:val="24"/>
        </w:rPr>
        <w:t>5.2. لماذا لا يكفي تقليل وقت الشاشة؟</w:t>
      </w:r>
      <w:bookmarkEnd w:id="23"/>
    </w:p>
    <w:p w14:paraId="5CD76653" w14:textId="77777777" w:rsidR="00136201" w:rsidRDefault="00000000">
      <w:pPr>
        <w:spacing w:after="210" w:line="360" w:lineRule="auto"/>
      </w:pPr>
      <w:r>
        <w:rPr>
          <w:rFonts w:ascii="source serif 4" w:eastAsia="source serif 4" w:hAnsi="source serif 4" w:cs="source serif 4"/>
          <w:color w:val="000000"/>
        </w:rPr>
        <w:t xml:space="preserve">لا تسند الأدلة صيغة عامة مؤداها أن الامتناع عن وسائل التواصل يحسن الرفاه دائمًا. فقد وجدت مراجعة منهجية وتحليل تلوي عن الامتناع المؤقت نتائج غير متسقة، ولم يظهر أثر مجمّع دال على الرضا عن الحياة. في المقابل، وجد تحليل تلوي أوسع لتجارب تقييد الاستخدام أو الامتناع عنه تحسنًا صغيرًا في الرفاه الذاتي، بحجم أثر مجمّع بلغ نحو </w:t>
      </w:r>
      <m:oMath>
        <m:r>
          <w:rPr>
            <w:rFonts w:ascii="Cambria Math" w:hAnsi="Cambria Math"/>
            <w:color w:val="000000"/>
          </w:rPr>
          <m:t>g</m:t>
        </m:r>
        <m:r>
          <m:rPr>
            <m:sty m:val="p"/>
          </m:rPr>
          <w:rPr>
            <w:rFonts w:ascii="Cambria Math" w:hAnsi="Cambria Math"/>
            <w:color w:val="000000"/>
          </w:rPr>
          <m:t>=0.17</m:t>
        </m:r>
      </m:oMath>
      <w:r>
        <w:rPr>
          <w:rFonts w:ascii="source serif 4" w:eastAsia="source serif 4" w:hAnsi="source serif 4" w:cs="source serif 4"/>
          <w:color w:val="000000"/>
        </w:rPr>
        <w:t>. وتختلف المراجعتان في نطاق التدخلات والدراسات المشمولة، ولذلك لا ينبغي التعامل معهما بوصفهما إجابة واحدة متطابقة.</w:t>
      </w:r>
      <w:bookmarkStart w:id="24" w:name="fnref8"/>
      <w:bookmarkEnd w:id="24"/>
      <w:r>
        <w:fldChar w:fldCharType="begin"/>
      </w:r>
      <w:r>
        <w:instrText>HYPERLINK \l "fn8" \h</w:instrText>
      </w:r>
      <w:r>
        <w:fldChar w:fldCharType="separate"/>
      </w:r>
      <w:r>
        <w:rPr>
          <w:rFonts w:ascii="source sans 3" w:eastAsia="source sans 3" w:hAnsi="source sans 3" w:cs="source sans 3"/>
          <w:u w:val="single"/>
          <w:vertAlign w:val="superscript"/>
        </w:rPr>
        <w:t>[8]</w:t>
      </w:r>
      <w:r>
        <w:fldChar w:fldCharType="end"/>
      </w:r>
      <w:bookmarkStart w:id="25" w:name="fnref9"/>
      <w:bookmarkEnd w:id="25"/>
      <w:r>
        <w:fldChar w:fldCharType="begin"/>
      </w:r>
      <w:r>
        <w:instrText>HYPERLINK \l "fn9" \h</w:instrText>
      </w:r>
      <w:r>
        <w:fldChar w:fldCharType="separate"/>
      </w:r>
      <w:r>
        <w:rPr>
          <w:rFonts w:ascii="source sans 3" w:eastAsia="source sans 3" w:hAnsi="source sans 3" w:cs="source sans 3"/>
          <w:u w:val="single"/>
          <w:vertAlign w:val="superscript"/>
        </w:rPr>
        <w:t>[9]</w:t>
      </w:r>
      <w:r>
        <w:fldChar w:fldCharType="end"/>
      </w:r>
    </w:p>
    <w:p w14:paraId="4E7D6960" w14:textId="77777777" w:rsidR="00136201" w:rsidRDefault="00000000">
      <w:pPr>
        <w:spacing w:after="210" w:line="360" w:lineRule="auto"/>
      </w:pPr>
      <w:r>
        <w:rPr>
          <w:rFonts w:ascii="source serif 4" w:eastAsia="source serif 4" w:hAnsi="source serif 4" w:cs="source serif 4"/>
          <w:color w:val="000000"/>
        </w:rPr>
        <w:t>ويترتب على ذلك أن «الصوم الرقمي» يمكن أن يُبحث بوصفه أداة محتملة، لا وصفة عامة. والأدق أن تُقوَّم فائدته بحسب الشخص والسياق والغاية والنشاط الذي يحل محل الاستخدام، بدل افتراض أن الانقطاع قيمة نفسية قائمة بذاتها.</w:t>
      </w:r>
    </w:p>
    <w:p w14:paraId="3C405EF1" w14:textId="77777777" w:rsidR="00136201" w:rsidRDefault="00000000">
      <w:pPr>
        <w:spacing w:before="315" w:after="105" w:line="360" w:lineRule="auto"/>
        <w:ind w:left="-30"/>
      </w:pPr>
      <w:bookmarkStart w:id="26" w:name="bm_6_المرجعية_المتعالية_والفجوة_الرمزية"/>
      <w:r>
        <w:rPr>
          <w:rFonts w:ascii="source serif 4" w:eastAsia="source serif 4" w:hAnsi="source serif 4" w:cs="source serif 4"/>
          <w:b/>
          <w:color w:val="000000"/>
          <w:sz w:val="24"/>
        </w:rPr>
        <w:t>6. المرجعية المتعالية والفجوة الرمزية</w:t>
      </w:r>
      <w:bookmarkEnd w:id="26"/>
    </w:p>
    <w:p w14:paraId="0C871FF1" w14:textId="77777777" w:rsidR="00136201" w:rsidRDefault="00000000">
      <w:pPr>
        <w:spacing w:before="315" w:after="105" w:line="360" w:lineRule="auto"/>
        <w:ind w:left="-30"/>
      </w:pPr>
      <w:bookmarkStart w:id="27" w:name="bm_6_1_إعادة_بناء_المفهوم"/>
      <w:r>
        <w:rPr>
          <w:rFonts w:ascii="source serif 4" w:eastAsia="source serif 4" w:hAnsi="source serif 4" w:cs="source serif 4"/>
          <w:b/>
          <w:color w:val="000000"/>
          <w:sz w:val="24"/>
        </w:rPr>
        <w:t>6.1. إعادة بناء المفهوم</w:t>
      </w:r>
      <w:bookmarkEnd w:id="27"/>
    </w:p>
    <w:p w14:paraId="36E1129B" w14:textId="77777777" w:rsidR="00136201" w:rsidRDefault="00000000">
      <w:pPr>
        <w:spacing w:after="210" w:line="360" w:lineRule="auto"/>
      </w:pPr>
      <w:r>
        <w:rPr>
          <w:rFonts w:ascii="source serif 4" w:eastAsia="source serif 4" w:hAnsi="source serif 4" w:cs="source serif 4"/>
          <w:color w:val="000000"/>
        </w:rPr>
        <w:t xml:space="preserve">يستخدم الزراع مفهوم «الفجوة الرمزية» في قراءة للعلاقة بين الذات والرغبة والتخصيص الخوارزمي، ويرى أن الوحي يتيح أفقًا يتجاوز إعادة إنتاج التاريخ السلوكي للفرد. ويضع هذه الفكرة في حوار مع مفهوم الآخر الكبير عند </w:t>
      </w:r>
      <w:proofErr w:type="spellStart"/>
      <w:r>
        <w:rPr>
          <w:rFonts w:ascii="source serif 4" w:eastAsia="source serif 4" w:hAnsi="source serif 4" w:cs="source serif 4"/>
          <w:color w:val="000000"/>
        </w:rPr>
        <w:t>لاكان</w:t>
      </w:r>
      <w:proofErr w:type="spellEnd"/>
      <w:r>
        <w:rPr>
          <w:rFonts w:ascii="source serif 4" w:eastAsia="source serif 4" w:hAnsi="source serif 4" w:cs="source serif 4"/>
          <w:color w:val="000000"/>
        </w:rPr>
        <w:t xml:space="preserve">. وينبغي نسبة هذا الربط إلى القراءة التي يقترحها الزراع، لا تقديمه بوصفه تطابقًا بين المفهوم </w:t>
      </w:r>
      <w:proofErr w:type="spellStart"/>
      <w:r>
        <w:rPr>
          <w:rFonts w:ascii="source serif 4" w:eastAsia="source serif 4" w:hAnsi="source serif 4" w:cs="source serif 4"/>
          <w:color w:val="000000"/>
        </w:rPr>
        <w:t>اللاكاني</w:t>
      </w:r>
      <w:proofErr w:type="spellEnd"/>
      <w:r>
        <w:rPr>
          <w:rFonts w:ascii="source serif 4" w:eastAsia="source serif 4" w:hAnsi="source serif 4" w:cs="source serif 4"/>
          <w:color w:val="000000"/>
        </w:rPr>
        <w:t xml:space="preserve"> والتصور الاستخلافي.</w:t>
      </w:r>
      <w:bookmarkStart w:id="28" w:name="fnref3_2"/>
      <w:bookmarkEnd w:id="28"/>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p>
    <w:p w14:paraId="739384AB" w14:textId="77777777" w:rsidR="00136201" w:rsidRDefault="00000000">
      <w:pPr>
        <w:spacing w:after="210" w:line="360" w:lineRule="auto"/>
      </w:pPr>
      <w:r>
        <w:rPr>
          <w:rFonts w:ascii="source serif 4" w:eastAsia="source serif 4" w:hAnsi="source serif 4" w:cs="source serif 4"/>
          <w:color w:val="000000"/>
        </w:rPr>
        <w:t>ولغرض الوضوح، يمكن أن تُعرَّف الفجوة الرمزية في البحث بأنها المسافة التأويلية التي تتيح للفرد ألا يتماهى مباشرة مع ما يشعر به أو يشاهده أو يتلقاه من تقييم. وبذلك تفصل بين مستويات ثلاثة:</w:t>
      </w:r>
    </w:p>
    <w:p w14:paraId="7D559572" w14:textId="77777777" w:rsidR="00136201" w:rsidRDefault="00000000">
      <w:pPr>
        <w:numPr>
          <w:ilvl w:val="0"/>
          <w:numId w:val="3"/>
        </w:numPr>
        <w:spacing w:before="105" w:after="105" w:line="360" w:lineRule="auto"/>
      </w:pPr>
      <w:r>
        <w:rPr>
          <w:rFonts w:ascii="source serif 4" w:eastAsia="source serif 4" w:hAnsi="source serif 4" w:cs="source serif 4"/>
          <w:color w:val="000000"/>
        </w:rPr>
        <w:t>وجود الرغبة.</w:t>
      </w:r>
    </w:p>
    <w:p w14:paraId="575323E2" w14:textId="77777777" w:rsidR="00136201" w:rsidRDefault="00000000">
      <w:pPr>
        <w:numPr>
          <w:ilvl w:val="0"/>
          <w:numId w:val="3"/>
        </w:numPr>
        <w:spacing w:before="105" w:after="105" w:line="360" w:lineRule="auto"/>
      </w:pPr>
      <w:r>
        <w:rPr>
          <w:rFonts w:ascii="source serif 4" w:eastAsia="source serif 4" w:hAnsi="source serif 4" w:cs="source serif 4"/>
          <w:color w:val="000000"/>
        </w:rPr>
        <w:t>تفسير الرغبة.</w:t>
      </w:r>
    </w:p>
    <w:p w14:paraId="2B947D7A" w14:textId="77777777" w:rsidR="00136201" w:rsidRDefault="00000000">
      <w:pPr>
        <w:numPr>
          <w:ilvl w:val="0"/>
          <w:numId w:val="3"/>
        </w:numPr>
        <w:spacing w:before="105" w:after="105" w:line="360" w:lineRule="auto"/>
      </w:pPr>
      <w:r>
        <w:rPr>
          <w:rFonts w:ascii="source serif 4" w:eastAsia="source serif 4" w:hAnsi="source serif 4" w:cs="source serif 4"/>
          <w:color w:val="000000"/>
        </w:rPr>
        <w:t>اتخاذ موقف عملي منها.</w:t>
      </w:r>
    </w:p>
    <w:p w14:paraId="7A9E8C21" w14:textId="77777777" w:rsidR="00136201" w:rsidRDefault="00000000">
      <w:pPr>
        <w:spacing w:after="210" w:line="360" w:lineRule="auto"/>
      </w:pPr>
      <w:r>
        <w:rPr>
          <w:rFonts w:ascii="source serif 4" w:eastAsia="source serif 4" w:hAnsi="source serif 4" w:cs="source serif 4"/>
          <w:color w:val="000000"/>
        </w:rPr>
        <w:t>فليس كل ما يثير الانتباه جديرًا بالمتابعة، وليس كل ميل آني تعبيرًا كاملًا عن هوية صاحبه.</w:t>
      </w:r>
    </w:p>
    <w:p w14:paraId="2F72D3E3" w14:textId="77777777" w:rsidR="00136201" w:rsidRDefault="00000000">
      <w:pPr>
        <w:spacing w:before="315" w:after="105" w:line="360" w:lineRule="auto"/>
        <w:ind w:left="-30"/>
      </w:pPr>
      <w:bookmarkStart w:id="29" w:name="bm_6_2_الوحي_بوصفه_مرجعية_للتقويم"/>
      <w:r>
        <w:rPr>
          <w:rFonts w:ascii="source serif 4" w:eastAsia="source serif 4" w:hAnsi="source serif 4" w:cs="source serif 4"/>
          <w:b/>
          <w:color w:val="000000"/>
          <w:sz w:val="24"/>
        </w:rPr>
        <w:t>6.2. الوحي بوصفه مرجعية للتقويم</w:t>
      </w:r>
      <w:bookmarkEnd w:id="29"/>
    </w:p>
    <w:p w14:paraId="633775B8" w14:textId="77777777" w:rsidR="00136201" w:rsidRDefault="00000000">
      <w:pPr>
        <w:spacing w:after="210" w:line="360" w:lineRule="auto"/>
      </w:pPr>
      <w:r>
        <w:rPr>
          <w:rFonts w:ascii="source serif 4" w:eastAsia="source serif 4" w:hAnsi="source serif 4" w:cs="source serif 4"/>
          <w:color w:val="000000"/>
        </w:rPr>
        <w:t>في الإطار الاستخلافي، يُفهم الوحي بوصفه مرجعية تمنح الفعل أفقًا يتجاوز العائد المباشر. وتكمن الفكرة التحليلية هنا في إمكان تقويم السلوك بمعيار لا يستمد قيمته من الشعبية أو الانتشار أو الربح وحدها. وهذه وظيفة معيارية كما يعرضها صاحب المشروع، أما مقدار انعكاسها على الانتباه أو مقاومة الاندفاع فهو سؤال يحتاج إلى اختبار مستقل.</w:t>
      </w:r>
      <w:bookmarkStart w:id="30" w:name="fnref3_3"/>
      <w:bookmarkEnd w:id="30"/>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p>
    <w:p w14:paraId="61ABEDE8" w14:textId="77777777" w:rsidR="00136201" w:rsidRDefault="00000000">
      <w:pPr>
        <w:spacing w:after="210" w:line="360" w:lineRule="auto"/>
      </w:pPr>
      <w:r>
        <w:rPr>
          <w:rFonts w:ascii="source serif 4" w:eastAsia="source serif 4" w:hAnsi="source serif 4" w:cs="source serif 4"/>
          <w:color w:val="000000"/>
        </w:rPr>
        <w:t>ويقترح البحث، تبعًا لذلك، عدم قياس المرجعية الدينية بمجرد إعلان الانتماء إليها، بل دراسة كيفية ترجمتها إلى ممارسات: هل تزيد المراجعة الذاتية؟ هل تسمح بتصحيح الخطأ؟ هل تدعم احترام الآخرين؟ وهل تقترن بفاعلية عملية؟</w:t>
      </w:r>
    </w:p>
    <w:p w14:paraId="1BD2C3DC" w14:textId="77777777" w:rsidR="00136201" w:rsidRDefault="00000000">
      <w:pPr>
        <w:spacing w:before="315" w:after="105" w:line="360" w:lineRule="auto"/>
        <w:ind w:left="-30"/>
      </w:pPr>
      <w:bookmarkStart w:id="31" w:name="bm_6_3_ضبط_الاستدلال_بمبرهنتي_غودل"/>
      <w:r>
        <w:rPr>
          <w:rFonts w:ascii="source serif 4" w:eastAsia="source serif 4" w:hAnsi="source serif 4" w:cs="source serif 4"/>
          <w:b/>
          <w:color w:val="000000"/>
          <w:sz w:val="24"/>
        </w:rPr>
        <w:t xml:space="preserve">6.3. ضبط الاستدلال بمبرهنتي </w:t>
      </w:r>
      <w:proofErr w:type="spellStart"/>
      <w:r>
        <w:rPr>
          <w:rFonts w:ascii="source serif 4" w:eastAsia="source serif 4" w:hAnsi="source serif 4" w:cs="source serif 4"/>
          <w:b/>
          <w:color w:val="000000"/>
          <w:sz w:val="24"/>
        </w:rPr>
        <w:t>غودل</w:t>
      </w:r>
      <w:bookmarkEnd w:id="31"/>
      <w:proofErr w:type="spellEnd"/>
    </w:p>
    <w:p w14:paraId="7FB09BF2" w14:textId="77777777" w:rsidR="00136201" w:rsidRDefault="00000000">
      <w:pPr>
        <w:spacing w:after="210" w:line="360" w:lineRule="auto"/>
      </w:pPr>
      <w:r>
        <w:rPr>
          <w:rFonts w:ascii="source serif 4" w:eastAsia="source serif 4" w:hAnsi="source serif 4" w:cs="source serif 4"/>
          <w:color w:val="000000"/>
        </w:rPr>
        <w:t>يربط مقال «الإنسان بين الخوارزمية والوحي» بين حدود النظام الصوري ومفهوم «الفاقة الأصلية». غير أن هذا الربط، في البناء البحثي المقترح، ينبغي عرضه بوصفه تشبيهًا فلسفيًا يستدعي مناقشة مستقلة، لا برهانًا رياضيًا مباشرًا على طبيعة الإنسان أو استحالة استقلال الذكاء الاصطناعي. فالمقال ينتقل بالفعل من مسألة معرفية إلى تأويل وجودي، وهو انتقال يحتاج إلى التصريح بمقدماته بدل إخفائها تحت سلطة المصطلح الرياضي.</w:t>
      </w:r>
      <w:bookmarkStart w:id="32" w:name="fnref3_4"/>
      <w:bookmarkEnd w:id="32"/>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p>
    <w:p w14:paraId="355B88A1" w14:textId="77777777" w:rsidR="00136201" w:rsidRDefault="00000000">
      <w:pPr>
        <w:spacing w:before="315" w:after="105" w:line="360" w:lineRule="auto"/>
        <w:ind w:left="-30"/>
      </w:pPr>
      <w:bookmarkStart w:id="33" w:name="bm_7_الهوية_الاستخلافية_المسؤولية_1461b6"/>
      <w:r>
        <w:rPr>
          <w:rFonts w:ascii="source serif 4" w:eastAsia="source serif 4" w:hAnsi="source serif 4" w:cs="source serif 4"/>
          <w:b/>
          <w:color w:val="000000"/>
          <w:sz w:val="24"/>
        </w:rPr>
        <w:t>7. الهوية الاستخلافية: المسؤولية دون اختزال الإنسان في الأداء</w:t>
      </w:r>
      <w:bookmarkEnd w:id="33"/>
    </w:p>
    <w:p w14:paraId="139549C1" w14:textId="77777777" w:rsidR="00136201" w:rsidRDefault="00000000">
      <w:pPr>
        <w:spacing w:after="210" w:line="360" w:lineRule="auto"/>
      </w:pPr>
      <w:r>
        <w:rPr>
          <w:rFonts w:ascii="source serif 4" w:eastAsia="source serif 4" w:hAnsi="source serif 4" w:cs="source serif 4"/>
          <w:color w:val="000000"/>
        </w:rPr>
        <w:t>تربط المادة الأصلية الهوية الاستخلافية بالمعنى والمسؤولية والفاعلية، وتقابلها بهوية تتحدد بالصورة والاستهلاك والتفاعل الخارجي. ويمكن تعميق هذه الفكرة عبر التمييز بين قيمة الشخص، ومشروعاته، وتقدير الآخرين له؛ فهذه مستويات مترابطة، لكنها ليست شيئًا واحدًا.</w:t>
      </w:r>
      <w:bookmarkStart w:id="34" w:name="fnref1_2"/>
      <w:bookmarkEnd w:id="34"/>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p w14:paraId="613B2C9B" w14:textId="77777777" w:rsidR="00136201" w:rsidRDefault="00000000">
      <w:pPr>
        <w:spacing w:after="210" w:line="360" w:lineRule="auto"/>
      </w:pPr>
      <w:r>
        <w:rPr>
          <w:rFonts w:ascii="source serif 4" w:eastAsia="source serif 4" w:hAnsi="source serif 4" w:cs="source serif 4"/>
          <w:color w:val="000000"/>
        </w:rPr>
        <w:t>ويقترح البحث تعريف الهوية الاستخلافية بأنها تنظيم لفهم الذات حول المسؤولية والغاية والحدود الإنسانية، مع قابلية مراجعة الوسائل والتفسيرات. ويترتب على هذا التعريف قيدان:</w:t>
      </w:r>
    </w:p>
    <w:p w14:paraId="362B18B1" w14:textId="77777777" w:rsidR="00136201" w:rsidRDefault="00000000">
      <w:pPr>
        <w:numPr>
          <w:ilvl w:val="0"/>
          <w:numId w:val="4"/>
        </w:numPr>
        <w:spacing w:before="105" w:after="105" w:line="360" w:lineRule="auto"/>
      </w:pPr>
      <w:r>
        <w:rPr>
          <w:rFonts w:ascii="source serif 4" w:eastAsia="source serif 4" w:hAnsi="source serif 4" w:cs="source serif 4"/>
          <w:color w:val="000000"/>
        </w:rPr>
        <w:t>لا تُختزل قيمة الإنسان في إنتاجيته؛ وإلا عاد التصور الناقد إلى منطق الأداء الذي يعترض عليه.</w:t>
      </w:r>
    </w:p>
    <w:p w14:paraId="2E5F04BC" w14:textId="77777777" w:rsidR="00136201" w:rsidRDefault="00000000">
      <w:pPr>
        <w:numPr>
          <w:ilvl w:val="0"/>
          <w:numId w:val="4"/>
        </w:numPr>
        <w:spacing w:before="105" w:after="105" w:line="360" w:lineRule="auto"/>
      </w:pPr>
      <w:r>
        <w:rPr>
          <w:rFonts w:ascii="source serif 4" w:eastAsia="source serif 4" w:hAnsi="source serif 4" w:cs="source serif 4"/>
          <w:color w:val="000000"/>
        </w:rPr>
        <w:t>لا يعني الثبات رفض المراجعة؛ فقد يثبت الالتزام بقيمة ما بينما تتغير طريقة فهمها أو تطبيقها.</w:t>
      </w:r>
    </w:p>
    <w:p w14:paraId="0E457040" w14:textId="77777777" w:rsidR="00136201" w:rsidRDefault="00000000">
      <w:pPr>
        <w:spacing w:after="210" w:line="360" w:lineRule="auto"/>
      </w:pPr>
      <w:r>
        <w:rPr>
          <w:rFonts w:ascii="source serif 4" w:eastAsia="source serif 4" w:hAnsi="source serif 4" w:cs="source serif 4"/>
          <w:color w:val="000000"/>
        </w:rPr>
        <w:t>وبذلك لا تتحول الهوية إلى صورة مثالية يطالب الفرد نفسه بتحقيقها دائمًا، بل إلى إطار يتيح الاعتراف بالخطأ والتقصير والتعلم. وهذا تمييز ضروري حتى لا تصبح لغة المسؤولية مصدرًا إضافيًا للوم أو الإحساس بانعدام القيمة.</w:t>
      </w:r>
    </w:p>
    <w:p w14:paraId="18EFF376" w14:textId="77777777" w:rsidR="00136201" w:rsidRDefault="00000000">
      <w:pPr>
        <w:spacing w:before="315" w:after="105" w:line="360" w:lineRule="auto"/>
        <w:ind w:left="-30"/>
      </w:pPr>
      <w:bookmarkStart w:id="35" w:name="bm_8_المعنى_المكتشف_والمعنى_المبن_c1f8a2"/>
      <w:r>
        <w:rPr>
          <w:rFonts w:ascii="source serif 4" w:eastAsia="source serif 4" w:hAnsi="source serif 4" w:cs="source serif 4"/>
          <w:b/>
          <w:color w:val="000000"/>
          <w:sz w:val="24"/>
        </w:rPr>
        <w:t>8. المعنى المكتشف والمعنى المبني: نحو تمييز أكثر إنصافًا</w:t>
      </w:r>
      <w:bookmarkEnd w:id="35"/>
    </w:p>
    <w:p w14:paraId="485BAFC9" w14:textId="77777777" w:rsidR="00136201" w:rsidRDefault="00000000">
      <w:pPr>
        <w:spacing w:after="210" w:line="360" w:lineRule="auto"/>
      </w:pPr>
      <w:r>
        <w:rPr>
          <w:rFonts w:ascii="source serif 4" w:eastAsia="source serif 4" w:hAnsi="source serif 4" w:cs="source serif 4"/>
          <w:color w:val="000000"/>
        </w:rPr>
        <w:t xml:space="preserve">تمنح المسودة الأصلية المعنى «المكتشف» ثباتًا، وتقابل به معنى «مخترعًا» تصفه أحيانًا بالهشاشة </w:t>
      </w:r>
      <w:proofErr w:type="spellStart"/>
      <w:r>
        <w:rPr>
          <w:rFonts w:ascii="source serif 4" w:eastAsia="source serif 4" w:hAnsi="source serif 4" w:cs="source serif 4"/>
          <w:color w:val="000000"/>
        </w:rPr>
        <w:t>والمؤقتية</w:t>
      </w:r>
      <w:proofErr w:type="spellEnd"/>
      <w:r>
        <w:rPr>
          <w:rFonts w:ascii="source serif 4" w:eastAsia="source serif 4" w:hAnsi="source serif 4" w:cs="source serif 4"/>
          <w:color w:val="000000"/>
        </w:rPr>
        <w:t>. لكن هذه المقابلة تحتاج إلى إعادة صياغة؛ لأنها تجمع سؤال مصدر المعنى وسؤال تنظيم التجربة وسؤال الاستقرار النفسي في حكم واحد.</w:t>
      </w:r>
      <w:bookmarkStart w:id="36" w:name="fnref1_3"/>
      <w:bookmarkEnd w:id="36"/>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p w14:paraId="00739B86" w14:textId="77777777" w:rsidR="00136201" w:rsidRDefault="00000000">
      <w:pPr>
        <w:spacing w:after="210" w:line="360" w:lineRule="auto"/>
      </w:pPr>
      <w:r>
        <w:rPr>
          <w:rFonts w:ascii="source serif 4" w:eastAsia="source serif 4" w:hAnsi="source serif 4" w:cs="source serif 4"/>
          <w:color w:val="000000"/>
        </w:rPr>
        <w:t xml:space="preserve">كما أن فكرة اكتشاف المعنى ليست خاصة بالإطار الاستخلافي؛ إذ يعرض الشرح الجامعي لفكر </w:t>
      </w:r>
      <w:proofErr w:type="spellStart"/>
      <w:r>
        <w:rPr>
          <w:rFonts w:ascii="source serif 4" w:eastAsia="source serif 4" w:hAnsi="source serif 4" w:cs="source serif 4"/>
          <w:color w:val="000000"/>
        </w:rPr>
        <w:t>فرانكل</w:t>
      </w:r>
      <w:proofErr w:type="spellEnd"/>
      <w:r>
        <w:rPr>
          <w:rFonts w:ascii="source serif 4" w:eastAsia="source serif 4" w:hAnsi="source serif 4" w:cs="source serif 4"/>
          <w:color w:val="000000"/>
        </w:rPr>
        <w:t xml:space="preserve"> المعنى باعتباره شيئًا يُكتشف لا يُخترع. ولذلك ينبغي تحديد خصوصية التصور الاستخلافي في </w:t>
      </w:r>
      <w:proofErr w:type="spellStart"/>
      <w:r>
        <w:rPr>
          <w:rFonts w:ascii="source serif 4" w:eastAsia="source serif 4" w:hAnsi="source serif 4" w:cs="source serif 4"/>
          <w:color w:val="000000"/>
        </w:rPr>
        <w:t>مرجعيته</w:t>
      </w:r>
      <w:proofErr w:type="spellEnd"/>
      <w:r>
        <w:rPr>
          <w:rFonts w:ascii="source serif 4" w:eastAsia="source serif 4" w:hAnsi="source serif 4" w:cs="source serif 4"/>
          <w:color w:val="000000"/>
        </w:rPr>
        <w:t xml:space="preserve"> ومضمونه، لا في مجرد استعمال لفظ «الاكتشاف».</w:t>
      </w:r>
      <w:bookmarkStart w:id="37" w:name="fnref10"/>
      <w:bookmarkEnd w:id="37"/>
      <w:r>
        <w:fldChar w:fldCharType="begin"/>
      </w:r>
      <w:r>
        <w:instrText>HYPERLINK \l "fn10" \h</w:instrText>
      </w:r>
      <w:r>
        <w:fldChar w:fldCharType="separate"/>
      </w:r>
      <w:r>
        <w:rPr>
          <w:rFonts w:ascii="source sans 3" w:eastAsia="source sans 3" w:hAnsi="source sans 3" w:cs="source sans 3"/>
          <w:u w:val="single"/>
          <w:vertAlign w:val="superscript"/>
        </w:rPr>
        <w:t>[10]</w:t>
      </w:r>
      <w:r>
        <w:fldChar w:fldCharType="end"/>
      </w:r>
    </w:p>
    <w:p w14:paraId="6E220D90" w14:textId="77777777" w:rsidR="00136201" w:rsidRDefault="00000000">
      <w:pPr>
        <w:spacing w:after="210" w:line="360" w:lineRule="auto"/>
      </w:pPr>
      <w:r>
        <w:rPr>
          <w:rFonts w:ascii="source serif 4" w:eastAsia="source serif 4" w:hAnsi="source serif 4" w:cs="source serif 4"/>
          <w:color w:val="000000"/>
        </w:rPr>
        <w:t>والأدق التمييز بين ثلاثة أسئلة:</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981"/>
        <w:gridCol w:w="1962"/>
      </w:tblGrid>
      <w:tr w:rsidR="00136201" w14:paraId="7079818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B6F3BC2" w14:textId="77777777" w:rsidR="00136201" w:rsidRDefault="00000000">
            <w:pPr>
              <w:spacing w:line="360" w:lineRule="auto"/>
            </w:pPr>
            <w:r>
              <w:rPr>
                <w:rFonts w:ascii="source sans 3" w:eastAsia="source sans 3" w:hAnsi="source sans 3" w:cs="source sans 3"/>
                <w:color w:val="000000"/>
                <w:sz w:val="17"/>
              </w:rPr>
              <w:t>السؤال</w:t>
            </w:r>
          </w:p>
        </w:tc>
        <w:tc>
          <w:tcPr>
            <w:tcW w:w="0" w:type="auto"/>
            <w:tcBorders>
              <w:top w:val="single" w:sz="1" w:space="0" w:color="000000"/>
              <w:bottom w:val="single" w:sz="1" w:space="0" w:color="000000"/>
            </w:tcBorders>
          </w:tcPr>
          <w:p w14:paraId="65545CD0" w14:textId="77777777" w:rsidR="00136201" w:rsidRDefault="00000000">
            <w:pPr>
              <w:spacing w:line="360" w:lineRule="auto"/>
            </w:pPr>
            <w:r>
              <w:rPr>
                <w:rFonts w:ascii="source sans 3" w:eastAsia="source sans 3" w:hAnsi="source sans 3" w:cs="source sans 3"/>
                <w:color w:val="000000"/>
                <w:sz w:val="17"/>
              </w:rPr>
              <w:t>موضوعه</w:t>
            </w:r>
          </w:p>
        </w:tc>
      </w:tr>
      <w:tr w:rsidR="00136201" w14:paraId="7A24261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06A524A" w14:textId="77777777" w:rsidR="00136201" w:rsidRDefault="00000000">
            <w:pPr>
              <w:spacing w:line="360" w:lineRule="auto"/>
            </w:pPr>
            <w:r>
              <w:rPr>
                <w:rFonts w:ascii="source sans 3" w:eastAsia="source sans 3" w:hAnsi="source sans 3" w:cs="source sans 3"/>
                <w:color w:val="000000"/>
                <w:sz w:val="17"/>
              </w:rPr>
              <w:t>من أين تستمد القيم مشروعيتها؟</w:t>
            </w:r>
          </w:p>
        </w:tc>
        <w:tc>
          <w:tcPr>
            <w:tcW w:w="0" w:type="auto"/>
            <w:tcBorders>
              <w:top w:val="single" w:sz="1" w:space="0" w:color="000000"/>
              <w:bottom w:val="single" w:sz="1" w:space="0" w:color="000000"/>
            </w:tcBorders>
          </w:tcPr>
          <w:p w14:paraId="09E39051" w14:textId="77777777" w:rsidR="00136201" w:rsidRDefault="00000000">
            <w:pPr>
              <w:spacing w:line="360" w:lineRule="auto"/>
            </w:pPr>
            <w:r>
              <w:rPr>
                <w:rFonts w:ascii="source sans 3" w:eastAsia="source sans 3" w:hAnsi="source sans 3" w:cs="source sans 3"/>
                <w:color w:val="000000"/>
                <w:sz w:val="17"/>
              </w:rPr>
              <w:t>المرجعية الفلسفية أو الدينية</w:t>
            </w:r>
          </w:p>
        </w:tc>
      </w:tr>
      <w:tr w:rsidR="00136201" w14:paraId="569B122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7D5AA83" w14:textId="77777777" w:rsidR="00136201" w:rsidRDefault="00000000">
            <w:pPr>
              <w:spacing w:line="360" w:lineRule="auto"/>
            </w:pPr>
            <w:r>
              <w:rPr>
                <w:rFonts w:ascii="source sans 3" w:eastAsia="source sans 3" w:hAnsi="source sans 3" w:cs="source sans 3"/>
                <w:color w:val="000000"/>
                <w:sz w:val="17"/>
              </w:rPr>
              <w:t>كيف يفهم الفرد تجربته؟</w:t>
            </w:r>
          </w:p>
        </w:tc>
        <w:tc>
          <w:tcPr>
            <w:tcW w:w="0" w:type="auto"/>
            <w:tcBorders>
              <w:top w:val="single" w:sz="1" w:space="0" w:color="000000"/>
              <w:bottom w:val="single" w:sz="1" w:space="0" w:color="000000"/>
            </w:tcBorders>
          </w:tcPr>
          <w:p w14:paraId="3AFB528F" w14:textId="77777777" w:rsidR="00136201" w:rsidRDefault="00000000">
            <w:pPr>
              <w:spacing w:line="360" w:lineRule="auto"/>
            </w:pPr>
            <w:r>
              <w:rPr>
                <w:rFonts w:ascii="source sans 3" w:eastAsia="source sans 3" w:hAnsi="source sans 3" w:cs="source sans 3"/>
                <w:color w:val="000000"/>
                <w:sz w:val="17"/>
              </w:rPr>
              <w:t>التأويل وبناء السردية الشخصية</w:t>
            </w:r>
          </w:p>
        </w:tc>
      </w:tr>
      <w:tr w:rsidR="00136201" w14:paraId="5F15F58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614A369" w14:textId="77777777" w:rsidR="00136201" w:rsidRDefault="00000000">
            <w:pPr>
              <w:spacing w:line="360" w:lineRule="auto"/>
            </w:pPr>
            <w:r>
              <w:rPr>
                <w:rFonts w:ascii="source sans 3" w:eastAsia="source sans 3" w:hAnsi="source sans 3" w:cs="source sans 3"/>
                <w:color w:val="000000"/>
                <w:sz w:val="17"/>
              </w:rPr>
              <w:t>كيف تتحول القيمة إلى ممارسة؟</w:t>
            </w:r>
          </w:p>
        </w:tc>
        <w:tc>
          <w:tcPr>
            <w:tcW w:w="0" w:type="auto"/>
            <w:tcBorders>
              <w:top w:val="single" w:sz="1" w:space="0" w:color="000000"/>
              <w:bottom w:val="single" w:sz="1" w:space="0" w:color="000000"/>
            </w:tcBorders>
          </w:tcPr>
          <w:p w14:paraId="30CDB7EE" w14:textId="77777777" w:rsidR="00136201" w:rsidRDefault="00000000">
            <w:pPr>
              <w:spacing w:line="360" w:lineRule="auto"/>
            </w:pPr>
            <w:r>
              <w:rPr>
                <w:rFonts w:ascii="source sans 3" w:eastAsia="source sans 3" w:hAnsi="source sans 3" w:cs="source sans 3"/>
                <w:color w:val="000000"/>
                <w:sz w:val="17"/>
              </w:rPr>
              <w:t>الاختيار والعمل في سياق محدد</w:t>
            </w:r>
          </w:p>
        </w:tc>
      </w:tr>
    </w:tbl>
    <w:p w14:paraId="687A4F74" w14:textId="77777777" w:rsidR="00136201" w:rsidRDefault="00136201"/>
    <w:p w14:paraId="3747138C" w14:textId="77777777" w:rsidR="00136201" w:rsidRDefault="00000000">
      <w:pPr>
        <w:spacing w:after="210" w:line="360" w:lineRule="auto"/>
      </w:pPr>
      <w:r>
        <w:rPr>
          <w:rFonts w:ascii="source serif 4" w:eastAsia="source serif 4" w:hAnsi="source serif 4" w:cs="source serif 4"/>
          <w:color w:val="000000"/>
        </w:rPr>
        <w:t>ويمكن، داخل الإطار الاستخلافي نفسه، القول إن الإنسان يكتشف قيمة يعتقد أنها لا تصدر عن رغبته، ثم يبني فهمًا شخصيًا لعلاقته بها، ثم يختار كيفية تجسيدها. وبهذا لا يكون بناء السردية نقيضًا ضروريًا لاكتشاف المعنى، بل قد يكون وسيلة لترجمته.</w:t>
      </w:r>
    </w:p>
    <w:p w14:paraId="3CC5A5BF" w14:textId="77777777" w:rsidR="00136201" w:rsidRDefault="00000000">
      <w:pPr>
        <w:spacing w:after="210" w:line="360" w:lineRule="auto"/>
      </w:pPr>
      <w:r>
        <w:rPr>
          <w:rFonts w:ascii="source serif 4" w:eastAsia="source serif 4" w:hAnsi="source serif 4" w:cs="source serif 4"/>
          <w:color w:val="000000"/>
        </w:rPr>
        <w:t>أما القول بأن مصدرًا معينًا للمعنى يضمن استقرارًا نفسيًا أعلى من غيره، فيظل فرضية تحتاج إلى مقارنة مستقلة، ولا يصح استخلاصها من التعريف الفلسفي وحده.</w:t>
      </w:r>
    </w:p>
    <w:p w14:paraId="05745998" w14:textId="77777777" w:rsidR="00136201" w:rsidRDefault="00000000">
      <w:pPr>
        <w:spacing w:before="315" w:after="105" w:line="360" w:lineRule="auto"/>
        <w:ind w:left="-30"/>
      </w:pPr>
      <w:bookmarkStart w:id="38" w:name="bm_9_المعنى_والاكتئاب_الفصل_بين_ا_97723d"/>
      <w:r>
        <w:rPr>
          <w:rFonts w:ascii="source serif 4" w:eastAsia="source serif 4" w:hAnsi="source serif 4" w:cs="source serif 4"/>
          <w:b/>
          <w:color w:val="000000"/>
          <w:sz w:val="24"/>
        </w:rPr>
        <w:t>9. المعنى والاكتئاب: الفصل بين التأويل والتشخيص</w:t>
      </w:r>
      <w:bookmarkEnd w:id="38"/>
    </w:p>
    <w:p w14:paraId="5B9DE173" w14:textId="77777777" w:rsidR="00136201" w:rsidRDefault="00000000">
      <w:pPr>
        <w:spacing w:after="210" w:line="360" w:lineRule="auto"/>
      </w:pPr>
      <w:r>
        <w:rPr>
          <w:rFonts w:ascii="source serif 4" w:eastAsia="source serif 4" w:hAnsi="source serif 4" w:cs="source serif 4"/>
          <w:color w:val="000000"/>
        </w:rPr>
        <w:t>من المواضع التي تستلزم مراجعة دقيقة في النص الأصلي تقديم المعنى المكتشف بوصفه حماية من «الاكتئاب الوجودي». وتقتضي الصياغة الأكاديمية الفصل بين وصف تجربة الفراغ أو الاغتراب، وبين تشخيص الاكتئاب وتفسير أسبابه. فبحسب منظمة الصحة العالمية، ينشأ الاكتئاب من تفاعل عوامل اجتماعية ونفسية وبيولوجية، وتتوفر له علاجات نفسية ودوائية فعالة.</w:t>
      </w:r>
      <w:bookmarkStart w:id="39" w:name="fnref11"/>
      <w:bookmarkEnd w:id="39"/>
      <w:r>
        <w:fldChar w:fldCharType="begin"/>
      </w:r>
      <w:r>
        <w:instrText>HYPERLINK \l "fn11" \h</w:instrText>
      </w:r>
      <w:r>
        <w:fldChar w:fldCharType="separate"/>
      </w:r>
      <w:r>
        <w:rPr>
          <w:rFonts w:ascii="source sans 3" w:eastAsia="source sans 3" w:hAnsi="source sans 3" w:cs="source sans 3"/>
          <w:u w:val="single"/>
          <w:vertAlign w:val="superscript"/>
        </w:rPr>
        <w:t>[11]</w:t>
      </w:r>
      <w:r>
        <w:fldChar w:fldCharType="end"/>
      </w:r>
      <w:bookmarkStart w:id="40" w:name="fnref12"/>
      <w:bookmarkEnd w:id="40"/>
      <w:r>
        <w:fldChar w:fldCharType="begin"/>
      </w:r>
      <w:r>
        <w:instrText>HYPERLINK \l "fn12" \h</w:instrText>
      </w:r>
      <w:r>
        <w:fldChar w:fldCharType="separate"/>
      </w:r>
      <w:r>
        <w:rPr>
          <w:rFonts w:ascii="source sans 3" w:eastAsia="source sans 3" w:hAnsi="source sans 3" w:cs="source sans 3"/>
          <w:u w:val="single"/>
          <w:vertAlign w:val="superscript"/>
        </w:rPr>
        <w:t>[12]</w:t>
      </w:r>
      <w:r>
        <w:fldChar w:fldCharType="end"/>
      </w:r>
      <w:bookmarkStart w:id="41" w:name="fnref1_4"/>
      <w:bookmarkEnd w:id="41"/>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p w14:paraId="52DEF2AF" w14:textId="77777777" w:rsidR="00136201" w:rsidRDefault="00000000">
      <w:pPr>
        <w:spacing w:after="210" w:line="360" w:lineRule="auto"/>
      </w:pPr>
      <w:r>
        <w:rPr>
          <w:rFonts w:ascii="source serif 4" w:eastAsia="source serif 4" w:hAnsi="source serif 4" w:cs="source serif 4"/>
          <w:color w:val="000000"/>
        </w:rPr>
        <w:t>وعليه، تكون الصياغة الأكثر انضباطًا:</w:t>
      </w:r>
    </w:p>
    <w:p w14:paraId="4E1111B8" w14:textId="77777777" w:rsidR="00136201" w:rsidRDefault="00000000">
      <w:pPr>
        <w:spacing w:after="210" w:line="360" w:lineRule="auto"/>
        <w:ind w:left="630"/>
      </w:pPr>
      <w:r>
        <w:rPr>
          <w:rFonts w:ascii="source serif 4" w:eastAsia="source serif 4" w:hAnsi="source serif 4" w:cs="source serif 4"/>
          <w:color w:val="000000"/>
        </w:rPr>
        <w:t>يتيح الإطار الاستخلافي بحث دور المعنى والمسؤولية والارتباط بالآخرين في التعامل مع الضيق الوجودي، دون افتراض أنها تفسر وحدها الاكتئاب أو تكفي وحدها لعلاجه.</w:t>
      </w:r>
    </w:p>
    <w:p w14:paraId="7FE19A21" w14:textId="77777777" w:rsidR="00136201" w:rsidRDefault="00000000">
      <w:pPr>
        <w:spacing w:after="210" w:line="360" w:lineRule="auto"/>
      </w:pPr>
      <w:r>
        <w:rPr>
          <w:rFonts w:ascii="source serif 4" w:eastAsia="source serif 4" w:hAnsi="source serif 4" w:cs="source serif 4"/>
          <w:color w:val="000000"/>
        </w:rPr>
        <w:t>ويمنع هذا التعديل نتيجتين غير مقبولتين بحثيًا: تفسير استمرار الأعراض بوصفه نقصًا في الإيمان أو المعنى، وتحويل التدخل الروحي إلى بديل مفروض عن الرعاية المتخصصة. فالسؤال عن الغاية يمكن أن يُدمج في فهم تجربة الشخص، لكنه لا يلغي تعدد العوامل التي تؤثر في صحته النفسية.</w:t>
      </w:r>
      <w:bookmarkStart w:id="42" w:name="fnref12_1"/>
      <w:bookmarkEnd w:id="42"/>
      <w:r>
        <w:fldChar w:fldCharType="begin"/>
      </w:r>
      <w:r>
        <w:instrText>HYPERLINK \l "fn12" \h</w:instrText>
      </w:r>
      <w:r>
        <w:fldChar w:fldCharType="separate"/>
      </w:r>
      <w:r>
        <w:rPr>
          <w:rFonts w:ascii="source sans 3" w:eastAsia="source sans 3" w:hAnsi="source sans 3" w:cs="source sans 3"/>
          <w:u w:val="single"/>
          <w:vertAlign w:val="superscript"/>
        </w:rPr>
        <w:t>[12]</w:t>
      </w:r>
      <w:r>
        <w:fldChar w:fldCharType="end"/>
      </w:r>
      <w:bookmarkStart w:id="43" w:name="fnref11_1"/>
      <w:bookmarkEnd w:id="43"/>
      <w:r>
        <w:fldChar w:fldCharType="begin"/>
      </w:r>
      <w:r>
        <w:instrText>HYPERLINK \l "fn11" \h</w:instrText>
      </w:r>
      <w:r>
        <w:fldChar w:fldCharType="separate"/>
      </w:r>
      <w:r>
        <w:rPr>
          <w:rFonts w:ascii="source sans 3" w:eastAsia="source sans 3" w:hAnsi="source sans 3" w:cs="source sans 3"/>
          <w:u w:val="single"/>
          <w:vertAlign w:val="superscript"/>
        </w:rPr>
        <w:t>[11]</w:t>
      </w:r>
      <w:r>
        <w:fldChar w:fldCharType="end"/>
      </w:r>
    </w:p>
    <w:p w14:paraId="0CE2DF79" w14:textId="77777777" w:rsidR="00136201" w:rsidRDefault="00000000">
      <w:pPr>
        <w:spacing w:before="315" w:after="105" w:line="360" w:lineRule="auto"/>
        <w:ind w:left="-30"/>
      </w:pPr>
      <w:bookmarkStart w:id="44" w:name="bm_10_إعادة_فهم_الألم_دون_تبريره_73f502"/>
      <w:r>
        <w:rPr>
          <w:rFonts w:ascii="source serif 4" w:eastAsia="source serif 4" w:hAnsi="source serif 4" w:cs="source serif 4"/>
          <w:b/>
          <w:color w:val="000000"/>
          <w:sz w:val="24"/>
        </w:rPr>
        <w:t>10. إعادة فهم الألم دون تبريره أو أخْلَقته</w:t>
      </w:r>
      <w:bookmarkEnd w:id="44"/>
    </w:p>
    <w:p w14:paraId="76A3E59E" w14:textId="77777777" w:rsidR="00136201" w:rsidRDefault="00000000">
      <w:pPr>
        <w:spacing w:before="315" w:after="105" w:line="360" w:lineRule="auto"/>
        <w:ind w:left="-30"/>
      </w:pPr>
      <w:bookmarkStart w:id="45" w:name="bm_10_1_حدود_وصف_الألم_بأنه_رسالة"/>
      <w:r>
        <w:rPr>
          <w:rFonts w:ascii="source serif 4" w:eastAsia="source serif 4" w:hAnsi="source serif 4" w:cs="source serif 4"/>
          <w:b/>
          <w:color w:val="000000"/>
          <w:sz w:val="24"/>
        </w:rPr>
        <w:t>10.1. حدود وصف الألم بأنه «رسالة»</w:t>
      </w:r>
      <w:bookmarkEnd w:id="45"/>
    </w:p>
    <w:p w14:paraId="08ACD53D" w14:textId="77777777" w:rsidR="00136201" w:rsidRDefault="00000000">
      <w:pPr>
        <w:spacing w:after="210" w:line="360" w:lineRule="auto"/>
      </w:pPr>
      <w:r>
        <w:rPr>
          <w:rFonts w:ascii="source serif 4" w:eastAsia="source serif 4" w:hAnsi="source serif 4" w:cs="source serif 4"/>
          <w:color w:val="000000"/>
        </w:rPr>
        <w:t>تصف المسودة الألم أحيانًا بأنه «لغة الفطرة» أو إشارة إلى انقطاع الإنسان عن معناه ومسؤوليته. ويمكن الاحتفاظ بهذه اللغة بوصفها تأويلًا لبعض التجارب، لكن لا يصح تحويلها إلى تفسير عام للأعراض الجسدية والنفسية.</w:t>
      </w:r>
      <w:bookmarkStart w:id="46" w:name="fnref1_5"/>
      <w:bookmarkEnd w:id="46"/>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p w14:paraId="697D3BC8" w14:textId="77777777" w:rsidR="00136201" w:rsidRDefault="00000000">
      <w:pPr>
        <w:spacing w:after="210" w:line="360" w:lineRule="auto"/>
      </w:pPr>
      <w:r>
        <w:rPr>
          <w:rFonts w:ascii="source serif 4" w:eastAsia="source serif 4" w:hAnsi="source serif 4" w:cs="source serif 4"/>
          <w:color w:val="000000"/>
        </w:rPr>
        <w:t>فالتعريف المنقح للألم لدى الجمعية الدولية لدراسة الألم يقدمه تجربة حسية وانفعالية غير سارة، مرتبطة بضرر نسيجي فعلي أو محتمل أو شبيهة بما يرتبط به، مع التأكيد على تأثره بدرجات متفاوتة بعوامل بيولوجية ونفسية واجتماعية. وهذا يمنع اختزاله في سبب أخلاقي أو وجودي واحد.</w:t>
      </w:r>
      <w:bookmarkStart w:id="47" w:name="fnref13"/>
      <w:bookmarkEnd w:id="47"/>
      <w:r>
        <w:fldChar w:fldCharType="begin"/>
      </w:r>
      <w:r>
        <w:instrText>HYPERLINK \l "fn13" \h</w:instrText>
      </w:r>
      <w:r>
        <w:fldChar w:fldCharType="separate"/>
      </w:r>
      <w:r>
        <w:rPr>
          <w:rFonts w:ascii="source sans 3" w:eastAsia="source sans 3" w:hAnsi="source sans 3" w:cs="source sans 3"/>
          <w:u w:val="single"/>
          <w:vertAlign w:val="superscript"/>
        </w:rPr>
        <w:t>[13]</w:t>
      </w:r>
      <w:r>
        <w:fldChar w:fldCharType="end"/>
      </w:r>
      <w:bookmarkStart w:id="48" w:name="fnref14"/>
      <w:bookmarkEnd w:id="48"/>
      <w:r>
        <w:fldChar w:fldCharType="begin"/>
      </w:r>
      <w:r>
        <w:instrText>HYPERLINK \l "fn14" \h</w:instrText>
      </w:r>
      <w:r>
        <w:fldChar w:fldCharType="separate"/>
      </w:r>
      <w:r>
        <w:rPr>
          <w:rFonts w:ascii="source sans 3" w:eastAsia="source sans 3" w:hAnsi="source sans 3" w:cs="source sans 3"/>
          <w:u w:val="single"/>
          <w:vertAlign w:val="superscript"/>
        </w:rPr>
        <w:t>[14]</w:t>
      </w:r>
      <w:r>
        <w:fldChar w:fldCharType="end"/>
      </w:r>
    </w:p>
    <w:p w14:paraId="046B5175" w14:textId="77777777" w:rsidR="00136201" w:rsidRDefault="00000000">
      <w:pPr>
        <w:spacing w:after="210" w:line="360" w:lineRule="auto"/>
      </w:pPr>
      <w:r>
        <w:rPr>
          <w:rFonts w:ascii="source serif 4" w:eastAsia="source serif 4" w:hAnsi="source serif 4" w:cs="source serif 4"/>
          <w:color w:val="000000"/>
        </w:rPr>
        <w:t>لذلك يقترح البحث استبدال عبارة «الألم رسالة من الفطرة» بعبارة أكثر احترازًا:</w:t>
      </w:r>
    </w:p>
    <w:p w14:paraId="2420BB44" w14:textId="77777777" w:rsidR="00136201" w:rsidRDefault="00000000">
      <w:pPr>
        <w:spacing w:after="210" w:line="360" w:lineRule="auto"/>
        <w:ind w:left="630"/>
      </w:pPr>
      <w:r>
        <w:rPr>
          <w:rFonts w:ascii="source serif 4" w:eastAsia="source serif 4" w:hAnsi="source serif 4" w:cs="source serif 4"/>
          <w:color w:val="000000"/>
        </w:rPr>
        <w:t>قد يتيح الألم لبعض الأشخاص مراجعة أولوياتهم وإعادة تفسير تجاربهم، لكن إمكان استخراج معنى منه لا يحدد سببه ولا يغني عن تقويمه وعلاجه.</w:t>
      </w:r>
    </w:p>
    <w:p w14:paraId="16BCD74E" w14:textId="77777777" w:rsidR="00136201" w:rsidRDefault="00000000">
      <w:pPr>
        <w:spacing w:before="315" w:after="105" w:line="360" w:lineRule="auto"/>
        <w:ind w:left="-30"/>
      </w:pPr>
      <w:bookmarkStart w:id="49" w:name="bm_10_2_التكامل_بين_تخفيف_المعانا_21613b"/>
      <w:r>
        <w:rPr>
          <w:rFonts w:ascii="source serif 4" w:eastAsia="source serif 4" w:hAnsi="source serif 4" w:cs="source serif 4"/>
          <w:b/>
          <w:color w:val="000000"/>
          <w:sz w:val="24"/>
        </w:rPr>
        <w:t>10.2. التكامل بين تخفيف المعاناة وإعادة توجيه الحياة</w:t>
      </w:r>
      <w:bookmarkEnd w:id="49"/>
    </w:p>
    <w:p w14:paraId="659C7645" w14:textId="77777777" w:rsidR="00136201" w:rsidRDefault="00000000">
      <w:pPr>
        <w:spacing w:after="210" w:line="360" w:lineRule="auto"/>
      </w:pPr>
      <w:r>
        <w:rPr>
          <w:rFonts w:ascii="source serif 4" w:eastAsia="source serif 4" w:hAnsi="source serif 4" w:cs="source serif 4"/>
          <w:color w:val="000000"/>
        </w:rPr>
        <w:t>لا ينبغي بناء التعارض بين طب يخفف الأعراض ومنظور استخلافي يمنح المعنى؛ فالإطار البيولوجي النفسي الاجتماعي المعاصر يقر أصلًا بتعدد أبعاد الألم وضرورة تقويمه وعلاجه على هذا الأساس.</w:t>
      </w:r>
      <w:bookmarkStart w:id="50" w:name="fnref15"/>
      <w:bookmarkEnd w:id="50"/>
      <w:r>
        <w:fldChar w:fldCharType="begin"/>
      </w:r>
      <w:r>
        <w:instrText>HYPERLINK \l "fn15" \h</w:instrText>
      </w:r>
      <w:r>
        <w:fldChar w:fldCharType="separate"/>
      </w:r>
      <w:r>
        <w:rPr>
          <w:rFonts w:ascii="source sans 3" w:eastAsia="source sans 3" w:hAnsi="source sans 3" w:cs="source sans 3"/>
          <w:u w:val="single"/>
          <w:vertAlign w:val="superscript"/>
        </w:rPr>
        <w:t>[15]</w:t>
      </w:r>
      <w:r>
        <w:fldChar w:fldCharType="end"/>
      </w:r>
    </w:p>
    <w:p w14:paraId="3E7211FA" w14:textId="77777777" w:rsidR="00136201" w:rsidRDefault="00000000">
      <w:pPr>
        <w:spacing w:after="210" w:line="360" w:lineRule="auto"/>
      </w:pPr>
      <w:r>
        <w:rPr>
          <w:rFonts w:ascii="source serif 4" w:eastAsia="source serif 4" w:hAnsi="source serif 4" w:cs="source serif 4"/>
          <w:color w:val="000000"/>
        </w:rPr>
        <w:t>وبدل المقابلة بين «الإدارة» و«الاستثمار»، يقترح البحث ثلاثة مسارات متكاملة:</w:t>
      </w:r>
    </w:p>
    <w:p w14:paraId="392886A7" w14:textId="77777777" w:rsidR="00136201" w:rsidRDefault="00000000">
      <w:pPr>
        <w:numPr>
          <w:ilvl w:val="0"/>
          <w:numId w:val="5"/>
        </w:numPr>
        <w:spacing w:before="105" w:after="105" w:line="360" w:lineRule="auto"/>
      </w:pPr>
      <w:r>
        <w:rPr>
          <w:rFonts w:ascii="source serif 4" w:eastAsia="source serif 4" w:hAnsi="source serif 4" w:cs="source serif 4"/>
          <w:color w:val="000000"/>
        </w:rPr>
        <w:t xml:space="preserve">تقويم الألم وأسبابه </w:t>
      </w:r>
      <w:proofErr w:type="spellStart"/>
      <w:r>
        <w:rPr>
          <w:rFonts w:ascii="source serif 4" w:eastAsia="source serif 4" w:hAnsi="source serif 4" w:cs="source serif 4"/>
          <w:color w:val="000000"/>
        </w:rPr>
        <w:t>ومخاطره</w:t>
      </w:r>
      <w:proofErr w:type="spellEnd"/>
      <w:r>
        <w:rPr>
          <w:rFonts w:ascii="source serif 4" w:eastAsia="source serif 4" w:hAnsi="source serif 4" w:cs="source serif 4"/>
          <w:color w:val="000000"/>
        </w:rPr>
        <w:t>.</w:t>
      </w:r>
    </w:p>
    <w:p w14:paraId="62C27E8C" w14:textId="77777777" w:rsidR="00136201" w:rsidRDefault="00000000">
      <w:pPr>
        <w:numPr>
          <w:ilvl w:val="0"/>
          <w:numId w:val="5"/>
        </w:numPr>
        <w:spacing w:before="105" w:after="105" w:line="360" w:lineRule="auto"/>
      </w:pPr>
      <w:r>
        <w:rPr>
          <w:rFonts w:ascii="source serif 4" w:eastAsia="source serif 4" w:hAnsi="source serif 4" w:cs="source serif 4"/>
          <w:color w:val="000000"/>
        </w:rPr>
        <w:t>تخفيف المعاناة وتحسين القدرة على الحياة اليومية.</w:t>
      </w:r>
    </w:p>
    <w:p w14:paraId="5A7D9E72" w14:textId="77777777" w:rsidR="00136201" w:rsidRDefault="00000000">
      <w:pPr>
        <w:numPr>
          <w:ilvl w:val="0"/>
          <w:numId w:val="5"/>
        </w:numPr>
        <w:spacing w:before="105" w:after="105" w:line="360" w:lineRule="auto"/>
      </w:pPr>
      <w:r>
        <w:rPr>
          <w:rFonts w:ascii="source serif 4" w:eastAsia="source serif 4" w:hAnsi="source serif 4" w:cs="source serif 4"/>
          <w:color w:val="000000"/>
        </w:rPr>
        <w:t>مساعدة الشخص، إذا رغب واستطاع، على إعادة بناء أهدافه وعلاقاته.</w:t>
      </w:r>
    </w:p>
    <w:p w14:paraId="2034503C" w14:textId="77777777" w:rsidR="00136201" w:rsidRDefault="00000000">
      <w:pPr>
        <w:spacing w:after="210" w:line="360" w:lineRule="auto"/>
      </w:pPr>
      <w:r>
        <w:rPr>
          <w:rFonts w:ascii="source serif 4" w:eastAsia="source serif 4" w:hAnsi="source serif 4" w:cs="source serif 4"/>
          <w:color w:val="000000"/>
        </w:rPr>
        <w:t>ولا يُشترط نجاح المسار الثالث للاعتراف بقيمة الأولين. فالتخفيف غاية مشروعة، وليس مرتبة أدنى من «التحويل».</w:t>
      </w:r>
    </w:p>
    <w:p w14:paraId="11F6D8F4" w14:textId="77777777" w:rsidR="00136201" w:rsidRDefault="00000000">
      <w:pPr>
        <w:spacing w:before="315" w:after="105" w:line="360" w:lineRule="auto"/>
        <w:ind w:left="-30"/>
      </w:pPr>
      <w:bookmarkStart w:id="51" w:name="bm_10_3_من_استثمار_الألم_إلى_استع_bb7a6d"/>
      <w:r>
        <w:rPr>
          <w:rFonts w:ascii="source serif 4" w:eastAsia="source serif 4" w:hAnsi="source serif 4" w:cs="source serif 4"/>
          <w:b/>
          <w:color w:val="000000"/>
          <w:sz w:val="24"/>
        </w:rPr>
        <w:t>10.3. من «استثمار الألم» إلى «استعادة الفاعلية»</w:t>
      </w:r>
      <w:bookmarkEnd w:id="51"/>
    </w:p>
    <w:p w14:paraId="45EDC33C" w14:textId="77777777" w:rsidR="00136201" w:rsidRDefault="00000000">
      <w:pPr>
        <w:spacing w:after="210" w:line="360" w:lineRule="auto"/>
      </w:pPr>
      <w:r>
        <w:rPr>
          <w:rFonts w:ascii="source serif 4" w:eastAsia="source serif 4" w:hAnsi="source serif 4" w:cs="source serif 4"/>
          <w:color w:val="000000"/>
        </w:rPr>
        <w:t>قد توحي عبارة «استثمار الألم» بأن على الإنسان أن ينتج من معاناته منفعة أو رسالة، وهو إيحاء يمكن تجنبه بتفضيل مفهوم استعادة الفاعلية. والمقصود به هنا إمكان استعادة مساحة من الاختيار والعمل، ولو بقي الألم ولم يتحول إلى قصة نجاح.</w:t>
      </w:r>
    </w:p>
    <w:p w14:paraId="4D67B049" w14:textId="77777777" w:rsidR="00136201" w:rsidRDefault="00000000">
      <w:pPr>
        <w:spacing w:after="210" w:line="360" w:lineRule="auto"/>
      </w:pPr>
      <w:r>
        <w:rPr>
          <w:rFonts w:ascii="source serif 4" w:eastAsia="source serif 4" w:hAnsi="source serif 4" w:cs="source serif 4"/>
          <w:color w:val="000000"/>
        </w:rPr>
        <w:t>ويقتضي هذا المقترح ألا تُفرض الخدمة أو التضحية أو المصالحة على المتألم بوصفها امتحانًا لتعافيه. فقد تكون الخطوة المناسبة وضع حد لعلاقة مؤذية، أو قبول المساعدة، أو الراحة، أو طلب العلاج؛ لا زيادة التكليف.</w:t>
      </w:r>
    </w:p>
    <w:p w14:paraId="1DE2B20B" w14:textId="77777777" w:rsidR="00136201" w:rsidRDefault="00000000">
      <w:pPr>
        <w:spacing w:before="315" w:after="105" w:line="360" w:lineRule="auto"/>
        <w:ind w:left="-30"/>
      </w:pPr>
      <w:bookmarkStart w:id="52" w:name="bm_11_الجسر_السلوكي_تعريف_مقترح_و_ccb14c"/>
      <w:r>
        <w:rPr>
          <w:rFonts w:ascii="source serif 4" w:eastAsia="source serif 4" w:hAnsi="source serif 4" w:cs="source serif 4"/>
          <w:b/>
          <w:color w:val="000000"/>
          <w:sz w:val="24"/>
        </w:rPr>
        <w:t>11. الجسر السلوكي: تعريف مقترح وحدود تطبيقه</w:t>
      </w:r>
      <w:bookmarkEnd w:id="52"/>
    </w:p>
    <w:p w14:paraId="1CD51B74" w14:textId="77777777" w:rsidR="00136201" w:rsidRDefault="00000000">
      <w:pPr>
        <w:spacing w:after="210" w:line="360" w:lineRule="auto"/>
      </w:pPr>
      <w:r>
        <w:rPr>
          <w:rFonts w:ascii="source serif 4" w:eastAsia="source serif 4" w:hAnsi="source serif 4" w:cs="source serif 4"/>
          <w:color w:val="000000"/>
        </w:rPr>
        <w:t>يرد «الجسر السلوكي» في المادة الأصلية وفي نص الزراع بوصفه انتقالًا من الوعي والمعنى إلى الفعل. ولزيادة وضوحه، يمكن تعريفه في هذا البحث بأنه إجراء يربط قيمة يختارها الشخص بسلوك محدد وممكن في سياقه، مع مراجعة أثره وتعديله. وهذا تعريف إجرائي مقترح، لا إعلان عن بروتوكول ثبتت فعاليته السريرية.</w:t>
      </w:r>
      <w:bookmarkStart w:id="53" w:name="fnref3_5"/>
      <w:bookmarkEnd w:id="53"/>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bookmarkStart w:id="54" w:name="fnref1_6"/>
      <w:bookmarkEnd w:id="54"/>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986"/>
        <w:gridCol w:w="3203"/>
      </w:tblGrid>
      <w:tr w:rsidR="00136201" w14:paraId="792C15D8"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68AE13F" w14:textId="77777777" w:rsidR="00136201" w:rsidRDefault="00000000">
            <w:pPr>
              <w:spacing w:line="360" w:lineRule="auto"/>
            </w:pPr>
            <w:r>
              <w:rPr>
                <w:rFonts w:ascii="source sans 3" w:eastAsia="source sans 3" w:hAnsi="source sans 3" w:cs="source sans 3"/>
                <w:color w:val="000000"/>
                <w:sz w:val="17"/>
              </w:rPr>
              <w:t>المكوّن</w:t>
            </w:r>
          </w:p>
        </w:tc>
        <w:tc>
          <w:tcPr>
            <w:tcW w:w="0" w:type="auto"/>
            <w:tcBorders>
              <w:top w:val="single" w:sz="1" w:space="0" w:color="000000"/>
              <w:bottom w:val="single" w:sz="1" w:space="0" w:color="000000"/>
            </w:tcBorders>
          </w:tcPr>
          <w:p w14:paraId="08EFF8E5" w14:textId="77777777" w:rsidR="00136201" w:rsidRDefault="00000000">
            <w:pPr>
              <w:spacing w:line="360" w:lineRule="auto"/>
            </w:pPr>
            <w:r>
              <w:rPr>
                <w:rFonts w:ascii="source sans 3" w:eastAsia="source sans 3" w:hAnsi="source sans 3" w:cs="source sans 3"/>
                <w:color w:val="000000"/>
                <w:sz w:val="17"/>
              </w:rPr>
              <w:t>السؤال العملي</w:t>
            </w:r>
          </w:p>
        </w:tc>
      </w:tr>
      <w:tr w:rsidR="00136201" w14:paraId="2342C05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B4F0990" w14:textId="77777777" w:rsidR="00136201" w:rsidRDefault="00000000">
            <w:pPr>
              <w:spacing w:line="360" w:lineRule="auto"/>
            </w:pPr>
            <w:r>
              <w:rPr>
                <w:rFonts w:ascii="source sans 3" w:eastAsia="source sans 3" w:hAnsi="source sans 3" w:cs="source sans 3"/>
                <w:color w:val="000000"/>
                <w:sz w:val="17"/>
              </w:rPr>
              <w:t>تحديد الخبرة</w:t>
            </w:r>
          </w:p>
        </w:tc>
        <w:tc>
          <w:tcPr>
            <w:tcW w:w="0" w:type="auto"/>
            <w:tcBorders>
              <w:top w:val="single" w:sz="1" w:space="0" w:color="000000"/>
              <w:bottom w:val="single" w:sz="1" w:space="0" w:color="000000"/>
            </w:tcBorders>
          </w:tcPr>
          <w:p w14:paraId="122EAA2A" w14:textId="77777777" w:rsidR="00136201" w:rsidRDefault="00000000">
            <w:pPr>
              <w:spacing w:line="360" w:lineRule="auto"/>
            </w:pPr>
            <w:r>
              <w:rPr>
                <w:rFonts w:ascii="source sans 3" w:eastAsia="source sans 3" w:hAnsi="source sans 3" w:cs="source sans 3"/>
                <w:color w:val="000000"/>
                <w:sz w:val="17"/>
              </w:rPr>
              <w:t>ما الذي يحدث، دون تعميم أو اتهام للذات؟</w:t>
            </w:r>
          </w:p>
        </w:tc>
      </w:tr>
      <w:tr w:rsidR="00136201" w14:paraId="47844E4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2DA5E9D" w14:textId="77777777" w:rsidR="00136201" w:rsidRDefault="00000000">
            <w:pPr>
              <w:spacing w:line="360" w:lineRule="auto"/>
            </w:pPr>
            <w:r>
              <w:rPr>
                <w:rFonts w:ascii="source sans 3" w:eastAsia="source sans 3" w:hAnsi="source sans 3" w:cs="source sans 3"/>
                <w:color w:val="000000"/>
                <w:sz w:val="17"/>
              </w:rPr>
              <w:t>تحديد القيمة</w:t>
            </w:r>
          </w:p>
        </w:tc>
        <w:tc>
          <w:tcPr>
            <w:tcW w:w="0" w:type="auto"/>
            <w:tcBorders>
              <w:top w:val="single" w:sz="1" w:space="0" w:color="000000"/>
              <w:bottom w:val="single" w:sz="1" w:space="0" w:color="000000"/>
            </w:tcBorders>
          </w:tcPr>
          <w:p w14:paraId="1E6C9B08" w14:textId="77777777" w:rsidR="00136201" w:rsidRDefault="00000000">
            <w:pPr>
              <w:spacing w:line="360" w:lineRule="auto"/>
            </w:pPr>
            <w:r>
              <w:rPr>
                <w:rFonts w:ascii="source sans 3" w:eastAsia="source sans 3" w:hAnsi="source sans 3" w:cs="source sans 3"/>
                <w:color w:val="000000"/>
                <w:sz w:val="17"/>
              </w:rPr>
              <w:t>ما الجانب الذي يرغب الشخص في حمايته أو استعادته؟</w:t>
            </w:r>
          </w:p>
        </w:tc>
      </w:tr>
      <w:tr w:rsidR="00136201" w14:paraId="6434D9D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9BB1757" w14:textId="77777777" w:rsidR="00136201" w:rsidRDefault="00000000">
            <w:pPr>
              <w:spacing w:line="360" w:lineRule="auto"/>
            </w:pPr>
            <w:r>
              <w:rPr>
                <w:rFonts w:ascii="source sans 3" w:eastAsia="source sans 3" w:hAnsi="source sans 3" w:cs="source sans 3"/>
                <w:color w:val="000000"/>
                <w:sz w:val="17"/>
              </w:rPr>
              <w:t>اختيار الفعل</w:t>
            </w:r>
          </w:p>
        </w:tc>
        <w:tc>
          <w:tcPr>
            <w:tcW w:w="0" w:type="auto"/>
            <w:tcBorders>
              <w:top w:val="single" w:sz="1" w:space="0" w:color="000000"/>
              <w:bottom w:val="single" w:sz="1" w:space="0" w:color="000000"/>
            </w:tcBorders>
          </w:tcPr>
          <w:p w14:paraId="597B2485" w14:textId="77777777" w:rsidR="00136201" w:rsidRDefault="00000000">
            <w:pPr>
              <w:spacing w:line="360" w:lineRule="auto"/>
            </w:pPr>
            <w:r>
              <w:rPr>
                <w:rFonts w:ascii="source sans 3" w:eastAsia="source sans 3" w:hAnsi="source sans 3" w:cs="source sans 3"/>
                <w:color w:val="000000"/>
                <w:sz w:val="17"/>
              </w:rPr>
              <w:t>ما الخطوة الصغيرة الممكنة الآن؟</w:t>
            </w:r>
          </w:p>
        </w:tc>
      </w:tr>
      <w:tr w:rsidR="00136201" w14:paraId="05EF121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A95A036" w14:textId="77777777" w:rsidR="00136201" w:rsidRDefault="00000000">
            <w:pPr>
              <w:spacing w:line="360" w:lineRule="auto"/>
            </w:pPr>
            <w:r>
              <w:rPr>
                <w:rFonts w:ascii="source sans 3" w:eastAsia="source sans 3" w:hAnsi="source sans 3" w:cs="source sans 3"/>
                <w:color w:val="000000"/>
                <w:sz w:val="17"/>
              </w:rPr>
              <w:t>تقويم الأثر</w:t>
            </w:r>
          </w:p>
        </w:tc>
        <w:tc>
          <w:tcPr>
            <w:tcW w:w="0" w:type="auto"/>
            <w:tcBorders>
              <w:top w:val="single" w:sz="1" w:space="0" w:color="000000"/>
              <w:bottom w:val="single" w:sz="1" w:space="0" w:color="000000"/>
            </w:tcBorders>
          </w:tcPr>
          <w:p w14:paraId="39301DAC" w14:textId="77777777" w:rsidR="00136201" w:rsidRDefault="00000000">
            <w:pPr>
              <w:spacing w:line="360" w:lineRule="auto"/>
            </w:pPr>
            <w:r>
              <w:rPr>
                <w:rFonts w:ascii="source sans 3" w:eastAsia="source sans 3" w:hAnsi="source sans 3" w:cs="source sans 3"/>
                <w:color w:val="000000"/>
                <w:sz w:val="17"/>
              </w:rPr>
              <w:t>هل زادت القدرة على الاختيار أم زاد الضغط؟</w:t>
            </w:r>
          </w:p>
        </w:tc>
      </w:tr>
      <w:tr w:rsidR="00136201" w14:paraId="4121C35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F960EEA" w14:textId="77777777" w:rsidR="00136201" w:rsidRDefault="00000000">
            <w:pPr>
              <w:spacing w:line="360" w:lineRule="auto"/>
            </w:pPr>
            <w:r>
              <w:rPr>
                <w:rFonts w:ascii="source sans 3" w:eastAsia="source sans 3" w:hAnsi="source sans 3" w:cs="source sans 3"/>
                <w:color w:val="000000"/>
                <w:sz w:val="17"/>
              </w:rPr>
              <w:t>المراجعة</w:t>
            </w:r>
          </w:p>
        </w:tc>
        <w:tc>
          <w:tcPr>
            <w:tcW w:w="0" w:type="auto"/>
            <w:tcBorders>
              <w:top w:val="single" w:sz="1" w:space="0" w:color="000000"/>
              <w:bottom w:val="single" w:sz="1" w:space="0" w:color="000000"/>
            </w:tcBorders>
          </w:tcPr>
          <w:p w14:paraId="7AC70BEF" w14:textId="77777777" w:rsidR="00136201" w:rsidRDefault="00000000">
            <w:pPr>
              <w:spacing w:line="360" w:lineRule="auto"/>
            </w:pPr>
            <w:r>
              <w:rPr>
                <w:rFonts w:ascii="source sans 3" w:eastAsia="source sans 3" w:hAnsi="source sans 3" w:cs="source sans 3"/>
                <w:color w:val="000000"/>
                <w:sz w:val="17"/>
              </w:rPr>
              <w:t>هل يُستمر في الخطوة أم تُعدّل أم يُطلب دعم متخصص؟</w:t>
            </w:r>
          </w:p>
        </w:tc>
      </w:tr>
    </w:tbl>
    <w:p w14:paraId="4750A412" w14:textId="77777777" w:rsidR="00136201" w:rsidRDefault="00136201"/>
    <w:p w14:paraId="7BB325D8" w14:textId="77777777" w:rsidR="00136201" w:rsidRDefault="00000000">
      <w:pPr>
        <w:spacing w:after="210" w:line="360" w:lineRule="auto"/>
      </w:pPr>
      <w:r>
        <w:rPr>
          <w:rFonts w:ascii="source serif 4" w:eastAsia="source serif 4" w:hAnsi="source serif 4" w:cs="source serif 4"/>
          <w:color w:val="000000"/>
        </w:rPr>
        <w:t xml:space="preserve">وتتمثل فائدة هذا الضبط في جعل المصطلح قابلًا للوصف والتقويم. أما إثبات تميزه عن تدخلات أخرى، أو تحديد الحالات التي </w:t>
      </w:r>
      <w:proofErr w:type="spellStart"/>
      <w:r>
        <w:rPr>
          <w:rFonts w:ascii="source serif 4" w:eastAsia="source serif 4" w:hAnsi="source serif 4" w:cs="source serif 4"/>
          <w:color w:val="000000"/>
        </w:rPr>
        <w:t>يفيدها</w:t>
      </w:r>
      <w:proofErr w:type="spellEnd"/>
      <w:r>
        <w:rPr>
          <w:rFonts w:ascii="source serif 4" w:eastAsia="source serif 4" w:hAnsi="source serif 4" w:cs="source serif 4"/>
          <w:color w:val="000000"/>
        </w:rPr>
        <w:t>، فيحتاج إلى دراسة مستقلة ذات إجراءات معلنة.</w:t>
      </w:r>
    </w:p>
    <w:p w14:paraId="22BFD179" w14:textId="77777777" w:rsidR="00136201" w:rsidRDefault="00000000">
      <w:pPr>
        <w:spacing w:before="315" w:after="105" w:line="360" w:lineRule="auto"/>
        <w:ind w:left="-30"/>
      </w:pPr>
      <w:bookmarkStart w:id="55" w:name="bm_12_الألم_المألوف_من_التفسير_ال_e11ef1"/>
      <w:r>
        <w:rPr>
          <w:rFonts w:ascii="source serif 4" w:eastAsia="source serif 4" w:hAnsi="source serif 4" w:cs="source serif 4"/>
          <w:b/>
          <w:color w:val="000000"/>
          <w:sz w:val="24"/>
        </w:rPr>
        <w:t>12. الألم المألوف: من التفسير الشامل إلى فرضيات متعددة</w:t>
      </w:r>
      <w:bookmarkEnd w:id="55"/>
    </w:p>
    <w:p w14:paraId="33D3C821" w14:textId="77777777" w:rsidR="00136201" w:rsidRDefault="00000000">
      <w:pPr>
        <w:spacing w:after="210" w:line="360" w:lineRule="auto"/>
      </w:pPr>
      <w:r>
        <w:rPr>
          <w:rFonts w:ascii="source serif 4" w:eastAsia="source serif 4" w:hAnsi="source serif 4" w:cs="source serif 4"/>
          <w:color w:val="000000"/>
        </w:rPr>
        <w:t>تفسر المسودة العودة إلى الألم المألوف بأن العقل يفضّل المتوقع على المجهول. وهذه عبارة مفيدة للتبسيط، لكنها تصبح مفرطة في التعميم إذا عُرضت تفسيرًا لكل استمرار في علاقة أو وضع مؤذٍ.</w:t>
      </w:r>
      <w:bookmarkStart w:id="56" w:name="fnref1_7"/>
      <w:bookmarkEnd w:id="56"/>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p w14:paraId="5EB1642A" w14:textId="77777777" w:rsidR="00136201" w:rsidRDefault="00000000">
      <w:pPr>
        <w:spacing w:after="210" w:line="360" w:lineRule="auto"/>
      </w:pPr>
      <w:r>
        <w:rPr>
          <w:rFonts w:ascii="source serif 4" w:eastAsia="source serif 4" w:hAnsi="source serif 4" w:cs="source serif 4"/>
          <w:color w:val="000000"/>
        </w:rPr>
        <w:t>ويقترح البحث التعامل مع هذه الحالات من خلال فرضيات متعددة قابلة للفحص، منها:</w:t>
      </w:r>
    </w:p>
    <w:p w14:paraId="565C98B7" w14:textId="77777777" w:rsidR="00136201" w:rsidRDefault="00000000">
      <w:pPr>
        <w:numPr>
          <w:ilvl w:val="0"/>
          <w:numId w:val="6"/>
        </w:numPr>
        <w:spacing w:before="105" w:after="105" w:line="360" w:lineRule="auto"/>
      </w:pPr>
      <w:r>
        <w:rPr>
          <w:rFonts w:ascii="source serif 4" w:eastAsia="source serif 4" w:hAnsi="source serif 4" w:cs="source serif 4"/>
          <w:color w:val="000000"/>
        </w:rPr>
        <w:t>الخوف من نتائج التغيير.</w:t>
      </w:r>
    </w:p>
    <w:p w14:paraId="395B8F2E" w14:textId="77777777" w:rsidR="00136201" w:rsidRDefault="00000000">
      <w:pPr>
        <w:numPr>
          <w:ilvl w:val="0"/>
          <w:numId w:val="6"/>
        </w:numPr>
        <w:spacing w:before="105" w:after="105" w:line="360" w:lineRule="auto"/>
      </w:pPr>
      <w:r>
        <w:rPr>
          <w:rFonts w:ascii="source serif 4" w:eastAsia="source serif 4" w:hAnsi="source serif 4" w:cs="source serif 4"/>
          <w:color w:val="000000"/>
        </w:rPr>
        <w:t>محدودية الموارد والبدائل.</w:t>
      </w:r>
    </w:p>
    <w:p w14:paraId="0890A45E" w14:textId="77777777" w:rsidR="00136201" w:rsidRDefault="00000000">
      <w:pPr>
        <w:numPr>
          <w:ilvl w:val="0"/>
          <w:numId w:val="6"/>
        </w:numPr>
        <w:spacing w:before="105" w:after="105" w:line="360" w:lineRule="auto"/>
      </w:pPr>
      <w:r>
        <w:rPr>
          <w:rFonts w:ascii="source serif 4" w:eastAsia="source serif 4" w:hAnsi="source serif 4" w:cs="source serif 4"/>
          <w:color w:val="000000"/>
        </w:rPr>
        <w:t>الاعتماد العملي أو العاطفي.</w:t>
      </w:r>
    </w:p>
    <w:p w14:paraId="2FFE56A8" w14:textId="77777777" w:rsidR="00136201" w:rsidRDefault="00000000">
      <w:pPr>
        <w:numPr>
          <w:ilvl w:val="0"/>
          <w:numId w:val="6"/>
        </w:numPr>
        <w:spacing w:before="105" w:after="105" w:line="360" w:lineRule="auto"/>
      </w:pPr>
      <w:r>
        <w:rPr>
          <w:rFonts w:ascii="source serif 4" w:eastAsia="source serif 4" w:hAnsi="source serif 4" w:cs="source serif 4"/>
          <w:color w:val="000000"/>
        </w:rPr>
        <w:t>توقع تحسن الوضع.</w:t>
      </w:r>
    </w:p>
    <w:p w14:paraId="4B4F40D3" w14:textId="77777777" w:rsidR="00136201" w:rsidRDefault="00000000">
      <w:pPr>
        <w:numPr>
          <w:ilvl w:val="0"/>
          <w:numId w:val="6"/>
        </w:numPr>
        <w:spacing w:before="105" w:after="105" w:line="360" w:lineRule="auto"/>
      </w:pPr>
      <w:r>
        <w:rPr>
          <w:rFonts w:ascii="source serif 4" w:eastAsia="source serif 4" w:hAnsi="source serif 4" w:cs="source serif 4"/>
          <w:color w:val="000000"/>
        </w:rPr>
        <w:t>الضغوط الأسرية أو الاجتماعية.</w:t>
      </w:r>
    </w:p>
    <w:p w14:paraId="3A76B7AB" w14:textId="77777777" w:rsidR="00136201" w:rsidRDefault="00000000">
      <w:pPr>
        <w:numPr>
          <w:ilvl w:val="0"/>
          <w:numId w:val="6"/>
        </w:numPr>
        <w:spacing w:before="105" w:after="105" w:line="360" w:lineRule="auto"/>
      </w:pPr>
      <w:r>
        <w:rPr>
          <w:rFonts w:ascii="source serif 4" w:eastAsia="source serif 4" w:hAnsi="source serif 4" w:cs="source serif 4"/>
          <w:color w:val="000000"/>
        </w:rPr>
        <w:t>العادات والتصورات التي تشكلت عبر التجربة السابقة.</w:t>
      </w:r>
    </w:p>
    <w:p w14:paraId="7770ECDD" w14:textId="77777777" w:rsidR="00136201" w:rsidRDefault="00000000">
      <w:pPr>
        <w:spacing w:after="210" w:line="360" w:lineRule="auto"/>
      </w:pPr>
      <w:r>
        <w:rPr>
          <w:rFonts w:ascii="source serif 4" w:eastAsia="source serif 4" w:hAnsi="source serif 4" w:cs="source serif 4"/>
          <w:color w:val="000000"/>
        </w:rPr>
        <w:t>والغاية المنهجية من هذا التعدد منع لوم الشخص على استمراره، ومنع القفز إلى وصفه بأنه «متعلق بالألم» قبل فهم ظروفه. فمعرفة المعاناة لا تعني الرضا عنها، والاستمرار فيها لا يثبت وحده أنها مصدر متعة أو أمان.</w:t>
      </w:r>
    </w:p>
    <w:p w14:paraId="423BE102" w14:textId="77777777" w:rsidR="00136201" w:rsidRDefault="00000000">
      <w:pPr>
        <w:spacing w:before="315" w:after="105" w:line="360" w:lineRule="auto"/>
        <w:ind w:left="-30"/>
      </w:pPr>
      <w:bookmarkStart w:id="57" w:name="bm_13_المقاومة_الرقمية_مسؤولية_مش_fb3587"/>
      <w:r>
        <w:rPr>
          <w:rFonts w:ascii="source serif 4" w:eastAsia="source serif 4" w:hAnsi="source serif 4" w:cs="source serif 4"/>
          <w:b/>
          <w:color w:val="000000"/>
          <w:sz w:val="24"/>
        </w:rPr>
        <w:t>13. المقاومة الرقمية: مسؤولية مشتركة لا اختبار فردي للإرادة</w:t>
      </w:r>
      <w:bookmarkEnd w:id="57"/>
    </w:p>
    <w:p w14:paraId="0E33D3D6" w14:textId="77777777" w:rsidR="00136201" w:rsidRDefault="00000000">
      <w:pPr>
        <w:spacing w:after="210" w:line="360" w:lineRule="auto"/>
      </w:pPr>
      <w:r>
        <w:rPr>
          <w:rFonts w:ascii="source serif 4" w:eastAsia="source serif 4" w:hAnsi="source serif 4" w:cs="source serif 4"/>
          <w:color w:val="000000"/>
        </w:rPr>
        <w:t>إذا كانت المشكلة تتعلق بعلاقات استخراج البيانات وبنى المنصات، فإن اختزال الحل في انضباط المستخدم يبقي الجانب المؤسسي خارج التحليل. وتؤكد أطروحة استعمار البيانات أن موضوع النقد تنظيم اجتماعي واقتصادي أوسع من الاختيار الفردي المنعزل.</w:t>
      </w:r>
      <w:bookmarkStart w:id="58" w:name="fnref4_4"/>
      <w:bookmarkEnd w:id="58"/>
      <w:r>
        <w:fldChar w:fldCharType="begin"/>
      </w:r>
      <w:r>
        <w:instrText>HYPERLINK \l "fn4" \h</w:instrText>
      </w:r>
      <w:r>
        <w:fldChar w:fldCharType="separate"/>
      </w:r>
      <w:r>
        <w:rPr>
          <w:rFonts w:ascii="source sans 3" w:eastAsia="source sans 3" w:hAnsi="source sans 3" w:cs="source sans 3"/>
          <w:u w:val="single"/>
          <w:vertAlign w:val="superscript"/>
        </w:rPr>
        <w:t>[4]</w:t>
      </w:r>
      <w:r>
        <w:fldChar w:fldCharType="end"/>
      </w:r>
      <w:bookmarkStart w:id="59" w:name="fnref6_1"/>
      <w:bookmarkEnd w:id="59"/>
      <w:r>
        <w:fldChar w:fldCharType="begin"/>
      </w:r>
      <w:r>
        <w:instrText>HYPERLINK \l "fn6" \h</w:instrText>
      </w:r>
      <w:r>
        <w:fldChar w:fldCharType="separate"/>
      </w:r>
      <w:r>
        <w:rPr>
          <w:rFonts w:ascii="source sans 3" w:eastAsia="source sans 3" w:hAnsi="source sans 3" w:cs="source sans 3"/>
          <w:u w:val="single"/>
          <w:vertAlign w:val="superscript"/>
        </w:rPr>
        <w:t>[6]</w:t>
      </w:r>
      <w:r>
        <w:fldChar w:fldCharType="end"/>
      </w:r>
    </w:p>
    <w:p w14:paraId="75525E81" w14:textId="77777777" w:rsidR="00136201" w:rsidRDefault="00000000">
      <w:pPr>
        <w:spacing w:after="210" w:line="360" w:lineRule="auto"/>
      </w:pPr>
      <w:r>
        <w:rPr>
          <w:rFonts w:ascii="source serif 4" w:eastAsia="source serif 4" w:hAnsi="source serif 4" w:cs="source serif 4"/>
          <w:color w:val="000000"/>
        </w:rPr>
        <w:t>لذلك يقترح البحث توزيع المقاومة على ثلاثة مستويات:</w:t>
      </w:r>
    </w:p>
    <w:p w14:paraId="740069AE" w14:textId="77777777" w:rsidR="00136201" w:rsidRDefault="00000000">
      <w:pPr>
        <w:spacing w:before="315" w:after="105" w:line="360" w:lineRule="auto"/>
        <w:ind w:left="-30"/>
      </w:pPr>
      <w:bookmarkStart w:id="60" w:name="bm_13_1_المستوى_الفردي"/>
      <w:r>
        <w:rPr>
          <w:rFonts w:ascii="source serif 4" w:eastAsia="source serif 4" w:hAnsi="source serif 4" w:cs="source serif 4"/>
          <w:b/>
          <w:color w:val="000000"/>
          <w:sz w:val="24"/>
        </w:rPr>
        <w:t>13.1. المستوى الفردي</w:t>
      </w:r>
      <w:bookmarkEnd w:id="60"/>
    </w:p>
    <w:p w14:paraId="4EE32AED" w14:textId="77777777" w:rsidR="00136201" w:rsidRDefault="00000000">
      <w:pPr>
        <w:spacing w:after="210" w:line="360" w:lineRule="auto"/>
      </w:pPr>
      <w:r>
        <w:rPr>
          <w:rFonts w:ascii="source serif 4" w:eastAsia="source serif 4" w:hAnsi="source serif 4" w:cs="source serif 4"/>
          <w:color w:val="000000"/>
        </w:rPr>
        <w:t>يتعلق بتوضيح أهداف الاستخدام ومراجعة الأنماط التي تتعارض معها. وتُقوَّم الإجراءات، مثل تقليل الإشعارات أو تخصيص أوقات للاستخدام، بحسب نتائجها الفعلية، لا بحسب افتراض فائدتها للجميع. ويؤيد تفاوت نتائج دراسات الامتناع والتقييد الحاجة إلى هذا التقويم المشروط.</w:t>
      </w:r>
      <w:bookmarkStart w:id="61" w:name="fnref9_1"/>
      <w:bookmarkEnd w:id="61"/>
      <w:r>
        <w:fldChar w:fldCharType="begin"/>
      </w:r>
      <w:r>
        <w:instrText>HYPERLINK \l "fn9" \h</w:instrText>
      </w:r>
      <w:r>
        <w:fldChar w:fldCharType="separate"/>
      </w:r>
      <w:r>
        <w:rPr>
          <w:rFonts w:ascii="source sans 3" w:eastAsia="source sans 3" w:hAnsi="source sans 3" w:cs="source sans 3"/>
          <w:u w:val="single"/>
          <w:vertAlign w:val="superscript"/>
        </w:rPr>
        <w:t>[9]</w:t>
      </w:r>
      <w:r>
        <w:fldChar w:fldCharType="end"/>
      </w:r>
      <w:bookmarkStart w:id="62" w:name="fnref8_1"/>
      <w:bookmarkEnd w:id="62"/>
      <w:r>
        <w:fldChar w:fldCharType="begin"/>
      </w:r>
      <w:r>
        <w:instrText>HYPERLINK \l "fn8" \h</w:instrText>
      </w:r>
      <w:r>
        <w:fldChar w:fldCharType="separate"/>
      </w:r>
      <w:r>
        <w:rPr>
          <w:rFonts w:ascii="source sans 3" w:eastAsia="source sans 3" w:hAnsi="source sans 3" w:cs="source sans 3"/>
          <w:u w:val="single"/>
          <w:vertAlign w:val="superscript"/>
        </w:rPr>
        <w:t>[8]</w:t>
      </w:r>
      <w:r>
        <w:fldChar w:fldCharType="end"/>
      </w:r>
    </w:p>
    <w:p w14:paraId="7BF2A388" w14:textId="77777777" w:rsidR="00136201" w:rsidRDefault="00000000">
      <w:pPr>
        <w:spacing w:before="315" w:after="105" w:line="360" w:lineRule="auto"/>
        <w:ind w:left="-30"/>
      </w:pPr>
      <w:bookmarkStart w:id="63" w:name="bm_13_2_المستوى_التربوي_والاجتماعي"/>
      <w:r>
        <w:rPr>
          <w:rFonts w:ascii="source serif 4" w:eastAsia="source serif 4" w:hAnsi="source serif 4" w:cs="source serif 4"/>
          <w:b/>
          <w:color w:val="000000"/>
          <w:sz w:val="24"/>
        </w:rPr>
        <w:t>13.2. المستوى التربوي والاجتماعي</w:t>
      </w:r>
      <w:bookmarkEnd w:id="63"/>
    </w:p>
    <w:p w14:paraId="267885A7" w14:textId="77777777" w:rsidR="00136201" w:rsidRDefault="00000000">
      <w:pPr>
        <w:spacing w:after="210" w:line="360" w:lineRule="auto"/>
      </w:pPr>
      <w:r>
        <w:rPr>
          <w:rFonts w:ascii="source serif 4" w:eastAsia="source serif 4" w:hAnsi="source serif 4" w:cs="source serif 4"/>
          <w:color w:val="000000"/>
        </w:rPr>
        <w:t>يقترح البحث أن تتجاوز التربية الرقمية التحذير من الشاشة إلى تعليم قراءة البيئة الرقمية: كيف تُبنى المصداقية؟ كيف يختلف الانتشار عن القيمة؟ وكيف يحفظ الفرد علاقاته وخصوصيته أثناء المشاركة؟</w:t>
      </w:r>
    </w:p>
    <w:p w14:paraId="78AC2B0F" w14:textId="77777777" w:rsidR="00136201" w:rsidRDefault="00000000">
      <w:pPr>
        <w:spacing w:before="315" w:after="105" w:line="360" w:lineRule="auto"/>
        <w:ind w:left="-30"/>
      </w:pPr>
      <w:bookmarkStart w:id="64" w:name="bm_13_3_المستوى_المؤسسي"/>
      <w:r>
        <w:rPr>
          <w:rFonts w:ascii="source serif 4" w:eastAsia="source serif 4" w:hAnsi="source serif 4" w:cs="source serif 4"/>
          <w:b/>
          <w:color w:val="000000"/>
          <w:sz w:val="24"/>
        </w:rPr>
        <w:t>13.3. المستوى المؤسسي</w:t>
      </w:r>
      <w:bookmarkEnd w:id="64"/>
    </w:p>
    <w:p w14:paraId="7FFCE504" w14:textId="77777777" w:rsidR="00136201" w:rsidRDefault="00000000">
      <w:pPr>
        <w:spacing w:after="210" w:line="360" w:lineRule="auto"/>
      </w:pPr>
      <w:r>
        <w:rPr>
          <w:rFonts w:ascii="source serif 4" w:eastAsia="source serif 4" w:hAnsi="source serif 4" w:cs="source serif 4"/>
          <w:color w:val="000000"/>
        </w:rPr>
        <w:t>يمكن أن تشمل أجندة البحث تقويم شفافية التوصية، وإمكان التحكم في التخصيص، وحماية البيانات، وتصميم بدائل لا تقوم حصريًا على تعظيم الانخراط. وهذه مقترحات معيارية ينبغي لاحقًا دراستها من حيث القابلية للتطبيق والتكلفة والنتائج، لا تقديمها بوصفها حلولًا مكتملة بمجرد إعلانها.</w:t>
      </w:r>
    </w:p>
    <w:p w14:paraId="23EAD359" w14:textId="77777777" w:rsidR="00136201" w:rsidRDefault="00000000">
      <w:pPr>
        <w:spacing w:before="315" w:after="105" w:line="360" w:lineRule="auto"/>
        <w:ind w:left="-30"/>
      </w:pPr>
      <w:bookmarkStart w:id="65" w:name="bm_14_نحو_برنامج_بحثي_قابل_للاختبار"/>
      <w:r>
        <w:rPr>
          <w:rFonts w:ascii="source serif 4" w:eastAsia="source serif 4" w:hAnsi="source serif 4" w:cs="source serif 4"/>
          <w:b/>
          <w:color w:val="000000"/>
          <w:sz w:val="24"/>
        </w:rPr>
        <w:t>14. نحو برنامج بحثي قابل للاختبار</w:t>
      </w:r>
      <w:bookmarkEnd w:id="65"/>
    </w:p>
    <w:p w14:paraId="02BAD1C8" w14:textId="77777777" w:rsidR="00136201" w:rsidRDefault="00000000">
      <w:pPr>
        <w:spacing w:after="210" w:line="360" w:lineRule="auto"/>
      </w:pPr>
      <w:r>
        <w:rPr>
          <w:rFonts w:ascii="source serif 4" w:eastAsia="source serif 4" w:hAnsi="source serif 4" w:cs="source serif 4"/>
          <w:color w:val="000000"/>
        </w:rPr>
        <w:t>لكي ينتقل الإطار من التأويل إلى المساهمة العلمية القابلة للتقويم، يقترح البحث المراحل الآتية:</w:t>
      </w:r>
    </w:p>
    <w:p w14:paraId="540E8DF7" w14:textId="77777777" w:rsidR="00136201" w:rsidRDefault="00000000">
      <w:pPr>
        <w:spacing w:before="315" w:after="105" w:line="360" w:lineRule="auto"/>
        <w:ind w:left="-30"/>
      </w:pPr>
      <w:bookmarkStart w:id="66" w:name="bm_14_1_تحرير_المفاهيم"/>
      <w:r>
        <w:rPr>
          <w:rFonts w:ascii="source serif 4" w:eastAsia="source serif 4" w:hAnsi="source serif 4" w:cs="source serif 4"/>
          <w:b/>
          <w:color w:val="000000"/>
          <w:sz w:val="24"/>
        </w:rPr>
        <w:t>14.1. تحرير المفاهيم</w:t>
      </w:r>
      <w:bookmarkEnd w:id="66"/>
    </w:p>
    <w:p w14:paraId="4D69324B" w14:textId="77777777" w:rsidR="00136201" w:rsidRDefault="00000000">
      <w:pPr>
        <w:spacing w:after="210" w:line="360" w:lineRule="auto"/>
      </w:pPr>
      <w:r>
        <w:rPr>
          <w:rFonts w:ascii="source serif 4" w:eastAsia="source serif 4" w:hAnsi="source serif 4" w:cs="source serif 4"/>
          <w:color w:val="000000"/>
        </w:rPr>
        <w:t>ينبغي تعريف سيادة الانتباه، والفاعلية الرقمية، والمعنى الاستخلافي، والمسافة النقدية، والجسر السلوكي؛ مع بيان ما يضيفه كل مفهوم وما لا يشمله.</w:t>
      </w:r>
    </w:p>
    <w:p w14:paraId="57BB57DD" w14:textId="77777777" w:rsidR="00136201" w:rsidRDefault="00000000">
      <w:pPr>
        <w:spacing w:before="315" w:after="105" w:line="360" w:lineRule="auto"/>
        <w:ind w:left="-30"/>
      </w:pPr>
      <w:bookmarkStart w:id="67" w:name="bm_14_2_بناء_أدوات_القياس"/>
      <w:r>
        <w:rPr>
          <w:rFonts w:ascii="source serif 4" w:eastAsia="source serif 4" w:hAnsi="source serif 4" w:cs="source serif 4"/>
          <w:b/>
          <w:color w:val="000000"/>
          <w:sz w:val="24"/>
        </w:rPr>
        <w:t>14.2. بناء أدوات القياس</w:t>
      </w:r>
      <w:bookmarkEnd w:id="67"/>
    </w:p>
    <w:p w14:paraId="49269359" w14:textId="77777777" w:rsidR="00136201" w:rsidRDefault="00000000">
      <w:pPr>
        <w:spacing w:after="210" w:line="360" w:lineRule="auto"/>
      </w:pPr>
      <w:r>
        <w:rPr>
          <w:rFonts w:ascii="source serif 4" w:eastAsia="source serif 4" w:hAnsi="source serif 4" w:cs="source serif 4"/>
          <w:color w:val="000000"/>
        </w:rPr>
        <w:t>لا يكفي وجود بنود تحمل أسماء المفاهيم لإثبات صلاحية مقياس. ويقترح البرنامج البحثي فحص فهم المشاركين للبنود، وبنيتها، وثباتها، وعلاقتها بأدوات أخرى، مع تجنب استخدام المقياس لإثبات النظرية التي صيغت بنوده من داخلها دون اختبارات مستقلة.</w:t>
      </w:r>
    </w:p>
    <w:p w14:paraId="67EFA3E8" w14:textId="77777777" w:rsidR="00136201" w:rsidRDefault="00000000">
      <w:pPr>
        <w:spacing w:before="315" w:after="105" w:line="360" w:lineRule="auto"/>
        <w:ind w:left="-30"/>
      </w:pPr>
      <w:bookmarkStart w:id="68" w:name="bm_14_3_صياغة_فرضيات_محددة"/>
      <w:r>
        <w:rPr>
          <w:rFonts w:ascii="source serif 4" w:eastAsia="source serif 4" w:hAnsi="source serif 4" w:cs="source serif 4"/>
          <w:b/>
          <w:color w:val="000000"/>
          <w:sz w:val="24"/>
        </w:rPr>
        <w:t>14.3. صياغة فرضيات محددة</w:t>
      </w:r>
      <w:bookmarkEnd w:id="68"/>
    </w:p>
    <w:p w14:paraId="6F6FEEAB" w14:textId="77777777" w:rsidR="00136201" w:rsidRDefault="00000000">
      <w:pPr>
        <w:spacing w:after="210" w:line="360" w:lineRule="auto"/>
      </w:pPr>
      <w:r>
        <w:rPr>
          <w:rFonts w:ascii="source serif 4" w:eastAsia="source serif 4" w:hAnsi="source serif 4" w:cs="source serif 4"/>
          <w:color w:val="000000"/>
        </w:rPr>
        <w:t>من أمثلة الفرضيات المقترحة:</w:t>
      </w:r>
    </w:p>
    <w:p w14:paraId="34240BD6" w14:textId="77777777" w:rsidR="00136201" w:rsidRDefault="00000000">
      <w:pPr>
        <w:numPr>
          <w:ilvl w:val="0"/>
          <w:numId w:val="7"/>
        </w:numPr>
        <w:spacing w:before="105" w:after="105" w:line="360" w:lineRule="auto"/>
      </w:pPr>
      <w:r>
        <w:rPr>
          <w:rFonts w:ascii="source serif 4" w:eastAsia="source serif 4" w:hAnsi="source serif 4" w:cs="source serif 4"/>
          <w:color w:val="000000"/>
        </w:rPr>
        <w:t>يرتبط وضوح أهداف الاستخدام بانخفاض التصفح المخالف لنية المستخدم.</w:t>
      </w:r>
    </w:p>
    <w:p w14:paraId="65E6D201" w14:textId="77777777" w:rsidR="00136201" w:rsidRDefault="00000000">
      <w:pPr>
        <w:numPr>
          <w:ilvl w:val="0"/>
          <w:numId w:val="7"/>
        </w:numPr>
        <w:spacing w:before="105" w:after="105" w:line="360" w:lineRule="auto"/>
      </w:pPr>
      <w:r>
        <w:rPr>
          <w:rFonts w:ascii="source serif 4" w:eastAsia="source serif 4" w:hAnsi="source serif 4" w:cs="source serif 4"/>
          <w:color w:val="000000"/>
        </w:rPr>
        <w:t>تتوسط الفاعلية المدركة العلاقة بين تنظيم الاستخدام والرفاه.</w:t>
      </w:r>
    </w:p>
    <w:p w14:paraId="63135238" w14:textId="77777777" w:rsidR="00136201" w:rsidRDefault="00000000">
      <w:pPr>
        <w:numPr>
          <w:ilvl w:val="0"/>
          <w:numId w:val="7"/>
        </w:numPr>
        <w:spacing w:before="105" w:after="105" w:line="360" w:lineRule="auto"/>
      </w:pPr>
      <w:r>
        <w:rPr>
          <w:rFonts w:ascii="source serif 4" w:eastAsia="source serif 4" w:hAnsi="source serif 4" w:cs="source serif 4"/>
          <w:color w:val="000000"/>
        </w:rPr>
        <w:t>يختلف أثر تقليل الاستخدام بحسب نوع النشاط الذي يعوضه.</w:t>
      </w:r>
    </w:p>
    <w:p w14:paraId="774610B9" w14:textId="77777777" w:rsidR="00136201" w:rsidRDefault="00000000">
      <w:pPr>
        <w:numPr>
          <w:ilvl w:val="0"/>
          <w:numId w:val="7"/>
        </w:numPr>
        <w:spacing w:before="105" w:after="105" w:line="360" w:lineRule="auto"/>
      </w:pPr>
      <w:r>
        <w:rPr>
          <w:rFonts w:ascii="source serif 4" w:eastAsia="source serif 4" w:hAnsi="source serif 4" w:cs="source serif 4"/>
          <w:color w:val="000000"/>
        </w:rPr>
        <w:t>قد يدعم ربط القيم بأفعال صغيرة الالتزام بالأهداف أكثر من التذكير القيمي العام وحده.</w:t>
      </w:r>
    </w:p>
    <w:p w14:paraId="55FC7600" w14:textId="77777777" w:rsidR="00136201" w:rsidRDefault="00000000">
      <w:pPr>
        <w:spacing w:after="210" w:line="360" w:lineRule="auto"/>
      </w:pPr>
      <w:r>
        <w:rPr>
          <w:rFonts w:ascii="source serif 4" w:eastAsia="source serif 4" w:hAnsi="source serif 4" w:cs="source serif 4"/>
          <w:color w:val="000000"/>
        </w:rPr>
        <w:t>هذه فرضيات للبحث، وليست نتائج ثبتت في الدراسة الحالية.</w:t>
      </w:r>
    </w:p>
    <w:p w14:paraId="5147D450" w14:textId="77777777" w:rsidR="00136201" w:rsidRDefault="00000000">
      <w:pPr>
        <w:spacing w:before="315" w:after="105" w:line="360" w:lineRule="auto"/>
        <w:ind w:left="-30"/>
      </w:pPr>
      <w:bookmarkStart w:id="69" w:name="bm_14_4_تقويم_التدخل_ومراقبة_آثار_3c129d"/>
      <w:r>
        <w:rPr>
          <w:rFonts w:ascii="source serif 4" w:eastAsia="source serif 4" w:hAnsi="source serif 4" w:cs="source serif 4"/>
          <w:b/>
          <w:color w:val="000000"/>
          <w:sz w:val="24"/>
        </w:rPr>
        <w:t>14.4. تقويم التدخل ومراقبة آثاره غير المرغوبة</w:t>
      </w:r>
      <w:bookmarkEnd w:id="69"/>
    </w:p>
    <w:p w14:paraId="4BA8D3A2" w14:textId="77777777" w:rsidR="00136201" w:rsidRDefault="00000000">
      <w:pPr>
        <w:spacing w:after="210" w:line="360" w:lineRule="auto"/>
      </w:pPr>
      <w:r>
        <w:rPr>
          <w:rFonts w:ascii="source serif 4" w:eastAsia="source serif 4" w:hAnsi="source serif 4" w:cs="source serif 4"/>
          <w:color w:val="000000"/>
        </w:rPr>
        <w:t>يمكن مقارنة برنامج توعية رقمية، وبرنامج تنظيم سلوكي، وبرنامج يدمج القيم بالأهداف العملية، وفق تصميم مناسب ومقاييس محددة مسبقًا. وينبغي ألا يقتصر التقويم على انخفاض مدة الاستخدام، بل يشمل تحسن الأداء والعلاقات والرضا عن الاختيارات، مع رصد ما إذا كان البرنامج يزيد الذنب أو العزلة أو الضغط الأخلاقي.</w:t>
      </w:r>
    </w:p>
    <w:p w14:paraId="26CBCE23" w14:textId="77777777" w:rsidR="00136201" w:rsidRDefault="00000000">
      <w:pPr>
        <w:spacing w:before="315" w:after="105" w:line="360" w:lineRule="auto"/>
        <w:ind w:left="-30"/>
      </w:pPr>
      <w:bookmarkStart w:id="70" w:name="bm_15_الضبط_التوثيقي_للمادة_الأصلية"/>
      <w:r>
        <w:rPr>
          <w:rFonts w:ascii="source serif 4" w:eastAsia="source serif 4" w:hAnsi="source serif 4" w:cs="source serif 4"/>
          <w:b/>
          <w:color w:val="000000"/>
          <w:sz w:val="24"/>
        </w:rPr>
        <w:t>15. الضبط التوثيقي للمادة الأصلية</w:t>
      </w:r>
      <w:bookmarkEnd w:id="70"/>
    </w:p>
    <w:p w14:paraId="73AFD7D9" w14:textId="77777777" w:rsidR="00136201" w:rsidRDefault="00000000">
      <w:pPr>
        <w:spacing w:after="210" w:line="360" w:lineRule="auto"/>
      </w:pPr>
      <w:r>
        <w:rPr>
          <w:rFonts w:ascii="source serif 4" w:eastAsia="source serif 4" w:hAnsi="source serif 4" w:cs="source serif 4"/>
          <w:color w:val="000000"/>
        </w:rPr>
        <w:t>تحقيق المحافظة على المصادر يقتضي صونها من سوء الاستخدام، لا مجرد إبقاء أرقامها. وتكشف مراجعة الملف عن المشكلات الآتية:</w:t>
      </w:r>
      <w:bookmarkStart w:id="71" w:name="fnref1_8"/>
      <w:bookmarkEnd w:id="71"/>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544"/>
        <w:gridCol w:w="3069"/>
      </w:tblGrid>
      <w:tr w:rsidR="00136201" w14:paraId="6AB5C6C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BF89672" w14:textId="77777777" w:rsidR="00136201" w:rsidRDefault="00000000">
            <w:pPr>
              <w:spacing w:line="360" w:lineRule="auto"/>
            </w:pPr>
            <w:r>
              <w:rPr>
                <w:rFonts w:ascii="source sans 3" w:eastAsia="source sans 3" w:hAnsi="source sans 3" w:cs="source sans 3"/>
                <w:color w:val="000000"/>
                <w:sz w:val="17"/>
              </w:rPr>
              <w:t>حالة الإحالة</w:t>
            </w:r>
          </w:p>
        </w:tc>
        <w:tc>
          <w:tcPr>
            <w:tcW w:w="0" w:type="auto"/>
            <w:tcBorders>
              <w:top w:val="single" w:sz="1" w:space="0" w:color="000000"/>
              <w:bottom w:val="single" w:sz="1" w:space="0" w:color="000000"/>
            </w:tcBorders>
          </w:tcPr>
          <w:p w14:paraId="4AB05B92" w14:textId="77777777" w:rsidR="00136201" w:rsidRDefault="00000000">
            <w:pPr>
              <w:spacing w:line="360" w:lineRule="auto"/>
            </w:pPr>
            <w:r>
              <w:rPr>
                <w:rFonts w:ascii="source sans 3" w:eastAsia="source sans 3" w:hAnsi="source sans 3" w:cs="source sans 3"/>
                <w:color w:val="000000"/>
                <w:sz w:val="17"/>
              </w:rPr>
              <w:t>المعالجة الأكاديمية المناسبة</w:t>
            </w:r>
          </w:p>
        </w:tc>
      </w:tr>
      <w:tr w:rsidR="00136201" w14:paraId="5AAC1CA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A98B3B6" w14:textId="77777777" w:rsidR="00136201" w:rsidRDefault="00000000">
            <w:pPr>
              <w:spacing w:line="360" w:lineRule="auto"/>
            </w:pPr>
            <w:r>
              <w:rPr>
                <w:rFonts w:ascii="source sans 3" w:eastAsia="source sans 3" w:hAnsi="source sans 3" w:cs="source sans 3"/>
                <w:color w:val="000000"/>
                <w:sz w:val="17"/>
              </w:rPr>
              <w:t>مقال محدد أمكن قراءة محتواه</w:t>
            </w:r>
          </w:p>
        </w:tc>
        <w:tc>
          <w:tcPr>
            <w:tcW w:w="0" w:type="auto"/>
            <w:tcBorders>
              <w:top w:val="single" w:sz="1" w:space="0" w:color="000000"/>
              <w:bottom w:val="single" w:sz="1" w:space="0" w:color="000000"/>
            </w:tcBorders>
          </w:tcPr>
          <w:p w14:paraId="2F333605" w14:textId="77777777" w:rsidR="00136201" w:rsidRDefault="00000000">
            <w:pPr>
              <w:spacing w:line="360" w:lineRule="auto"/>
            </w:pPr>
            <w:r>
              <w:rPr>
                <w:rFonts w:ascii="source sans 3" w:eastAsia="source sans 3" w:hAnsi="source sans 3" w:cs="source sans 3"/>
                <w:color w:val="000000"/>
                <w:sz w:val="17"/>
              </w:rPr>
              <w:t>إسناد ما يقوله المؤلف إليه، مع بياناته المتاحة</w:t>
            </w:r>
          </w:p>
        </w:tc>
      </w:tr>
      <w:tr w:rsidR="00136201" w14:paraId="432CC8E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7D52843" w14:textId="77777777" w:rsidR="00136201" w:rsidRDefault="00000000">
            <w:pPr>
              <w:spacing w:line="360" w:lineRule="auto"/>
            </w:pPr>
            <w:r>
              <w:rPr>
                <w:rFonts w:ascii="source sans 3" w:eastAsia="source sans 3" w:hAnsi="source sans 3" w:cs="source sans 3"/>
                <w:color w:val="000000"/>
                <w:sz w:val="17"/>
              </w:rPr>
              <w:t>رابط لصفحة رئيسية أو فهرس</w:t>
            </w:r>
          </w:p>
        </w:tc>
        <w:tc>
          <w:tcPr>
            <w:tcW w:w="0" w:type="auto"/>
            <w:tcBorders>
              <w:top w:val="single" w:sz="1" w:space="0" w:color="000000"/>
              <w:bottom w:val="single" w:sz="1" w:space="0" w:color="000000"/>
            </w:tcBorders>
          </w:tcPr>
          <w:p w14:paraId="67765F24" w14:textId="77777777" w:rsidR="00136201" w:rsidRDefault="00000000">
            <w:pPr>
              <w:spacing w:line="360" w:lineRule="auto"/>
            </w:pPr>
            <w:r>
              <w:rPr>
                <w:rFonts w:ascii="source sans 3" w:eastAsia="source sans 3" w:hAnsi="source sans 3" w:cs="source sans 3"/>
                <w:color w:val="000000"/>
                <w:sz w:val="17"/>
              </w:rPr>
              <w:t>استخدامه للتعريف بالموقع، لا لإثبات دعوى تفصيلية</w:t>
            </w:r>
          </w:p>
        </w:tc>
      </w:tr>
      <w:tr w:rsidR="00136201" w14:paraId="28F6C00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8237A04" w14:textId="77777777" w:rsidR="00136201" w:rsidRDefault="00000000">
            <w:pPr>
              <w:spacing w:line="360" w:lineRule="auto"/>
            </w:pPr>
            <w:r>
              <w:rPr>
                <w:rFonts w:ascii="source sans 3" w:eastAsia="source sans 3" w:hAnsi="source sans 3" w:cs="source sans 3"/>
                <w:color w:val="000000"/>
                <w:sz w:val="17"/>
              </w:rPr>
              <w:t>ملف بلا عنوان ومؤلف ظاهرين في القائمة</w:t>
            </w:r>
          </w:p>
        </w:tc>
        <w:tc>
          <w:tcPr>
            <w:tcW w:w="0" w:type="auto"/>
            <w:tcBorders>
              <w:top w:val="single" w:sz="1" w:space="0" w:color="000000"/>
              <w:bottom w:val="single" w:sz="1" w:space="0" w:color="000000"/>
            </w:tcBorders>
          </w:tcPr>
          <w:p w14:paraId="740CC537" w14:textId="77777777" w:rsidR="00136201" w:rsidRDefault="00000000">
            <w:pPr>
              <w:spacing w:line="360" w:lineRule="auto"/>
            </w:pPr>
            <w:r>
              <w:rPr>
                <w:rFonts w:ascii="source sans 3" w:eastAsia="source sans 3" w:hAnsi="source sans 3" w:cs="source sans 3"/>
                <w:color w:val="000000"/>
                <w:sz w:val="17"/>
              </w:rPr>
              <w:t>استكمال بياناته قبل اعتماده</w:t>
            </w:r>
          </w:p>
        </w:tc>
      </w:tr>
      <w:tr w:rsidR="00136201" w14:paraId="40A8207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D3269F2" w14:textId="77777777" w:rsidR="00136201" w:rsidRDefault="00000000">
            <w:pPr>
              <w:spacing w:line="360" w:lineRule="auto"/>
            </w:pPr>
            <w:r>
              <w:rPr>
                <w:rFonts w:ascii="source sans 3" w:eastAsia="source sans 3" w:hAnsi="source sans 3" w:cs="source sans 3"/>
                <w:color w:val="000000"/>
                <w:sz w:val="17"/>
              </w:rPr>
              <w:t>أرقام مجمعة تحت «مراجع متنوعة»</w:t>
            </w:r>
          </w:p>
        </w:tc>
        <w:tc>
          <w:tcPr>
            <w:tcW w:w="0" w:type="auto"/>
            <w:tcBorders>
              <w:top w:val="single" w:sz="1" w:space="0" w:color="000000"/>
              <w:bottom w:val="single" w:sz="1" w:space="0" w:color="000000"/>
            </w:tcBorders>
          </w:tcPr>
          <w:p w14:paraId="32173DBC" w14:textId="77777777" w:rsidR="00136201" w:rsidRDefault="00000000">
            <w:pPr>
              <w:spacing w:line="360" w:lineRule="auto"/>
            </w:pPr>
            <w:r>
              <w:rPr>
                <w:rFonts w:ascii="source sans 3" w:eastAsia="source sans 3" w:hAnsi="source sans 3" w:cs="source sans 3"/>
                <w:color w:val="000000"/>
                <w:sz w:val="17"/>
              </w:rPr>
              <w:t>اعتبار توثيقها غير مكتمل</w:t>
            </w:r>
          </w:p>
        </w:tc>
      </w:tr>
      <w:tr w:rsidR="00136201" w14:paraId="75B5178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CF1BCBD" w14:textId="77777777" w:rsidR="00136201" w:rsidRDefault="00000000">
            <w:pPr>
              <w:spacing w:line="360" w:lineRule="auto"/>
            </w:pPr>
            <w:r>
              <w:rPr>
                <w:rFonts w:ascii="source sans 3" w:eastAsia="source sans 3" w:hAnsi="source sans 3" w:cs="source sans 3"/>
                <w:color w:val="000000"/>
                <w:sz w:val="17"/>
              </w:rPr>
              <w:t>معجم لغوي يُحال إليه في دعوى نفسية</w:t>
            </w:r>
          </w:p>
        </w:tc>
        <w:tc>
          <w:tcPr>
            <w:tcW w:w="0" w:type="auto"/>
            <w:tcBorders>
              <w:top w:val="single" w:sz="1" w:space="0" w:color="000000"/>
              <w:bottom w:val="single" w:sz="1" w:space="0" w:color="000000"/>
            </w:tcBorders>
          </w:tcPr>
          <w:p w14:paraId="30E253C9" w14:textId="77777777" w:rsidR="00136201" w:rsidRDefault="00000000">
            <w:pPr>
              <w:spacing w:line="360" w:lineRule="auto"/>
            </w:pPr>
            <w:r>
              <w:rPr>
                <w:rFonts w:ascii="source sans 3" w:eastAsia="source sans 3" w:hAnsi="source sans 3" w:cs="source sans 3"/>
                <w:color w:val="000000"/>
                <w:sz w:val="17"/>
              </w:rPr>
              <w:t>قصر الاستشهاد على المعنى اللغوي</w:t>
            </w:r>
          </w:p>
        </w:tc>
      </w:tr>
      <w:tr w:rsidR="00136201" w14:paraId="47DAD44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F54FAF3" w14:textId="77777777" w:rsidR="00136201" w:rsidRDefault="00000000">
            <w:pPr>
              <w:spacing w:line="360" w:lineRule="auto"/>
            </w:pPr>
            <w:r>
              <w:rPr>
                <w:rFonts w:ascii="source sans 3" w:eastAsia="source sans 3" w:hAnsi="source sans 3" w:cs="source sans 3"/>
                <w:color w:val="000000"/>
                <w:sz w:val="17"/>
              </w:rPr>
              <w:t>تكرار المصدر بأرقام مختلفة</w:t>
            </w:r>
          </w:p>
        </w:tc>
        <w:tc>
          <w:tcPr>
            <w:tcW w:w="0" w:type="auto"/>
            <w:tcBorders>
              <w:top w:val="single" w:sz="1" w:space="0" w:color="000000"/>
              <w:bottom w:val="single" w:sz="1" w:space="0" w:color="000000"/>
            </w:tcBorders>
          </w:tcPr>
          <w:p w14:paraId="3A2C12D2" w14:textId="77777777" w:rsidR="00136201" w:rsidRDefault="00000000">
            <w:pPr>
              <w:spacing w:line="360" w:lineRule="auto"/>
            </w:pPr>
            <w:r>
              <w:rPr>
                <w:rFonts w:ascii="source sans 3" w:eastAsia="source sans 3" w:hAnsi="source sans 3" w:cs="source sans 3"/>
                <w:color w:val="000000"/>
                <w:sz w:val="17"/>
              </w:rPr>
              <w:t>توحيد التسجيل مع الحفاظ على مواضع الاستشهاد</w:t>
            </w:r>
          </w:p>
        </w:tc>
      </w:tr>
    </w:tbl>
    <w:p w14:paraId="310DDD3E" w14:textId="77777777" w:rsidR="00136201" w:rsidRDefault="00136201"/>
    <w:p w14:paraId="7BED5143" w14:textId="77777777" w:rsidR="00136201" w:rsidRDefault="00000000">
      <w:pPr>
        <w:spacing w:after="210" w:line="360" w:lineRule="auto"/>
      </w:pPr>
      <w:r>
        <w:rPr>
          <w:rFonts w:ascii="source serif 4" w:eastAsia="source serif 4" w:hAnsi="source serif 4" w:cs="source serif 4"/>
          <w:color w:val="000000"/>
        </w:rPr>
        <w:t>ومن المصادر الأصلية التي أمكن التحقق من محتواها: مادة «الجزء الثاني: التحدي الراهن، تفكيك رأسمالية المراقبة في ضوء النموذج النفسي الاستخلافي»، المنسوبة إلى عبد السلام الزراع والمنشورة سنة 2026؛ ومقال «الإنسان بين الخوارزمية والوحي» المؤرخ في 5 سبتمبر 2026. أما أرقام الصفحات الظاهرة داخل بعض هذه المواد، فلا يصح نقلها بوصفها إحالات محققة إلى كتاب كامل ما لم تُراجع النسخة المقصودة مباشرة.</w:t>
      </w:r>
      <w:bookmarkStart w:id="72" w:name="fnref2_2"/>
      <w:bookmarkEnd w:id="72"/>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bookmarkStart w:id="73" w:name="fnref3_6"/>
      <w:bookmarkEnd w:id="73"/>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p>
    <w:p w14:paraId="5A536AF4" w14:textId="77777777" w:rsidR="00136201" w:rsidRDefault="00000000">
      <w:pPr>
        <w:spacing w:after="210" w:line="360" w:lineRule="auto"/>
      </w:pPr>
      <w:r>
        <w:rPr>
          <w:rFonts w:ascii="source serif 4" w:eastAsia="source serif 4" w:hAnsi="source serif 4" w:cs="source serif 4"/>
          <w:color w:val="000000"/>
        </w:rPr>
        <w:t>والصياغة الببليوغرافية النهائية تحتاج، لكل مادة، إلى: اسم المؤلف، والعنوان الكامل، والتاريخ المتاح، ونوع المنشور، والجهة الناشرة، والرابط، وتاريخ الاطلاع عند الحاجة. ولا ينبغي استكمال أي عنصر بالتخمين.</w:t>
      </w:r>
    </w:p>
    <w:p w14:paraId="4D3AF6F8" w14:textId="77777777" w:rsidR="00136201" w:rsidRDefault="00000000">
      <w:pPr>
        <w:spacing w:before="315" w:after="105" w:line="360" w:lineRule="auto"/>
        <w:ind w:left="-30"/>
      </w:pPr>
      <w:bookmarkStart w:id="74" w:name="الخاتمة"/>
      <w:r>
        <w:rPr>
          <w:rFonts w:ascii="source serif 4" w:eastAsia="source serif 4" w:hAnsi="source serif 4" w:cs="source serif 4"/>
          <w:b/>
          <w:color w:val="000000"/>
          <w:sz w:val="24"/>
        </w:rPr>
        <w:t>الخاتمة</w:t>
      </w:r>
      <w:bookmarkEnd w:id="74"/>
    </w:p>
    <w:p w14:paraId="6A216A3F" w14:textId="77777777" w:rsidR="00136201" w:rsidRDefault="00000000">
      <w:pPr>
        <w:spacing w:after="210" w:line="360" w:lineRule="auto"/>
      </w:pPr>
      <w:r>
        <w:rPr>
          <w:rFonts w:ascii="source serif 4" w:eastAsia="source serif 4" w:hAnsi="source serif 4" w:cs="source serif 4"/>
          <w:color w:val="000000"/>
        </w:rPr>
        <w:t>تسمح إعادة بناء البحث بتحديد أطروحته على نحو أكثر اتساقًا: يمكن للمنظور الاستخلافي أن يقدم لغة معيارية لفهم الإنسان بوصفه ذاتًا لا تختزلها البيانات أو الاستجابات أو مؤشرات الأداء، وأن يقترح أسئلة مهمة عن الانتباه والمرجعية والمسؤولية. وهذه هي المساحة التي تبرز في نصوص المشروع التي أمكن التحقق منها.</w:t>
      </w:r>
      <w:bookmarkStart w:id="75" w:name="fnref2_3"/>
      <w:bookmarkEnd w:id="75"/>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bookmarkStart w:id="76" w:name="fnref3_7"/>
      <w:bookmarkEnd w:id="76"/>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p>
    <w:p w14:paraId="1EF5F125" w14:textId="77777777" w:rsidR="00136201" w:rsidRDefault="00000000">
      <w:pPr>
        <w:spacing w:after="210" w:line="360" w:lineRule="auto"/>
      </w:pPr>
      <w:r>
        <w:rPr>
          <w:rFonts w:ascii="source serif 4" w:eastAsia="source serif 4" w:hAnsi="source serif 4" w:cs="source serif 4"/>
          <w:color w:val="000000"/>
        </w:rPr>
        <w:t>لكن تطوير هذه الإمكانات يقتضي المحافظة على الفروق بين المعنى والتشخيص، وبين التأويل والسبب، وبين المقترح العلاجي والعلاج المثبت. كما يقتضي عدم اختزال الألم في رسالة أخلاقية، أو الاكتئاب في فراغ وجودي، أو المقاومة الرقمية في قوة إرادة فردية؛ إذ تؤكد المصادر الصحية تعدد عوامل الاكتئاب والألم، وتبين أدلة تقليل الاستخدام أن النتائج مشروطة وليست موحدة.</w:t>
      </w:r>
      <w:bookmarkStart w:id="77" w:name="fnref8_2"/>
      <w:bookmarkEnd w:id="77"/>
      <w:r>
        <w:fldChar w:fldCharType="begin"/>
      </w:r>
      <w:r>
        <w:instrText>HYPERLINK \l "fn8" \h</w:instrText>
      </w:r>
      <w:r>
        <w:fldChar w:fldCharType="separate"/>
      </w:r>
      <w:r>
        <w:rPr>
          <w:rFonts w:ascii="source sans 3" w:eastAsia="source sans 3" w:hAnsi="source sans 3" w:cs="source sans 3"/>
          <w:u w:val="single"/>
          <w:vertAlign w:val="superscript"/>
        </w:rPr>
        <w:t>[8]</w:t>
      </w:r>
      <w:r>
        <w:fldChar w:fldCharType="end"/>
      </w:r>
      <w:bookmarkStart w:id="78" w:name="fnref9_2"/>
      <w:bookmarkEnd w:id="78"/>
      <w:r>
        <w:fldChar w:fldCharType="begin"/>
      </w:r>
      <w:r>
        <w:instrText>HYPERLINK \l "fn9" \h</w:instrText>
      </w:r>
      <w:r>
        <w:fldChar w:fldCharType="separate"/>
      </w:r>
      <w:r>
        <w:rPr>
          <w:rFonts w:ascii="source sans 3" w:eastAsia="source sans 3" w:hAnsi="source sans 3" w:cs="source sans 3"/>
          <w:u w:val="single"/>
          <w:vertAlign w:val="superscript"/>
        </w:rPr>
        <w:t>[9]</w:t>
      </w:r>
      <w:r>
        <w:fldChar w:fldCharType="end"/>
      </w:r>
      <w:bookmarkStart w:id="79" w:name="fnref11_2"/>
      <w:bookmarkEnd w:id="79"/>
      <w:r>
        <w:fldChar w:fldCharType="begin"/>
      </w:r>
      <w:r>
        <w:instrText>HYPERLINK \l "fn11" \h</w:instrText>
      </w:r>
      <w:r>
        <w:fldChar w:fldCharType="separate"/>
      </w:r>
      <w:r>
        <w:rPr>
          <w:rFonts w:ascii="source sans 3" w:eastAsia="source sans 3" w:hAnsi="source sans 3" w:cs="source sans 3"/>
          <w:u w:val="single"/>
          <w:vertAlign w:val="superscript"/>
        </w:rPr>
        <w:t>[11]</w:t>
      </w:r>
      <w:r>
        <w:fldChar w:fldCharType="end"/>
      </w:r>
      <w:bookmarkStart w:id="80" w:name="fnref13_1"/>
      <w:bookmarkEnd w:id="80"/>
      <w:r>
        <w:fldChar w:fldCharType="begin"/>
      </w:r>
      <w:r>
        <w:instrText>HYPERLINK \l "fn13" \h</w:instrText>
      </w:r>
      <w:r>
        <w:fldChar w:fldCharType="separate"/>
      </w:r>
      <w:r>
        <w:rPr>
          <w:rFonts w:ascii="source sans 3" w:eastAsia="source sans 3" w:hAnsi="source sans 3" w:cs="source sans 3"/>
          <w:u w:val="single"/>
          <w:vertAlign w:val="superscript"/>
        </w:rPr>
        <w:t>[13]</w:t>
      </w:r>
      <w:r>
        <w:fldChar w:fldCharType="end"/>
      </w:r>
    </w:p>
    <w:p w14:paraId="3119CDC7" w14:textId="73676777" w:rsidR="00136201" w:rsidRDefault="00000000" w:rsidP="00AB091C">
      <w:pPr>
        <w:spacing w:after="210" w:line="360" w:lineRule="auto"/>
      </w:pPr>
      <w:r>
        <w:rPr>
          <w:rFonts w:ascii="source serif 4" w:eastAsia="source serif 4" w:hAnsi="source serif 4" w:cs="source serif 4"/>
          <w:color w:val="000000"/>
        </w:rPr>
        <w:t>وعلى هذا الأساس، لا تتمثل الخطوة الأكاديمية الأهم في توسيع لغة المشروع وحدها، بل في جعل مفاهيمه أوضح، وحدوده أصرح، وادعاءاته قابلة للفحص. عندئذ يمكن أن يتحول البحث من عرض تأييدي لأفكار متجاورة إلى دراسة نقدية متماسكة: تحفظ خصوصية المرجعية، وتلتزم بأخلاقيات الرعاية، وتفتح مجالًا لاختبار ما تقترحه بدل افتراض صحته مقدمًا.</w:t>
      </w:r>
      <w:r w:rsidR="00AB091C">
        <w:rPr>
          <w:noProof/>
        </w:rPr>
      </w:r>
      <w:r w:rsidR="00AB091C">
        <w:rPr>
          <w:noProof/>
        </w:rPr>
        <w:pict w14:anchorId="5CFF58CC">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5F825E2" w14:textId="77777777" w:rsidR="00136201" w:rsidRDefault="00000000">
      <w:pPr>
        <w:spacing w:before="157" w:after="157" w:line="270" w:lineRule="auto"/>
      </w:pPr>
      <w:bookmarkStart w:id="81" w:name="القسم_الثاني_الاستعمار_الخوارزمي_c25330"/>
      <w:r>
        <w:rPr>
          <w:rFonts w:ascii="source serif 4" w:eastAsia="source serif 4" w:hAnsi="source serif 4" w:cs="source serif 4"/>
          <w:b/>
          <w:color w:val="000000"/>
          <w:sz w:val="39"/>
        </w:rPr>
        <w:t>القسم الثاني: الاستعمار الخوارزمي، وسيادة الانتباه، والفجوة الرمزية</w:t>
      </w:r>
      <w:bookmarkEnd w:id="81"/>
    </w:p>
    <w:p w14:paraId="5BD219BB" w14:textId="77777777" w:rsidR="00136201" w:rsidRDefault="00000000">
      <w:pPr>
        <w:spacing w:before="315" w:after="105" w:line="360" w:lineRule="auto"/>
        <w:ind w:left="-30"/>
      </w:pPr>
      <w:bookmarkStart w:id="82" w:name="bm_1_تمهيد_منهجي"/>
      <w:r>
        <w:rPr>
          <w:rFonts w:ascii="source serif 4" w:eastAsia="source serif 4" w:hAnsi="source serif 4" w:cs="source serif 4"/>
          <w:b/>
          <w:color w:val="000000"/>
          <w:sz w:val="24"/>
        </w:rPr>
        <w:t>1. تمهيد منهجي</w:t>
      </w:r>
      <w:bookmarkEnd w:id="82"/>
    </w:p>
    <w:p w14:paraId="2631F17A" w14:textId="77777777" w:rsidR="00136201" w:rsidRDefault="00000000">
      <w:pPr>
        <w:spacing w:after="210" w:line="360" w:lineRule="auto"/>
      </w:pPr>
      <w:r>
        <w:rPr>
          <w:rFonts w:ascii="source serif 4" w:eastAsia="source serif 4" w:hAnsi="source serif 4" w:cs="source serif 4"/>
          <w:color w:val="000000"/>
        </w:rPr>
        <w:t>يهدف هذا القسم إلى تحليل البنية التي يقوم عليها خطاب «الاستعمار الخوارزمي» في مشروع علم النفس الاستخلافي، مع تحديد ما يمكن اعتباره أطروحة صاحب المشروع، وما يحتاج إلى توضيح مفهومي، وما ينبغي فصله عن النتائج التجريبية أو السريرية. فالنص الأصلي ينتقل بين ثلاثة مستويات: نقد اجتماعي لرأسمالية المراقبة، وتأويل نفسي ديني للنفس الإنسانية، واقتراح عملي لمقاومة الاستلاب الرقمي. ويتطلب الانضباط الأكاديمي إظهار هذا الانتقال بدل إخفائه تحت مصطلح واحد.</w:t>
      </w:r>
    </w:p>
    <w:p w14:paraId="6509A74A" w14:textId="1D55BF51" w:rsidR="00136201" w:rsidRDefault="00000000">
      <w:pPr>
        <w:spacing w:after="210" w:line="360" w:lineRule="auto"/>
      </w:pPr>
      <w:r>
        <w:rPr>
          <w:rFonts w:ascii="source serif 4" w:eastAsia="source serif 4" w:hAnsi="source serif 4" w:cs="source serif 4"/>
          <w:color w:val="000000"/>
        </w:rPr>
        <w:t xml:space="preserve">ويستند هذا القسم إلى مادتين أصليتين من مشروع </w:t>
      </w:r>
      <w:r w:rsidR="00B0387A">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 xml:space="preserve">كتاب </w:t>
      </w:r>
      <w:r>
        <w:rPr>
          <w:rFonts w:ascii="source serif 4" w:eastAsia="source serif 4" w:hAnsi="source serif 4" w:cs="source serif 4"/>
          <w:i/>
          <w:color w:val="000000"/>
        </w:rPr>
        <w:t>الجزء الثاني: التحدي الراهن، تفكيك «رأسمالية المراقبة» في ضوء النموذج النفسي الاستخلافي</w:t>
      </w:r>
      <w:r>
        <w:rPr>
          <w:rFonts w:ascii="source serif 4" w:eastAsia="source serif 4" w:hAnsi="source serif 4" w:cs="source serif 4"/>
          <w:color w:val="000000"/>
        </w:rPr>
        <w:t xml:space="preserve">، المنشور سنة 2026؛ ومقال </w:t>
      </w:r>
      <w:r>
        <w:rPr>
          <w:rFonts w:ascii="source serif 4" w:eastAsia="source serif 4" w:hAnsi="source serif 4" w:cs="source serif 4"/>
          <w:i/>
          <w:color w:val="000000"/>
        </w:rPr>
        <w:t>الإنسان بين الخوارزمية والوحي</w:t>
      </w:r>
      <w:r>
        <w:rPr>
          <w:rFonts w:ascii="source serif 4" w:eastAsia="source serif 4" w:hAnsi="source serif 4" w:cs="source serif 4"/>
          <w:color w:val="000000"/>
        </w:rPr>
        <w:t xml:space="preserve">، المنشور في 5 سبتمبر 2026. وتعالج المادة الأولى الخوارزميات بوصفها قوة تؤثر في الوعي والسلوك والهوية، وتناقش «استعمار الانتباه» وتحويل التجربة الإنسانية إلى مادة خام. أما المقال الثاني، فيوسّع التحليل إلى حوار مع مبرهنتي </w:t>
      </w:r>
      <w:proofErr w:type="spellStart"/>
      <w:r>
        <w:rPr>
          <w:rFonts w:ascii="source serif 4" w:eastAsia="source serif 4" w:hAnsi="source serif 4" w:cs="source serif 4"/>
          <w:color w:val="000000"/>
        </w:rPr>
        <w:t>غودل</w:t>
      </w:r>
      <w:proofErr w:type="spellEnd"/>
      <w:r>
        <w:rPr>
          <w:rFonts w:ascii="source serif 4" w:eastAsia="source serif 4" w:hAnsi="source serif 4" w:cs="source serif 4"/>
          <w:color w:val="000000"/>
        </w:rPr>
        <w:t xml:space="preserve">، ومجتمع الإنجاز عند بيونغ-تشول هان، ورأسمالية المراقبة عند شوشانا </w:t>
      </w:r>
      <w:proofErr w:type="spellStart"/>
      <w:r>
        <w:rPr>
          <w:rFonts w:ascii="source serif 4" w:eastAsia="source serif 4" w:hAnsi="source serif 4" w:cs="source serif 4"/>
          <w:color w:val="000000"/>
        </w:rPr>
        <w:t>زوبوف</w:t>
      </w:r>
      <w:proofErr w:type="spellEnd"/>
      <w:r>
        <w:rPr>
          <w:rFonts w:ascii="source serif 4" w:eastAsia="source serif 4" w:hAnsi="source serif 4" w:cs="source serif 4"/>
          <w:color w:val="000000"/>
        </w:rPr>
        <w:t xml:space="preserve">، والآخر الكبير عند </w:t>
      </w:r>
      <w:proofErr w:type="spellStart"/>
      <w:r>
        <w:rPr>
          <w:rFonts w:ascii="source serif 4" w:eastAsia="source serif 4" w:hAnsi="source serif 4" w:cs="source serif 4"/>
          <w:color w:val="000000"/>
        </w:rPr>
        <w:t>لاكان</w:t>
      </w:r>
      <w:proofErr w:type="spellEnd"/>
      <w:r>
        <w:rPr>
          <w:rFonts w:ascii="source serif 4" w:eastAsia="source serif 4" w:hAnsi="source serif 4" w:cs="source serif 4"/>
          <w:color w:val="000000"/>
        </w:rPr>
        <w:t>.</w:t>
      </w:r>
      <w:bookmarkStart w:id="83" w:name="fnref34"/>
      <w:bookmarkEnd w:id="83"/>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bookmarkStart w:id="84" w:name="fnref35"/>
      <w:bookmarkEnd w:id="84"/>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3E63B725" w14:textId="77777777" w:rsidR="00136201" w:rsidRDefault="00000000">
      <w:pPr>
        <w:spacing w:before="315" w:after="105" w:line="360" w:lineRule="auto"/>
        <w:ind w:left="-30"/>
      </w:pPr>
      <w:bookmarkStart w:id="85" w:name="bm_2_مفهوم_الاستعمار_الخوارزمي_من_db1c98"/>
      <w:r>
        <w:rPr>
          <w:rFonts w:ascii="source serif 4" w:eastAsia="source serif 4" w:hAnsi="source serif 4" w:cs="source serif 4"/>
          <w:b/>
          <w:color w:val="000000"/>
          <w:sz w:val="24"/>
        </w:rPr>
        <w:t>2. مفهوم الاستعمار الخوارزمي: من التشبيه إلى التحديد</w:t>
      </w:r>
      <w:bookmarkEnd w:id="85"/>
    </w:p>
    <w:p w14:paraId="1275EA8C" w14:textId="77777777" w:rsidR="00136201" w:rsidRDefault="00000000">
      <w:pPr>
        <w:spacing w:before="315" w:after="105" w:line="360" w:lineRule="auto"/>
        <w:ind w:left="-30"/>
      </w:pPr>
      <w:bookmarkStart w:id="86" w:name="bm_2_1_الأطروحة_الأصلية"/>
      <w:r>
        <w:rPr>
          <w:rFonts w:ascii="source serif 4" w:eastAsia="source serif 4" w:hAnsi="source serif 4" w:cs="source serif 4"/>
          <w:b/>
          <w:color w:val="000000"/>
          <w:sz w:val="24"/>
        </w:rPr>
        <w:t>2.1. الأطروحة الأصلية</w:t>
      </w:r>
      <w:bookmarkEnd w:id="86"/>
    </w:p>
    <w:p w14:paraId="50B3CA1C" w14:textId="771A5108" w:rsidR="00136201" w:rsidRDefault="00000000">
      <w:pPr>
        <w:spacing w:after="210" w:line="360" w:lineRule="auto"/>
      </w:pPr>
      <w:r>
        <w:rPr>
          <w:rFonts w:ascii="source serif 4" w:eastAsia="source serif 4" w:hAnsi="source serif 4" w:cs="source serif 4"/>
          <w:color w:val="000000"/>
        </w:rPr>
        <w:t xml:space="preserve">يرى </w:t>
      </w:r>
      <w:r w:rsidR="00512407">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أن التحدي الرقمي لا يتلخص في الإفراط في استخدام التقنية، بل في تحول الخوارزميات من أدوات محايدة إلى قوى فاعلة تعيد تشكيل الوعي والسلوك والهوية. ويصف المشروع هذه العلاقة بأنها انتقال من اعتبار الإنسان «خليفةً» مسؤولًا إلى اعتباره «مستخدمًا» يُستنزف وقته وانتباهه وبياناته.</w:t>
      </w:r>
      <w:bookmarkStart w:id="87" w:name="fnref34_1"/>
      <w:bookmarkEnd w:id="87"/>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p>
    <w:p w14:paraId="1C5D786E" w14:textId="77777777" w:rsidR="00136201" w:rsidRDefault="00000000">
      <w:pPr>
        <w:spacing w:after="210" w:line="360" w:lineRule="auto"/>
      </w:pPr>
      <w:r>
        <w:rPr>
          <w:rFonts w:ascii="source serif 4" w:eastAsia="source serif 4" w:hAnsi="source serif 4" w:cs="source serif 4"/>
          <w:color w:val="000000"/>
        </w:rPr>
        <w:t>وتتوزع أطروحة المشروع، كما يعرضها نصه، على ثلاثة محاور:</w:t>
      </w:r>
    </w:p>
    <w:p w14:paraId="48E1C8C9" w14:textId="77777777" w:rsidR="00136201" w:rsidRDefault="00000000">
      <w:pPr>
        <w:numPr>
          <w:ilvl w:val="0"/>
          <w:numId w:val="8"/>
        </w:numPr>
        <w:spacing w:before="105" w:after="105" w:line="360" w:lineRule="auto"/>
      </w:pPr>
      <w:r>
        <w:rPr>
          <w:rFonts w:ascii="source serif 4" w:eastAsia="source serif 4" w:hAnsi="source serif 4" w:cs="source serif 4"/>
          <w:b/>
          <w:color w:val="000000"/>
        </w:rPr>
        <w:t>الخوارزمية بوصفها قرينًا رقميًا:</w:t>
      </w:r>
      <w:r>
        <w:rPr>
          <w:rFonts w:ascii="source serif 4" w:eastAsia="source serif 4" w:hAnsi="source serif 4" w:cs="source serif 4"/>
          <w:color w:val="000000"/>
        </w:rPr>
        <w:t xml:space="preserve"> تستهدف، في قراءة المشروع، «النفس الأمارة» وتؤثر في بنية القوى النفسية كما </w:t>
      </w:r>
      <w:proofErr w:type="spellStart"/>
      <w:r>
        <w:rPr>
          <w:rFonts w:ascii="source serif 4" w:eastAsia="source serif 4" w:hAnsi="source serif 4" w:cs="source serif 4"/>
          <w:color w:val="000000"/>
        </w:rPr>
        <w:t>يصوغها</w:t>
      </w:r>
      <w:proofErr w:type="spellEnd"/>
      <w:r>
        <w:rPr>
          <w:rFonts w:ascii="source serif 4" w:eastAsia="source serif 4" w:hAnsi="source serif 4" w:cs="source serif 4"/>
          <w:color w:val="000000"/>
        </w:rPr>
        <w:t xml:space="preserve"> الإطار الاستخلافي.</w:t>
      </w:r>
      <w:bookmarkStart w:id="88" w:name="fnref34_2"/>
      <w:bookmarkEnd w:id="88"/>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p>
    <w:p w14:paraId="18E0A309" w14:textId="77777777" w:rsidR="00136201" w:rsidRDefault="00000000">
      <w:pPr>
        <w:numPr>
          <w:ilvl w:val="0"/>
          <w:numId w:val="8"/>
        </w:numPr>
        <w:spacing w:before="105" w:after="105" w:line="360" w:lineRule="auto"/>
      </w:pPr>
      <w:r>
        <w:rPr>
          <w:rFonts w:ascii="source serif 4" w:eastAsia="source serif 4" w:hAnsi="source serif 4" w:cs="source serif 4"/>
          <w:b/>
          <w:color w:val="000000"/>
        </w:rPr>
        <w:t>استعمار الانتباه:</w:t>
      </w:r>
      <w:r>
        <w:rPr>
          <w:rFonts w:ascii="source serif 4" w:eastAsia="source serif 4" w:hAnsi="source serif 4" w:cs="source serif 4"/>
          <w:color w:val="000000"/>
        </w:rPr>
        <w:t xml:space="preserve"> تحويل التجربة الإنسانية إلى مادة خام، وبيع ما يسميه النص «اليقين السلوكي» على حساب الحرية الإنسانية.</w:t>
      </w:r>
      <w:bookmarkStart w:id="89" w:name="fnref34_3"/>
      <w:bookmarkEnd w:id="89"/>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p>
    <w:p w14:paraId="7CDB45D7" w14:textId="77777777" w:rsidR="00136201" w:rsidRDefault="00000000">
      <w:pPr>
        <w:numPr>
          <w:ilvl w:val="0"/>
          <w:numId w:val="8"/>
        </w:numPr>
        <w:spacing w:before="105" w:after="105" w:line="360" w:lineRule="auto"/>
      </w:pPr>
      <w:r>
        <w:rPr>
          <w:rFonts w:ascii="source serif 4" w:eastAsia="source serif 4" w:hAnsi="source serif 4" w:cs="source serif 4"/>
          <w:b/>
          <w:color w:val="000000"/>
        </w:rPr>
        <w:t>إغلاق الفجوة الرمزية:</w:t>
      </w:r>
      <w:r>
        <w:rPr>
          <w:rFonts w:ascii="source serif 4" w:eastAsia="source serif 4" w:hAnsi="source serif 4" w:cs="source serif 4"/>
          <w:color w:val="000000"/>
        </w:rPr>
        <w:t xml:space="preserve"> توجيه الرغبة عبر التخصيص الخوارزمي بحيث تبدو الاختيارات نابعة من الذات بينما تعيد إنتاج أنماط سلوكها السابق.</w:t>
      </w:r>
      <w:bookmarkStart w:id="90" w:name="fnref35_1"/>
      <w:bookmarkEnd w:id="90"/>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03134471" w14:textId="77777777" w:rsidR="00136201" w:rsidRDefault="00000000">
      <w:pPr>
        <w:spacing w:before="315" w:after="105" w:line="360" w:lineRule="auto"/>
        <w:ind w:left="-30"/>
      </w:pPr>
      <w:bookmarkStart w:id="91" w:name="bm_2_2_تحديد_المفهوم"/>
      <w:r>
        <w:rPr>
          <w:rFonts w:ascii="source serif 4" w:eastAsia="source serif 4" w:hAnsi="source serif 4" w:cs="source serif 4"/>
          <w:b/>
          <w:color w:val="000000"/>
          <w:sz w:val="24"/>
        </w:rPr>
        <w:t>2.2. تحديد المفهوم</w:t>
      </w:r>
      <w:bookmarkEnd w:id="91"/>
    </w:p>
    <w:p w14:paraId="153555C8" w14:textId="77777777" w:rsidR="00136201" w:rsidRDefault="00000000">
      <w:pPr>
        <w:spacing w:after="210" w:line="360" w:lineRule="auto"/>
      </w:pPr>
      <w:r>
        <w:rPr>
          <w:rFonts w:ascii="source serif 4" w:eastAsia="source serif 4" w:hAnsi="source serif 4" w:cs="source serif 4"/>
          <w:color w:val="000000"/>
        </w:rPr>
        <w:t>يمكن تحديد «الاستعمار الخوارزمي» في هذا البحث بوصفه مفهومًا تحليليًا يشير إلى علاقات غير متكافئة بين المستخدم والمنصات، تتضافر فيها ثلاثة عناصر:</w:t>
      </w:r>
    </w:p>
    <w:p w14:paraId="3A288C03" w14:textId="77777777" w:rsidR="00136201" w:rsidRDefault="00000000">
      <w:pPr>
        <w:numPr>
          <w:ilvl w:val="0"/>
          <w:numId w:val="9"/>
        </w:numPr>
        <w:spacing w:before="105" w:after="105" w:line="360" w:lineRule="auto"/>
      </w:pPr>
      <w:r>
        <w:rPr>
          <w:rFonts w:ascii="source serif 4" w:eastAsia="source serif 4" w:hAnsi="source serif 4" w:cs="source serif 4"/>
          <w:color w:val="000000"/>
        </w:rPr>
        <w:t>استخراج البيانات من الممارسات اليومية.</w:t>
      </w:r>
    </w:p>
    <w:p w14:paraId="40901BF7" w14:textId="77777777" w:rsidR="00136201" w:rsidRDefault="00000000">
      <w:pPr>
        <w:numPr>
          <w:ilvl w:val="0"/>
          <w:numId w:val="9"/>
        </w:numPr>
        <w:spacing w:before="105" w:after="105" w:line="360" w:lineRule="auto"/>
      </w:pPr>
      <w:r>
        <w:rPr>
          <w:rFonts w:ascii="source serif 4" w:eastAsia="source serif 4" w:hAnsi="source serif 4" w:cs="source serif 4"/>
          <w:color w:val="000000"/>
        </w:rPr>
        <w:t>ترتيب المحتوى وتوجيه فرص الظهور والتفاعل.</w:t>
      </w:r>
    </w:p>
    <w:p w14:paraId="738DBA81" w14:textId="77777777" w:rsidR="00136201" w:rsidRDefault="00000000">
      <w:pPr>
        <w:numPr>
          <w:ilvl w:val="0"/>
          <w:numId w:val="9"/>
        </w:numPr>
        <w:spacing w:before="105" w:after="105" w:line="360" w:lineRule="auto"/>
      </w:pPr>
      <w:r>
        <w:rPr>
          <w:rFonts w:ascii="source serif 4" w:eastAsia="source serif 4" w:hAnsi="source serif 4" w:cs="source serif 4"/>
          <w:color w:val="000000"/>
        </w:rPr>
        <w:t>تحويل هذه العمليات إلى قيمة اقتصادية أو تنظيمية.</w:t>
      </w:r>
    </w:p>
    <w:p w14:paraId="1F38D6A9" w14:textId="77777777" w:rsidR="00136201" w:rsidRDefault="00000000">
      <w:pPr>
        <w:spacing w:after="210" w:line="360" w:lineRule="auto"/>
      </w:pPr>
      <w:r>
        <w:rPr>
          <w:rFonts w:ascii="source serif 4" w:eastAsia="source serif 4" w:hAnsi="source serif 4" w:cs="source serif 4"/>
          <w:color w:val="000000"/>
        </w:rPr>
        <w:t xml:space="preserve">وهذا التعريف يستفيد من مفهوم «استعمار البيانات» عند </w:t>
      </w:r>
      <w:proofErr w:type="spellStart"/>
      <w:r>
        <w:rPr>
          <w:rFonts w:ascii="source serif 4" w:eastAsia="source serif 4" w:hAnsi="source serif 4" w:cs="source serif 4"/>
          <w:color w:val="000000"/>
        </w:rPr>
        <w:t>كولدري</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وميخياس</w:t>
      </w:r>
      <w:proofErr w:type="spellEnd"/>
      <w:r>
        <w:rPr>
          <w:rFonts w:ascii="source serif 4" w:eastAsia="source serif 4" w:hAnsi="source serif 4" w:cs="source serif 4"/>
          <w:color w:val="000000"/>
        </w:rPr>
        <w:t>، الذي يصف تحويل الحياة اليومية إلى تدفقات بيانات قابلة للاستخراج والمعالجة والاستثمار. لكنه لا ينبغي أن يُقدّم بوصفه مرادفًا تامًا له؛ فالاستعمار الخوارزمي يبرز خصوصية آليات التوصية والتخصيص، بينما يركز استعمار البيانات على الاستحواذ الاقتصادي على الحياة عبر البيانات.</w:t>
      </w:r>
      <w:bookmarkStart w:id="92" w:name="fnref36"/>
      <w:bookmarkEnd w:id="92"/>
      <w:r>
        <w:fldChar w:fldCharType="begin"/>
      </w:r>
      <w:r>
        <w:instrText>HYPERLINK \l "fn36" \h</w:instrText>
      </w:r>
      <w:r>
        <w:fldChar w:fldCharType="separate"/>
      </w:r>
      <w:r>
        <w:rPr>
          <w:rFonts w:ascii="source sans 3" w:eastAsia="source sans 3" w:hAnsi="source sans 3" w:cs="source sans 3"/>
          <w:u w:val="single"/>
          <w:vertAlign w:val="superscript"/>
        </w:rPr>
        <w:t>[36]</w:t>
      </w:r>
      <w:r>
        <w:fldChar w:fldCharType="end"/>
      </w:r>
      <w:bookmarkStart w:id="93" w:name="fnref37"/>
      <w:bookmarkEnd w:id="93"/>
      <w:r>
        <w:fldChar w:fldCharType="begin"/>
      </w:r>
      <w:r>
        <w:instrText>HYPERLINK \l "fn37" \h</w:instrText>
      </w:r>
      <w:r>
        <w:fldChar w:fldCharType="separate"/>
      </w:r>
      <w:r>
        <w:rPr>
          <w:rFonts w:ascii="source sans 3" w:eastAsia="source sans 3" w:hAnsi="source sans 3" w:cs="source sans 3"/>
          <w:u w:val="single"/>
          <w:vertAlign w:val="superscript"/>
        </w:rPr>
        <w:t>[37]</w:t>
      </w:r>
      <w:r>
        <w:fldChar w:fldCharType="end"/>
      </w:r>
    </w:p>
    <w:p w14:paraId="628FC52B" w14:textId="77777777" w:rsidR="00136201" w:rsidRDefault="00000000">
      <w:pPr>
        <w:spacing w:before="315" w:after="105" w:line="360" w:lineRule="auto"/>
        <w:ind w:left="-30"/>
      </w:pPr>
      <w:bookmarkStart w:id="94" w:name="bm_2_3_حدود_الاستعارة"/>
      <w:r>
        <w:rPr>
          <w:rFonts w:ascii="source serif 4" w:eastAsia="source serif 4" w:hAnsi="source serif 4" w:cs="source serif 4"/>
          <w:b/>
          <w:color w:val="000000"/>
          <w:sz w:val="24"/>
        </w:rPr>
        <w:t>2.3. حدود الاستعارة</w:t>
      </w:r>
      <w:bookmarkEnd w:id="94"/>
    </w:p>
    <w:p w14:paraId="408BF02B" w14:textId="77777777" w:rsidR="00136201" w:rsidRDefault="00000000">
      <w:pPr>
        <w:spacing w:after="210" w:line="360" w:lineRule="auto"/>
      </w:pPr>
      <w:r>
        <w:rPr>
          <w:rFonts w:ascii="source serif 4" w:eastAsia="source serif 4" w:hAnsi="source serif 4" w:cs="source serif 4"/>
          <w:color w:val="000000"/>
        </w:rPr>
        <w:t>لا يعني استعمال مصطلح «الاستعمار» أن كل تقنية أو خوارزمية هي أداة هيمنة. فالمعيار ليس وجود معالجة رقمية، بل طبيعة العلاقة التي تنتظم حولها:</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044"/>
        <w:gridCol w:w="3819"/>
      </w:tblGrid>
      <w:tr w:rsidR="00136201" w14:paraId="7DCD1F3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3896A87" w14:textId="77777777" w:rsidR="00136201" w:rsidRDefault="00000000">
            <w:pPr>
              <w:spacing w:line="360" w:lineRule="auto"/>
            </w:pPr>
            <w:r>
              <w:rPr>
                <w:rFonts w:ascii="source sans 3" w:eastAsia="source sans 3" w:hAnsi="source sans 3" w:cs="source sans 3"/>
                <w:color w:val="000000"/>
                <w:sz w:val="17"/>
              </w:rPr>
              <w:t>معيار التحليل</w:t>
            </w:r>
          </w:p>
        </w:tc>
        <w:tc>
          <w:tcPr>
            <w:tcW w:w="0" w:type="auto"/>
            <w:tcBorders>
              <w:top w:val="single" w:sz="1" w:space="0" w:color="000000"/>
              <w:bottom w:val="single" w:sz="1" w:space="0" w:color="000000"/>
            </w:tcBorders>
          </w:tcPr>
          <w:p w14:paraId="59C88CC4" w14:textId="77777777" w:rsidR="00136201" w:rsidRDefault="00000000">
            <w:pPr>
              <w:spacing w:line="360" w:lineRule="auto"/>
            </w:pPr>
            <w:r>
              <w:rPr>
                <w:rFonts w:ascii="source sans 3" w:eastAsia="source sans 3" w:hAnsi="source sans 3" w:cs="source sans 3"/>
                <w:color w:val="000000"/>
                <w:sz w:val="17"/>
              </w:rPr>
              <w:t>سؤال التقويم</w:t>
            </w:r>
          </w:p>
        </w:tc>
      </w:tr>
      <w:tr w:rsidR="00136201" w14:paraId="203AD86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1340714" w14:textId="77777777" w:rsidR="00136201" w:rsidRDefault="00000000">
            <w:pPr>
              <w:spacing w:line="360" w:lineRule="auto"/>
            </w:pPr>
            <w:r>
              <w:rPr>
                <w:rFonts w:ascii="source sans 3" w:eastAsia="source sans 3" w:hAnsi="source sans 3" w:cs="source sans 3"/>
                <w:color w:val="000000"/>
                <w:sz w:val="17"/>
              </w:rPr>
              <w:t>الشفافية</w:t>
            </w:r>
          </w:p>
        </w:tc>
        <w:tc>
          <w:tcPr>
            <w:tcW w:w="0" w:type="auto"/>
            <w:tcBorders>
              <w:top w:val="single" w:sz="1" w:space="0" w:color="000000"/>
              <w:bottom w:val="single" w:sz="1" w:space="0" w:color="000000"/>
            </w:tcBorders>
          </w:tcPr>
          <w:p w14:paraId="040072A5" w14:textId="77777777" w:rsidR="00136201" w:rsidRDefault="00000000">
            <w:pPr>
              <w:spacing w:line="360" w:lineRule="auto"/>
            </w:pPr>
            <w:r>
              <w:rPr>
                <w:rFonts w:ascii="source sans 3" w:eastAsia="source sans 3" w:hAnsi="source sans 3" w:cs="source sans 3"/>
                <w:color w:val="000000"/>
                <w:sz w:val="17"/>
              </w:rPr>
              <w:t>هل يعرف المستخدم كيف تُصنّف بياناته وتُرتّب محتوياته؟</w:t>
            </w:r>
          </w:p>
        </w:tc>
      </w:tr>
      <w:tr w:rsidR="00136201" w14:paraId="2BB01B5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C8C53DD" w14:textId="77777777" w:rsidR="00136201" w:rsidRDefault="00000000">
            <w:pPr>
              <w:spacing w:line="360" w:lineRule="auto"/>
            </w:pPr>
            <w:r>
              <w:rPr>
                <w:rFonts w:ascii="source sans 3" w:eastAsia="source sans 3" w:hAnsi="source sans 3" w:cs="source sans 3"/>
                <w:color w:val="000000"/>
                <w:sz w:val="17"/>
              </w:rPr>
              <w:t>السيطرة</w:t>
            </w:r>
          </w:p>
        </w:tc>
        <w:tc>
          <w:tcPr>
            <w:tcW w:w="0" w:type="auto"/>
            <w:tcBorders>
              <w:top w:val="single" w:sz="1" w:space="0" w:color="000000"/>
              <w:bottom w:val="single" w:sz="1" w:space="0" w:color="000000"/>
            </w:tcBorders>
          </w:tcPr>
          <w:p w14:paraId="7E7A0F76" w14:textId="77777777" w:rsidR="00136201" w:rsidRDefault="00000000">
            <w:pPr>
              <w:spacing w:line="360" w:lineRule="auto"/>
            </w:pPr>
            <w:r>
              <w:rPr>
                <w:rFonts w:ascii="source sans 3" w:eastAsia="source sans 3" w:hAnsi="source sans 3" w:cs="source sans 3"/>
                <w:color w:val="000000"/>
                <w:sz w:val="17"/>
              </w:rPr>
              <w:t>هل يستطيع تعديل الإعدادات أو الاعتراض على التخصيص؟</w:t>
            </w:r>
          </w:p>
        </w:tc>
      </w:tr>
      <w:tr w:rsidR="00136201" w14:paraId="7D842D9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E1529ED" w14:textId="77777777" w:rsidR="00136201" w:rsidRDefault="00000000">
            <w:pPr>
              <w:spacing w:line="360" w:lineRule="auto"/>
            </w:pPr>
            <w:r>
              <w:rPr>
                <w:rFonts w:ascii="source sans 3" w:eastAsia="source sans 3" w:hAnsi="source sans 3" w:cs="source sans 3"/>
                <w:color w:val="000000"/>
                <w:sz w:val="17"/>
              </w:rPr>
              <w:t>الغاية</w:t>
            </w:r>
          </w:p>
        </w:tc>
        <w:tc>
          <w:tcPr>
            <w:tcW w:w="0" w:type="auto"/>
            <w:tcBorders>
              <w:top w:val="single" w:sz="1" w:space="0" w:color="000000"/>
              <w:bottom w:val="single" w:sz="1" w:space="0" w:color="000000"/>
            </w:tcBorders>
          </w:tcPr>
          <w:p w14:paraId="2CF63CB8" w14:textId="77777777" w:rsidR="00136201" w:rsidRDefault="00000000">
            <w:pPr>
              <w:spacing w:line="360" w:lineRule="auto"/>
            </w:pPr>
            <w:r>
              <w:rPr>
                <w:rFonts w:ascii="source sans 3" w:eastAsia="source sans 3" w:hAnsi="source sans 3" w:cs="source sans 3"/>
                <w:color w:val="000000"/>
                <w:sz w:val="17"/>
              </w:rPr>
              <w:t>هل تخدم المنصة أهداف المستخدم أم تتعارض معها؟</w:t>
            </w:r>
          </w:p>
        </w:tc>
      </w:tr>
      <w:tr w:rsidR="00136201" w14:paraId="1A29B10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2D5F663" w14:textId="77777777" w:rsidR="00136201" w:rsidRDefault="00000000">
            <w:pPr>
              <w:spacing w:line="360" w:lineRule="auto"/>
            </w:pPr>
            <w:r>
              <w:rPr>
                <w:rFonts w:ascii="source sans 3" w:eastAsia="source sans 3" w:hAnsi="source sans 3" w:cs="source sans 3"/>
                <w:color w:val="000000"/>
                <w:sz w:val="17"/>
              </w:rPr>
              <w:t>التكافؤ</w:t>
            </w:r>
          </w:p>
        </w:tc>
        <w:tc>
          <w:tcPr>
            <w:tcW w:w="0" w:type="auto"/>
            <w:tcBorders>
              <w:top w:val="single" w:sz="1" w:space="0" w:color="000000"/>
              <w:bottom w:val="single" w:sz="1" w:space="0" w:color="000000"/>
            </w:tcBorders>
          </w:tcPr>
          <w:p w14:paraId="755A0975" w14:textId="77777777" w:rsidR="00136201" w:rsidRDefault="00000000">
            <w:pPr>
              <w:spacing w:line="360" w:lineRule="auto"/>
            </w:pPr>
            <w:r>
              <w:rPr>
                <w:rFonts w:ascii="source sans 3" w:eastAsia="source sans 3" w:hAnsi="source sans 3" w:cs="source sans 3"/>
                <w:color w:val="000000"/>
                <w:sz w:val="17"/>
              </w:rPr>
              <w:t>هل تتوزع القيمة والسلطة بين المستخدم والمنصة؟</w:t>
            </w:r>
          </w:p>
        </w:tc>
      </w:tr>
      <w:tr w:rsidR="00136201" w14:paraId="1AB6AA7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C787BF5" w14:textId="77777777" w:rsidR="00136201" w:rsidRDefault="00000000">
            <w:pPr>
              <w:spacing w:line="360" w:lineRule="auto"/>
            </w:pPr>
            <w:r>
              <w:rPr>
                <w:rFonts w:ascii="source sans 3" w:eastAsia="source sans 3" w:hAnsi="source sans 3" w:cs="source sans 3"/>
                <w:color w:val="000000"/>
                <w:sz w:val="17"/>
              </w:rPr>
              <w:t>قابلية الخروج</w:t>
            </w:r>
          </w:p>
        </w:tc>
        <w:tc>
          <w:tcPr>
            <w:tcW w:w="0" w:type="auto"/>
            <w:tcBorders>
              <w:top w:val="single" w:sz="1" w:space="0" w:color="000000"/>
              <w:bottom w:val="single" w:sz="1" w:space="0" w:color="000000"/>
            </w:tcBorders>
          </w:tcPr>
          <w:p w14:paraId="453844DD" w14:textId="77777777" w:rsidR="00136201" w:rsidRDefault="00000000">
            <w:pPr>
              <w:spacing w:line="360" w:lineRule="auto"/>
            </w:pPr>
            <w:r>
              <w:rPr>
                <w:rFonts w:ascii="source sans 3" w:eastAsia="source sans 3" w:hAnsi="source sans 3" w:cs="source sans 3"/>
                <w:color w:val="000000"/>
                <w:sz w:val="17"/>
              </w:rPr>
              <w:t>هل يمكن الاستغناء عن الخدمة أو تقليل ارتباطها دون ضرر مفرط؟</w:t>
            </w:r>
          </w:p>
        </w:tc>
      </w:tr>
    </w:tbl>
    <w:p w14:paraId="6CB6DC24" w14:textId="77777777" w:rsidR="00136201" w:rsidRDefault="00136201"/>
    <w:p w14:paraId="3E283868" w14:textId="77777777" w:rsidR="00136201" w:rsidRDefault="00000000">
      <w:pPr>
        <w:spacing w:after="210" w:line="360" w:lineRule="auto"/>
      </w:pPr>
      <w:r>
        <w:rPr>
          <w:rFonts w:ascii="source serif 4" w:eastAsia="source serif 4" w:hAnsi="source serif 4" w:cs="source serif 4"/>
          <w:color w:val="000000"/>
        </w:rPr>
        <w:t>وبهذا يتحول المفهوم من استعارة بلاغية إلى أداة لتحليل حالات محددة. كما يمنع التعميم الذي يجعل من كل استخدام للهاتف أو الذكاء الاصطناعي دليلًا على الاستلاب.</w:t>
      </w:r>
    </w:p>
    <w:p w14:paraId="2808B3D7" w14:textId="77777777" w:rsidR="00136201" w:rsidRDefault="00000000">
      <w:pPr>
        <w:spacing w:before="315" w:after="105" w:line="360" w:lineRule="auto"/>
        <w:ind w:left="-30"/>
      </w:pPr>
      <w:bookmarkStart w:id="95" w:name="bm_3_رأسمالية_المراقبة_واستعمار_الانتباه"/>
      <w:r>
        <w:rPr>
          <w:rFonts w:ascii="source serif 4" w:eastAsia="source serif 4" w:hAnsi="source serif 4" w:cs="source serif 4"/>
          <w:b/>
          <w:color w:val="000000"/>
          <w:sz w:val="24"/>
        </w:rPr>
        <w:t>3. رأسمالية المراقبة واستعمار الانتباه</w:t>
      </w:r>
      <w:bookmarkEnd w:id="95"/>
    </w:p>
    <w:p w14:paraId="70E81293" w14:textId="77777777" w:rsidR="00136201" w:rsidRDefault="00000000">
      <w:pPr>
        <w:spacing w:before="315" w:after="105" w:line="360" w:lineRule="auto"/>
        <w:ind w:left="-30"/>
      </w:pPr>
      <w:bookmarkStart w:id="96" w:name="bm_3_1_موقع_زوبوف_في_المشروع"/>
      <w:r>
        <w:rPr>
          <w:rFonts w:ascii="source serif 4" w:eastAsia="source serif 4" w:hAnsi="source serif 4" w:cs="source serif 4"/>
          <w:b/>
          <w:color w:val="000000"/>
          <w:sz w:val="24"/>
        </w:rPr>
        <w:t xml:space="preserve">3.1. موقع </w:t>
      </w:r>
      <w:proofErr w:type="spellStart"/>
      <w:r>
        <w:rPr>
          <w:rFonts w:ascii="source serif 4" w:eastAsia="source serif 4" w:hAnsi="source serif 4" w:cs="source serif 4"/>
          <w:b/>
          <w:color w:val="000000"/>
          <w:sz w:val="24"/>
        </w:rPr>
        <w:t>زوبوف</w:t>
      </w:r>
      <w:proofErr w:type="spellEnd"/>
      <w:r>
        <w:rPr>
          <w:rFonts w:ascii="source serif 4" w:eastAsia="source serif 4" w:hAnsi="source serif 4" w:cs="source serif 4"/>
          <w:b/>
          <w:color w:val="000000"/>
          <w:sz w:val="24"/>
        </w:rPr>
        <w:t xml:space="preserve"> في المشروع</w:t>
      </w:r>
      <w:bookmarkEnd w:id="96"/>
    </w:p>
    <w:p w14:paraId="121D7895" w14:textId="7FF10F5B" w:rsidR="00136201" w:rsidRDefault="00000000">
      <w:pPr>
        <w:spacing w:after="210" w:line="360" w:lineRule="auto"/>
      </w:pPr>
      <w:r>
        <w:rPr>
          <w:rFonts w:ascii="source serif 4" w:eastAsia="source serif 4" w:hAnsi="source serif 4" w:cs="source serif 4"/>
          <w:color w:val="000000"/>
        </w:rPr>
        <w:t xml:space="preserve">يستدعي </w:t>
      </w:r>
      <w:r w:rsidR="00BA192A">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 xml:space="preserve">مفهوم «رأسمالية المراقبة» عند شوشانا </w:t>
      </w:r>
      <w:proofErr w:type="spellStart"/>
      <w:r>
        <w:rPr>
          <w:rFonts w:ascii="source serif 4" w:eastAsia="source serif 4" w:hAnsi="source serif 4" w:cs="source serif 4"/>
          <w:color w:val="000000"/>
        </w:rPr>
        <w:t>زوبوف</w:t>
      </w:r>
      <w:proofErr w:type="spellEnd"/>
      <w:r>
        <w:rPr>
          <w:rFonts w:ascii="source serif 4" w:eastAsia="source serif 4" w:hAnsi="source serif 4" w:cs="source serif 4"/>
          <w:color w:val="000000"/>
        </w:rPr>
        <w:t>، ويقترح أن الخوارزميات لم تعد مجرد أدوات لإنجاز المهام، بل قوى تؤثر في الحقل النفسي وتعيد تشكيل الوعي والسلوك والهوية.</w:t>
      </w:r>
      <w:bookmarkStart w:id="97" w:name="fnref34_4"/>
      <w:bookmarkEnd w:id="97"/>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p>
    <w:p w14:paraId="0FA7A441" w14:textId="77777777" w:rsidR="00136201" w:rsidRDefault="00000000">
      <w:pPr>
        <w:spacing w:after="210" w:line="360" w:lineRule="auto"/>
      </w:pPr>
      <w:r>
        <w:rPr>
          <w:rFonts w:ascii="source serif 4" w:eastAsia="source serif 4" w:hAnsi="source serif 4" w:cs="source serif 4"/>
          <w:color w:val="000000"/>
        </w:rPr>
        <w:t xml:space="preserve">وتقوم أطروحة </w:t>
      </w:r>
      <w:proofErr w:type="spellStart"/>
      <w:r>
        <w:rPr>
          <w:rFonts w:ascii="source serif 4" w:eastAsia="source serif 4" w:hAnsi="source serif 4" w:cs="source serif 4"/>
          <w:color w:val="000000"/>
        </w:rPr>
        <w:t>زوبوف</w:t>
      </w:r>
      <w:proofErr w:type="spellEnd"/>
      <w:r>
        <w:rPr>
          <w:rFonts w:ascii="source serif 4" w:eastAsia="source serif 4" w:hAnsi="source serif 4" w:cs="source serif 4"/>
          <w:color w:val="000000"/>
        </w:rPr>
        <w:t xml:space="preserve">، في حدود ما يعرضه المقال، على أن الاقتصاد الرقمي المعاصر لا يكتفي بمراقبة السلوك، بل يستثمر ما يمكن التنبؤ به منه لتحسين نتائج التأثير عليه. وتُدرج قائمة مراجع المقال </w:t>
      </w:r>
      <w:proofErr w:type="spellStart"/>
      <w:r>
        <w:rPr>
          <w:rFonts w:ascii="source serif 4" w:eastAsia="source serif 4" w:hAnsi="source serif 4" w:cs="source serif 4"/>
          <w:i/>
          <w:color w:val="000000"/>
        </w:rPr>
        <w:t>The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Age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of</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Surveillance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Capitalism</w:t>
      </w:r>
      <w:proofErr w:type="spellEnd"/>
      <w:r>
        <w:rPr>
          <w:rFonts w:ascii="source serif 4" w:eastAsia="source serif 4" w:hAnsi="source serif 4" w:cs="source serif 4"/>
          <w:color w:val="000000"/>
        </w:rPr>
        <w:t xml:space="preserve"> (2019) ضمن مصادره المباشرة.</w:t>
      </w:r>
      <w:bookmarkStart w:id="98" w:name="fnref35_2"/>
      <w:bookmarkEnd w:id="98"/>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2D5506F7" w14:textId="77777777" w:rsidR="00136201" w:rsidRDefault="00000000">
      <w:pPr>
        <w:spacing w:before="315" w:after="105" w:line="360" w:lineRule="auto"/>
        <w:ind w:left="-30"/>
      </w:pPr>
      <w:bookmarkStart w:id="99" w:name="bm_3_2_الفرق_بين_التنبؤ_والتأثير"/>
      <w:r>
        <w:rPr>
          <w:rFonts w:ascii="source serif 4" w:eastAsia="source serif 4" w:hAnsi="source serif 4" w:cs="source serif 4"/>
          <w:b/>
          <w:color w:val="000000"/>
          <w:sz w:val="24"/>
        </w:rPr>
        <w:t>3.2. الفرق بين التنبؤ والتأثير</w:t>
      </w:r>
      <w:bookmarkEnd w:id="99"/>
    </w:p>
    <w:p w14:paraId="31F8F1CC" w14:textId="77777777" w:rsidR="00136201" w:rsidRDefault="00000000">
      <w:pPr>
        <w:spacing w:after="210" w:line="360" w:lineRule="auto"/>
      </w:pPr>
      <w:r>
        <w:rPr>
          <w:rFonts w:ascii="source serif 4" w:eastAsia="source serif 4" w:hAnsi="source serif 4" w:cs="source serif 4"/>
          <w:color w:val="000000"/>
        </w:rPr>
        <w:t>يحتاج هذا التحليل إلى تمييز بين ثلاثة مستويات:</w:t>
      </w:r>
    </w:p>
    <w:p w14:paraId="3660DE33" w14:textId="77777777" w:rsidR="00136201" w:rsidRDefault="00000000">
      <w:pPr>
        <w:numPr>
          <w:ilvl w:val="0"/>
          <w:numId w:val="10"/>
        </w:numPr>
        <w:spacing w:before="105" w:after="105" w:line="360" w:lineRule="auto"/>
      </w:pPr>
      <w:r>
        <w:rPr>
          <w:rFonts w:ascii="source serif 4" w:eastAsia="source serif 4" w:hAnsi="source serif 4" w:cs="source serif 4"/>
          <w:b/>
          <w:color w:val="000000"/>
        </w:rPr>
        <w:t>التنبؤ:</w:t>
      </w:r>
      <w:r>
        <w:rPr>
          <w:rFonts w:ascii="source serif 4" w:eastAsia="source serif 4" w:hAnsi="source serif 4" w:cs="source serif 4"/>
          <w:color w:val="000000"/>
        </w:rPr>
        <w:t xml:space="preserve"> استنتاج احتمالات سلوك مستقبلية من أنماط سابقة.</w:t>
      </w:r>
    </w:p>
    <w:p w14:paraId="3D39221E" w14:textId="77777777" w:rsidR="00136201" w:rsidRDefault="00000000">
      <w:pPr>
        <w:numPr>
          <w:ilvl w:val="0"/>
          <w:numId w:val="10"/>
        </w:numPr>
        <w:spacing w:before="105" w:after="105" w:line="360" w:lineRule="auto"/>
      </w:pPr>
      <w:r>
        <w:rPr>
          <w:rFonts w:ascii="source serif 4" w:eastAsia="source serif 4" w:hAnsi="source serif 4" w:cs="source serif 4"/>
          <w:b/>
          <w:color w:val="000000"/>
        </w:rPr>
        <w:t>التخصيص:</w:t>
      </w:r>
      <w:r>
        <w:rPr>
          <w:rFonts w:ascii="source serif 4" w:eastAsia="source serif 4" w:hAnsi="source serif 4" w:cs="source serif 4"/>
          <w:color w:val="000000"/>
        </w:rPr>
        <w:t xml:space="preserve"> عرض محتوى أو خيارات مرتبطة بتلك الاحتمالات.</w:t>
      </w:r>
    </w:p>
    <w:p w14:paraId="53DEBFB3" w14:textId="77777777" w:rsidR="00136201" w:rsidRDefault="00000000">
      <w:pPr>
        <w:numPr>
          <w:ilvl w:val="0"/>
          <w:numId w:val="10"/>
        </w:numPr>
        <w:spacing w:before="105" w:after="105" w:line="360" w:lineRule="auto"/>
      </w:pPr>
      <w:r>
        <w:rPr>
          <w:rFonts w:ascii="source serif 4" w:eastAsia="source serif 4" w:hAnsi="source serif 4" w:cs="source serif 4"/>
          <w:b/>
          <w:color w:val="000000"/>
        </w:rPr>
        <w:t>التأثير:</w:t>
      </w:r>
      <w:r>
        <w:rPr>
          <w:rFonts w:ascii="source serif 4" w:eastAsia="source serif 4" w:hAnsi="source serif 4" w:cs="source serif 4"/>
          <w:color w:val="000000"/>
        </w:rPr>
        <w:t xml:space="preserve"> تغيير فعلي في قرارات المستخدم أو مشاعره أو سلوكه.</w:t>
      </w:r>
    </w:p>
    <w:p w14:paraId="236D17F6" w14:textId="77777777" w:rsidR="00136201" w:rsidRDefault="00000000">
      <w:pPr>
        <w:spacing w:after="210" w:line="360" w:lineRule="auto"/>
      </w:pPr>
      <w:r>
        <w:rPr>
          <w:rFonts w:ascii="source serif 4" w:eastAsia="source serif 4" w:hAnsi="source serif 4" w:cs="source serif 4"/>
          <w:color w:val="000000"/>
        </w:rPr>
        <w:t>فليس كل تنبؤ تأثيرًا، وليس كل تأثير استعبادًا. وقد يخدم التخصيص المستخدم في البحث أو التعلم أو الوصول إلى محتوى مناسب، وقد يضيّق تجربته حين يعزز دوائر الضغط أو المقارنة أو الاستهلاك. لذلك ينبغي أن يُدرس «استعمار الانتباه» في سياقات محددة، لا أن يُقدّم حكمًا شاملًا على كل تفاعل رقمي.</w:t>
      </w:r>
    </w:p>
    <w:p w14:paraId="2B3CFB5B" w14:textId="77777777" w:rsidR="00136201" w:rsidRDefault="00000000">
      <w:pPr>
        <w:spacing w:before="315" w:after="105" w:line="360" w:lineRule="auto"/>
        <w:ind w:left="-30"/>
      </w:pPr>
      <w:bookmarkStart w:id="100" w:name="bm_3_3_الانتباه_بوصفه_موردًا_ومسؤولية"/>
      <w:r>
        <w:rPr>
          <w:rFonts w:ascii="source serif 4" w:eastAsia="source serif 4" w:hAnsi="source serif 4" w:cs="source serif 4"/>
          <w:b/>
          <w:color w:val="000000"/>
          <w:sz w:val="24"/>
        </w:rPr>
        <w:t>3.3. الانتباه بوصفه موردًا ومسؤولية</w:t>
      </w:r>
      <w:bookmarkEnd w:id="100"/>
    </w:p>
    <w:p w14:paraId="5D83945E" w14:textId="77777777" w:rsidR="00136201" w:rsidRDefault="00000000">
      <w:pPr>
        <w:spacing w:after="210" w:line="360" w:lineRule="auto"/>
      </w:pPr>
      <w:r>
        <w:rPr>
          <w:rFonts w:ascii="source serif 4" w:eastAsia="source serif 4" w:hAnsi="source serif 4" w:cs="source serif 4"/>
          <w:color w:val="000000"/>
        </w:rPr>
        <w:t>يقدم المشروع الانتباه بوصفه مجالًا مركزيًا للصراع: فالمنصة تسعى إلى إبقاء المستخدم في التفاعل، بينما يتطلب الاستخلاف القدرة على اختيار ما يستحق الانتباه.</w:t>
      </w:r>
      <w:bookmarkStart w:id="101" w:name="fnref34_5"/>
      <w:bookmarkEnd w:id="101"/>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p>
    <w:p w14:paraId="1BDFD0D6" w14:textId="77777777" w:rsidR="00136201" w:rsidRDefault="00000000">
      <w:pPr>
        <w:spacing w:after="210" w:line="360" w:lineRule="auto"/>
      </w:pPr>
      <w:r>
        <w:rPr>
          <w:rFonts w:ascii="source serif 4" w:eastAsia="source serif 4" w:hAnsi="source serif 4" w:cs="source serif 4"/>
          <w:color w:val="000000"/>
        </w:rPr>
        <w:t>لكن صياغة «سيادة الانتباه» تحتاج إلى ضبط. فالانتباه ليس سلطة مطلقة للإرادة؛ بل يتأثر بالإرهاق، والقلق، والظروف الاجتماعية، وتصميم الواجهات، والاحتياجات الأساسية. لذلك يقترح البحث تعريفه على النحو الآتي:</w:t>
      </w:r>
    </w:p>
    <w:p w14:paraId="745B70CA" w14:textId="77777777" w:rsidR="00136201" w:rsidRDefault="00000000">
      <w:pPr>
        <w:spacing w:after="210" w:line="360" w:lineRule="auto"/>
        <w:ind w:left="630"/>
      </w:pPr>
      <w:r>
        <w:rPr>
          <w:rFonts w:ascii="source serif 4" w:eastAsia="source serif 4" w:hAnsi="source serif 4" w:cs="source serif 4"/>
          <w:color w:val="000000"/>
        </w:rPr>
        <w:t>سيادة الانتباه هي قدرة الفرد، في حدود ظروفه، على تنظيم انخراطه الرقمي بما ينسجم مع أهدافه وقيمه، مع إدراك أن هذه القدرة تتأثر بالبيئة التقنية والاجتماعية ولا تُختزل في الإرادة الفردية.</w:t>
      </w:r>
    </w:p>
    <w:p w14:paraId="7302E76C" w14:textId="77777777" w:rsidR="00136201" w:rsidRDefault="00000000">
      <w:pPr>
        <w:spacing w:before="315" w:after="105" w:line="360" w:lineRule="auto"/>
        <w:ind w:left="-30"/>
      </w:pPr>
      <w:bookmarkStart w:id="102" w:name="bm_4_الفجوة_الرمزية_قراءة_تأويلية_48f27d"/>
      <w:r>
        <w:rPr>
          <w:rFonts w:ascii="source serif 4" w:eastAsia="source serif 4" w:hAnsi="source serif 4" w:cs="source serif 4"/>
          <w:b/>
          <w:color w:val="000000"/>
          <w:sz w:val="24"/>
        </w:rPr>
        <w:t>4. الفجوة الرمزية: قراءة تأويلية لا حجة تجريبية</w:t>
      </w:r>
      <w:bookmarkEnd w:id="102"/>
    </w:p>
    <w:p w14:paraId="5175059B" w14:textId="51CF3C2A" w:rsidR="00136201" w:rsidRDefault="00000000">
      <w:pPr>
        <w:spacing w:before="315" w:after="105" w:line="360" w:lineRule="auto"/>
        <w:ind w:left="-30"/>
      </w:pPr>
      <w:bookmarkStart w:id="103" w:name="bm_4_1_الفكرة_في_نص_الزراع"/>
      <w:r>
        <w:rPr>
          <w:rFonts w:ascii="source serif 4" w:eastAsia="source serif 4" w:hAnsi="source serif 4" w:cs="source serif 4"/>
          <w:b/>
          <w:color w:val="000000"/>
          <w:sz w:val="24"/>
        </w:rPr>
        <w:t xml:space="preserve">4.1. الفكرة في </w:t>
      </w:r>
      <w:r w:rsidR="00E54264">
        <w:rPr>
          <w:rFonts w:ascii="source serif 4" w:eastAsia="source serif 4" w:hAnsi="source serif 4" w:cs="Times New Roman" w:hint="cs"/>
          <w:b/>
          <w:color w:val="000000"/>
          <w:sz w:val="24"/>
          <w:rtl/>
        </w:rPr>
        <w:t xml:space="preserve">النص </w:t>
      </w:r>
      <w:r>
        <w:rPr>
          <w:rFonts w:ascii="source serif 4" w:eastAsia="source serif 4" w:hAnsi="source serif 4" w:cs="source serif 4"/>
          <w:b/>
          <w:color w:val="000000"/>
          <w:sz w:val="24"/>
        </w:rPr>
        <w:t xml:space="preserve"> </w:t>
      </w:r>
      <w:bookmarkEnd w:id="103"/>
      <w:r w:rsidR="003A0564">
        <w:rPr>
          <w:rFonts w:ascii="source serif 4" w:eastAsia="source serif 4" w:hAnsi="source serif 4" w:cs="Times New Roman" w:hint="cs"/>
          <w:b/>
          <w:color w:val="000000"/>
          <w:sz w:val="24"/>
          <w:rtl/>
        </w:rPr>
        <w:t xml:space="preserve"> </w:t>
      </w:r>
    </w:p>
    <w:p w14:paraId="1164F064" w14:textId="26748C14" w:rsidR="00136201" w:rsidRDefault="00000000">
      <w:pPr>
        <w:spacing w:after="210" w:line="360" w:lineRule="auto"/>
      </w:pPr>
      <w:r>
        <w:rPr>
          <w:rFonts w:ascii="source serif 4" w:eastAsia="source serif 4" w:hAnsi="source serif 4" w:cs="source serif 4"/>
          <w:color w:val="000000"/>
        </w:rPr>
        <w:t xml:space="preserve">يستخدم </w:t>
      </w:r>
      <w:r w:rsidR="00E54264">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 xml:space="preserve">مفهوم «الفجوة الرمزية» في حوار مع التحليل </w:t>
      </w:r>
      <w:proofErr w:type="spellStart"/>
      <w:r>
        <w:rPr>
          <w:rFonts w:ascii="source serif 4" w:eastAsia="source serif 4" w:hAnsi="source serif 4" w:cs="source serif 4"/>
          <w:color w:val="000000"/>
        </w:rPr>
        <w:t>اللاكاني</w:t>
      </w:r>
      <w:proofErr w:type="spellEnd"/>
      <w:r>
        <w:rPr>
          <w:rFonts w:ascii="source serif 4" w:eastAsia="source serif 4" w:hAnsi="source serif 4" w:cs="source serif 4"/>
          <w:color w:val="000000"/>
        </w:rPr>
        <w:t>. ويرى أن الآخر الكبير التقليدي، ومنه الوحي في الإطار الاستخلافي، يفتح مسافة بين الذات ورغبتها تتيح التساؤل والاختيار والمساءلة. أما الآخر الكبير الخوارزمي، فيعمل عبر التخصيص على إغلاق هذه المسافة، فيقدم للمستخدم ما يبدو اختيارًا أصيلًا بينما هو انعكاس محسوب لسلوكه السابق.</w:t>
      </w:r>
      <w:bookmarkStart w:id="104" w:name="fnref35_3"/>
      <w:bookmarkEnd w:id="104"/>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6866E113" w14:textId="77777777" w:rsidR="00136201" w:rsidRDefault="00000000">
      <w:pPr>
        <w:spacing w:after="210" w:line="360" w:lineRule="auto"/>
      </w:pPr>
      <w:r>
        <w:rPr>
          <w:rFonts w:ascii="source serif 4" w:eastAsia="source serif 4" w:hAnsi="source serif 4" w:cs="source serif 4"/>
          <w:color w:val="000000"/>
        </w:rPr>
        <w:t>وبهذا المعنى، لا تدّعي الخوارزمية إلغاء الرغبة، بل تصادر شرط إمكانها: المسافة النقدية بين الذات ورغبتها.</w:t>
      </w:r>
      <w:bookmarkStart w:id="105" w:name="fnref35_4"/>
      <w:bookmarkEnd w:id="105"/>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4DD5914F" w14:textId="77777777" w:rsidR="00136201" w:rsidRDefault="00000000">
      <w:pPr>
        <w:spacing w:before="315" w:after="105" w:line="360" w:lineRule="auto"/>
        <w:ind w:left="-30"/>
      </w:pPr>
      <w:bookmarkStart w:id="106" w:name="bm_4_2_قيمة_الفكرة_وحدودها"/>
      <w:r>
        <w:rPr>
          <w:rFonts w:ascii="source serif 4" w:eastAsia="source serif 4" w:hAnsi="source serif 4" w:cs="source serif 4"/>
          <w:b/>
          <w:color w:val="000000"/>
          <w:sz w:val="24"/>
        </w:rPr>
        <w:t>4.2. قيمة الفكرة وحدودها</w:t>
      </w:r>
      <w:bookmarkEnd w:id="106"/>
    </w:p>
    <w:p w14:paraId="153463C3" w14:textId="77777777" w:rsidR="00136201" w:rsidRDefault="00000000">
      <w:pPr>
        <w:spacing w:after="210" w:line="360" w:lineRule="auto"/>
      </w:pPr>
      <w:r>
        <w:rPr>
          <w:rFonts w:ascii="source serif 4" w:eastAsia="source serif 4" w:hAnsi="source serif 4" w:cs="source serif 4"/>
          <w:color w:val="000000"/>
        </w:rPr>
        <w:t>تحمل هذه الأطروحة قيمة تأويلية مهمة، لأنها تنقل النقاش من سؤال «هل تستخدم المنصة؟» إلى سؤال «كيف تُبنى رغبة المستخدم داخل المنصة؟». كما تبرز أن المشكلة ليست المعلومة وحدها، بل شروط تلقيها وتفسيرها.</w:t>
      </w:r>
    </w:p>
    <w:p w14:paraId="15E3DE13" w14:textId="77777777" w:rsidR="00136201" w:rsidRDefault="00000000">
      <w:pPr>
        <w:spacing w:after="210" w:line="360" w:lineRule="auto"/>
      </w:pPr>
      <w:r>
        <w:rPr>
          <w:rFonts w:ascii="source serif 4" w:eastAsia="source serif 4" w:hAnsi="source serif 4" w:cs="source serif 4"/>
          <w:color w:val="000000"/>
        </w:rPr>
        <w:t>لكنها تبقى في هذا المستوى تأويلًا فلسفيًا ونفسيًا، لا نتيجة يمكن قياسها مباشرة. فمفاهيم «الفجوة الرمزية» و«الآخر الكبير» لا تُقاس بالطريقة نفسها التي تُقاس بها مدة الاستخدام أو شدة القلق أو جودة النوم. ولهذا ينبغي أن تُعرض بوصفها إطارًا لتفسير التجربة، لا بوصفها متغيرًا نفسيًا ثبت وجوده أو أثره.</w:t>
      </w:r>
    </w:p>
    <w:p w14:paraId="61CB3526" w14:textId="77777777" w:rsidR="00136201" w:rsidRDefault="00000000">
      <w:pPr>
        <w:spacing w:before="315" w:after="105" w:line="360" w:lineRule="auto"/>
        <w:ind w:left="-30"/>
      </w:pPr>
      <w:bookmarkStart w:id="107" w:name="bm_4_3_صياغة_مقترحة_أكثر_انضباطًا"/>
      <w:r>
        <w:rPr>
          <w:rFonts w:ascii="source serif 4" w:eastAsia="source serif 4" w:hAnsi="source serif 4" w:cs="source serif 4"/>
          <w:b/>
          <w:color w:val="000000"/>
          <w:sz w:val="24"/>
        </w:rPr>
        <w:t>4.3. صياغة مقترحة أكثر انضباطًا</w:t>
      </w:r>
      <w:bookmarkEnd w:id="107"/>
    </w:p>
    <w:p w14:paraId="4BC2E020" w14:textId="77777777" w:rsidR="00136201" w:rsidRDefault="00000000">
      <w:pPr>
        <w:spacing w:after="210" w:line="360" w:lineRule="auto"/>
      </w:pPr>
      <w:r>
        <w:rPr>
          <w:rFonts w:ascii="source serif 4" w:eastAsia="source serif 4" w:hAnsi="source serif 4" w:cs="source serif 4"/>
          <w:color w:val="000000"/>
        </w:rPr>
        <w:t>يمكن إعادة صياغة الأطروحة على النحو الآتي:</w:t>
      </w:r>
    </w:p>
    <w:p w14:paraId="0E1D05FE" w14:textId="77777777" w:rsidR="00136201" w:rsidRDefault="00000000">
      <w:pPr>
        <w:spacing w:after="210" w:line="360" w:lineRule="auto"/>
        <w:ind w:left="630"/>
      </w:pPr>
      <w:r>
        <w:rPr>
          <w:rFonts w:ascii="source serif 4" w:eastAsia="source serif 4" w:hAnsi="source serif 4" w:cs="source serif 4"/>
          <w:color w:val="000000"/>
        </w:rPr>
        <w:t>قد تسهم أنظمة التخصيص في تقليص مساحة المراجعة النقدية حين تعرض للمستخدم محتوى يتنبأ بما يلائم استجاباته السابقة، فيصبح من الأصعب تمييز الرغبة المتجددة عن إعادة إنتاج النمط السلوكي. ويقترح الإطار الاستخلافي أن المرجعية المتعالية تتيح مسافة تأويلية تسمح بمراجعة الرغبة واتخاذ موقف منها.</w:t>
      </w:r>
    </w:p>
    <w:p w14:paraId="0A7B9700" w14:textId="77777777" w:rsidR="00136201" w:rsidRDefault="00000000">
      <w:pPr>
        <w:spacing w:after="210" w:line="360" w:lineRule="auto"/>
      </w:pPr>
      <w:r>
        <w:rPr>
          <w:rFonts w:ascii="source serif 4" w:eastAsia="source serif 4" w:hAnsi="source serif 4" w:cs="source serif 4"/>
          <w:color w:val="000000"/>
        </w:rPr>
        <w:t>هذه الصياغة تحفظ الفكرة الأصلية، لكنها تتجنب القفز من وصف آلية محتملة إلى إعلان نتيجة مؤكدة.</w:t>
      </w:r>
    </w:p>
    <w:p w14:paraId="425C978B" w14:textId="77777777" w:rsidR="00136201" w:rsidRDefault="00000000">
      <w:pPr>
        <w:spacing w:before="315" w:after="105" w:line="360" w:lineRule="auto"/>
        <w:ind w:left="-30"/>
      </w:pPr>
      <w:bookmarkStart w:id="108" w:name="bm_5_الوحي_بوصفه_مرجعية_متعالية"/>
      <w:r>
        <w:rPr>
          <w:rFonts w:ascii="source serif 4" w:eastAsia="source serif 4" w:hAnsi="source serif 4" w:cs="source serif 4"/>
          <w:b/>
          <w:color w:val="000000"/>
          <w:sz w:val="24"/>
        </w:rPr>
        <w:t>5. الوحي بوصفه مرجعية متعالية</w:t>
      </w:r>
      <w:bookmarkEnd w:id="108"/>
    </w:p>
    <w:p w14:paraId="752E8057" w14:textId="77777777" w:rsidR="00136201" w:rsidRDefault="00000000">
      <w:pPr>
        <w:spacing w:before="315" w:after="105" w:line="360" w:lineRule="auto"/>
        <w:ind w:left="-30"/>
      </w:pPr>
      <w:bookmarkStart w:id="109" w:name="bm_5_1_وظيفته_في_الإطار_الاستخلافي"/>
      <w:r>
        <w:rPr>
          <w:rFonts w:ascii="source serif 4" w:eastAsia="source serif 4" w:hAnsi="source serif 4" w:cs="source serif 4"/>
          <w:b/>
          <w:color w:val="000000"/>
          <w:sz w:val="24"/>
        </w:rPr>
        <w:t>5.1. وظيفته في الإطار الاستخلافي</w:t>
      </w:r>
      <w:bookmarkEnd w:id="109"/>
    </w:p>
    <w:p w14:paraId="13FE8970" w14:textId="0D66175D" w:rsidR="00136201" w:rsidRDefault="00000000">
      <w:pPr>
        <w:spacing w:after="210" w:line="360" w:lineRule="auto"/>
      </w:pPr>
      <w:r>
        <w:rPr>
          <w:rFonts w:ascii="source serif 4" w:eastAsia="source serif 4" w:hAnsi="source serif 4" w:cs="source serif 4"/>
          <w:color w:val="000000"/>
        </w:rPr>
        <w:t xml:space="preserve">يقدم </w:t>
      </w:r>
      <w:r w:rsidR="002E5429">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الوحي بوصفه ليس سلطة منافسة للخوارزمية فحسب، بل مصدرًا يعيد فتح الفجوة الرمزية. فالوحي، في قراءته، لا يخاطب الإنسان من داخل بياناته السابقة، بل من موقع يتجاوز تاريخه الشخصي، مما يفتح إمكان التوبة والتحول.</w:t>
      </w:r>
      <w:bookmarkStart w:id="110" w:name="fnref35_5"/>
      <w:bookmarkEnd w:id="110"/>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26EB3C85" w14:textId="77777777" w:rsidR="00136201" w:rsidRDefault="00000000">
      <w:pPr>
        <w:spacing w:after="210" w:line="360" w:lineRule="auto"/>
      </w:pPr>
      <w:r>
        <w:rPr>
          <w:rFonts w:ascii="source serif 4" w:eastAsia="source serif 4" w:hAnsi="source serif 4" w:cs="source serif 4"/>
          <w:color w:val="000000"/>
        </w:rPr>
        <w:t>وتكمن الفكرة المركزية هنا في أن الوحي يقدم معيارًا لا يستمد مشروعه من الاستجابة السابقة للمستخدم أو من عائد فوري. وبذلك يفتح إمكان تقويم السلوك خارج منطق الانتشار والتفاعل والمنفعة المباشرة.</w:t>
      </w:r>
    </w:p>
    <w:p w14:paraId="297D81F3" w14:textId="77777777" w:rsidR="00136201" w:rsidRDefault="00000000">
      <w:pPr>
        <w:spacing w:before="315" w:after="105" w:line="360" w:lineRule="auto"/>
        <w:ind w:left="-30"/>
      </w:pPr>
      <w:bookmarkStart w:id="111" w:name="bm_5_2_التمييز_بين_المرجعية_والنتيجة"/>
      <w:r>
        <w:rPr>
          <w:rFonts w:ascii="source serif 4" w:eastAsia="source serif 4" w:hAnsi="source serif 4" w:cs="source serif 4"/>
          <w:b/>
          <w:color w:val="000000"/>
          <w:sz w:val="24"/>
        </w:rPr>
        <w:t>5.2. التمييز بين المرجعية والنتيجة</w:t>
      </w:r>
      <w:bookmarkEnd w:id="111"/>
    </w:p>
    <w:p w14:paraId="4EEF13A1" w14:textId="77777777" w:rsidR="00136201" w:rsidRDefault="00000000">
      <w:pPr>
        <w:spacing w:after="210" w:line="360" w:lineRule="auto"/>
      </w:pPr>
      <w:r>
        <w:rPr>
          <w:rFonts w:ascii="source serif 4" w:eastAsia="source serif 4" w:hAnsi="source serif 4" w:cs="source serif 4"/>
          <w:color w:val="000000"/>
        </w:rPr>
        <w:t>ينبغي التمييز بين أمرين:</w:t>
      </w:r>
    </w:p>
    <w:p w14:paraId="44D0E4D9" w14:textId="77777777" w:rsidR="00136201" w:rsidRDefault="00000000">
      <w:pPr>
        <w:numPr>
          <w:ilvl w:val="0"/>
          <w:numId w:val="11"/>
        </w:numPr>
        <w:spacing w:before="105" w:after="105" w:line="360" w:lineRule="auto"/>
      </w:pPr>
      <w:r>
        <w:rPr>
          <w:rFonts w:ascii="source serif 4" w:eastAsia="source serif 4" w:hAnsi="source serif 4" w:cs="source serif 4"/>
          <w:b/>
          <w:color w:val="000000"/>
        </w:rPr>
        <w:t>المرجعية بوصفها معيارًا:</w:t>
      </w:r>
      <w:r>
        <w:rPr>
          <w:rFonts w:ascii="source serif 4" w:eastAsia="source serif 4" w:hAnsi="source serif 4" w:cs="source serif 4"/>
          <w:color w:val="000000"/>
        </w:rPr>
        <w:t xml:space="preserve"> أي أن الوحي يقدم إطارًا لتقويم القيم والأفعال.</w:t>
      </w:r>
    </w:p>
    <w:p w14:paraId="1CE83F1D" w14:textId="77777777" w:rsidR="00136201" w:rsidRDefault="00000000">
      <w:pPr>
        <w:numPr>
          <w:ilvl w:val="0"/>
          <w:numId w:val="11"/>
        </w:numPr>
        <w:spacing w:before="105" w:after="105" w:line="360" w:lineRule="auto"/>
      </w:pPr>
      <w:r>
        <w:rPr>
          <w:rFonts w:ascii="source serif 4" w:eastAsia="source serif 4" w:hAnsi="source serif 4" w:cs="source serif 4"/>
          <w:b/>
          <w:color w:val="000000"/>
        </w:rPr>
        <w:t>المرجعية بوصفها نتيجة نفسية:</w:t>
      </w:r>
      <w:r>
        <w:rPr>
          <w:rFonts w:ascii="source serif 4" w:eastAsia="source serif 4" w:hAnsi="source serif 4" w:cs="source serif 4"/>
          <w:color w:val="000000"/>
        </w:rPr>
        <w:t xml:space="preserve"> أي أن الارتباط بها يقلل الاستلاب أو يعزز الصحة النفسية.</w:t>
      </w:r>
    </w:p>
    <w:p w14:paraId="14C9ECB1" w14:textId="77777777" w:rsidR="00136201" w:rsidRDefault="00000000">
      <w:pPr>
        <w:spacing w:after="210" w:line="360" w:lineRule="auto"/>
      </w:pPr>
      <w:r>
        <w:rPr>
          <w:rFonts w:ascii="source serif 4" w:eastAsia="source serif 4" w:hAnsi="source serif 4" w:cs="source serif 4"/>
          <w:color w:val="000000"/>
        </w:rPr>
        <w:t>فالأول أطروحة معيارية دينية وفلسفية، والثاني فرضية نفسية تحتاج إلى بحث مستقل. ولا يصح الانتقال من الأول إلى الثاني بلا أدلة.</w:t>
      </w:r>
    </w:p>
    <w:p w14:paraId="2189FBC6" w14:textId="77777777" w:rsidR="00136201" w:rsidRDefault="00000000">
      <w:pPr>
        <w:spacing w:before="315" w:after="105" w:line="360" w:lineRule="auto"/>
        <w:ind w:left="-30"/>
      </w:pPr>
      <w:bookmarkStart w:id="112" w:name="bm_5_3_ضبط_الاستدلال_بمبرهنتي_غودل"/>
      <w:r>
        <w:rPr>
          <w:rFonts w:ascii="source serif 4" w:eastAsia="source serif 4" w:hAnsi="source serif 4" w:cs="source serif 4"/>
          <w:b/>
          <w:color w:val="000000"/>
          <w:sz w:val="24"/>
        </w:rPr>
        <w:t xml:space="preserve">5.3. ضبط الاستدلال بمبرهنتي </w:t>
      </w:r>
      <w:proofErr w:type="spellStart"/>
      <w:r>
        <w:rPr>
          <w:rFonts w:ascii="source serif 4" w:eastAsia="source serif 4" w:hAnsi="source serif 4" w:cs="source serif 4"/>
          <w:b/>
          <w:color w:val="000000"/>
          <w:sz w:val="24"/>
        </w:rPr>
        <w:t>غودل</w:t>
      </w:r>
      <w:bookmarkEnd w:id="112"/>
      <w:proofErr w:type="spellEnd"/>
    </w:p>
    <w:p w14:paraId="458C9A9E" w14:textId="77777777" w:rsidR="00136201" w:rsidRDefault="00000000">
      <w:pPr>
        <w:spacing w:after="210" w:line="360" w:lineRule="auto"/>
      </w:pPr>
      <w:r>
        <w:rPr>
          <w:rFonts w:ascii="source serif 4" w:eastAsia="source serif 4" w:hAnsi="source serif 4" w:cs="source serif 4"/>
          <w:color w:val="000000"/>
        </w:rPr>
        <w:t xml:space="preserve">يربط المقال بين «الفاقة الأصلية» ومبرهنتي </w:t>
      </w:r>
      <w:proofErr w:type="spellStart"/>
      <w:r>
        <w:rPr>
          <w:rFonts w:ascii="source serif 4" w:eastAsia="source serif 4" w:hAnsi="source serif 4" w:cs="source serif 4"/>
          <w:color w:val="000000"/>
        </w:rPr>
        <w:t>غودل</w:t>
      </w:r>
      <w:proofErr w:type="spellEnd"/>
      <w:r>
        <w:rPr>
          <w:rFonts w:ascii="source serif 4" w:eastAsia="source serif 4" w:hAnsi="source serif 4" w:cs="source serif 4"/>
          <w:color w:val="000000"/>
        </w:rPr>
        <w:t>، ويقول إن كل نظام صوري متسق وقادر على وصف الحساب الأساسي يحتوي قضايا صحيحة لا يمكن إثباتها من داخله، ولا يستطيع إثبات اتساقه بأدواته الخاصة. ثم ينتقل من هذا العجز البنيوي إلى فكرة أن الإنسان، بخلاف الخوارزمية، يستطيع أن يحوّل وعيه بالنقص إلى وعي بالفاقة والاستمداد.</w:t>
      </w:r>
      <w:bookmarkStart w:id="113" w:name="fnref35_6"/>
      <w:bookmarkEnd w:id="113"/>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3E148860" w14:textId="77777777" w:rsidR="00136201" w:rsidRDefault="00000000">
      <w:pPr>
        <w:spacing w:after="210" w:line="360" w:lineRule="auto"/>
      </w:pPr>
      <w:r>
        <w:rPr>
          <w:rFonts w:ascii="source serif 4" w:eastAsia="source serif 4" w:hAnsi="source serif 4" w:cs="source serif 4"/>
          <w:color w:val="000000"/>
        </w:rPr>
        <w:t xml:space="preserve">وهذا الانتقال يحتاج إلى توضيح منهجي. فمبرهنتا </w:t>
      </w:r>
      <w:proofErr w:type="spellStart"/>
      <w:r>
        <w:rPr>
          <w:rFonts w:ascii="source serif 4" w:eastAsia="source serif 4" w:hAnsi="source serif 4" w:cs="source serif 4"/>
          <w:color w:val="000000"/>
        </w:rPr>
        <w:t>غودل</w:t>
      </w:r>
      <w:proofErr w:type="spellEnd"/>
      <w:r>
        <w:rPr>
          <w:rFonts w:ascii="source serif 4" w:eastAsia="source serif 4" w:hAnsi="source serif 4" w:cs="source serif 4"/>
          <w:color w:val="000000"/>
        </w:rPr>
        <w:t xml:space="preserve"> تتعلقان بالأنظمة الصورية الرياضية، ولا تثبتان مباشرةً استحالة وعي الآلة أو وجود مرجعية متعالية للإنسان. لذلك ينبغي عرض العلاقة بوصفها </w:t>
      </w:r>
      <w:r>
        <w:rPr>
          <w:rFonts w:ascii="source serif 4" w:eastAsia="source serif 4" w:hAnsi="source serif 4" w:cs="source serif 4"/>
          <w:b/>
          <w:color w:val="000000"/>
        </w:rPr>
        <w:t>تشبيهًا فلسفيًا</w:t>
      </w:r>
      <w:r>
        <w:rPr>
          <w:rFonts w:ascii="source serif 4" w:eastAsia="source serif 4" w:hAnsi="source serif 4" w:cs="source serif 4"/>
          <w:color w:val="000000"/>
        </w:rPr>
        <w:t xml:space="preserve"> أو </w:t>
      </w:r>
      <w:r>
        <w:rPr>
          <w:rFonts w:ascii="source serif 4" w:eastAsia="source serif 4" w:hAnsi="source serif 4" w:cs="source serif 4"/>
          <w:b/>
          <w:color w:val="000000"/>
        </w:rPr>
        <w:t>امتدادًا تأويليًا</w:t>
      </w:r>
      <w:r>
        <w:rPr>
          <w:rFonts w:ascii="source serif 4" w:eastAsia="source serif 4" w:hAnsi="source serif 4" w:cs="source serif 4"/>
          <w:color w:val="000000"/>
        </w:rPr>
        <w:t>، لا برهانًا رياضيًا مباشرًا.</w:t>
      </w:r>
    </w:p>
    <w:p w14:paraId="34C090B6" w14:textId="77777777" w:rsidR="00136201" w:rsidRDefault="00000000">
      <w:pPr>
        <w:spacing w:after="210" w:line="360" w:lineRule="auto"/>
      </w:pPr>
      <w:r>
        <w:rPr>
          <w:rFonts w:ascii="source serif 4" w:eastAsia="source serif 4" w:hAnsi="source serif 4" w:cs="source serif 4"/>
          <w:color w:val="000000"/>
        </w:rPr>
        <w:t>والصياغة الأدق:</w:t>
      </w:r>
    </w:p>
    <w:p w14:paraId="5A7C54AE" w14:textId="77777777" w:rsidR="00136201" w:rsidRDefault="00000000">
      <w:pPr>
        <w:spacing w:after="210" w:line="360" w:lineRule="auto"/>
        <w:ind w:left="630"/>
      </w:pPr>
      <w:r>
        <w:rPr>
          <w:rFonts w:ascii="source serif 4" w:eastAsia="source serif 4" w:hAnsi="source serif 4" w:cs="source serif 4"/>
          <w:color w:val="000000"/>
        </w:rPr>
        <w:t xml:space="preserve">تستخدم القراءة الاستخلافية مبرهنتي </w:t>
      </w:r>
      <w:proofErr w:type="spellStart"/>
      <w:r>
        <w:rPr>
          <w:rFonts w:ascii="source serif 4" w:eastAsia="source serif 4" w:hAnsi="source serif 4" w:cs="source serif 4"/>
          <w:color w:val="000000"/>
        </w:rPr>
        <w:t>غودل</w:t>
      </w:r>
      <w:proofErr w:type="spellEnd"/>
      <w:r>
        <w:rPr>
          <w:rFonts w:ascii="source serif 4" w:eastAsia="source serif 4" w:hAnsi="source serif 4" w:cs="source serif 4"/>
          <w:color w:val="000000"/>
        </w:rPr>
        <w:t xml:space="preserve"> استعارةً لبيان أن الأنظمة المغلقة لا تكتفي بذاتها في تبرير معاييرها. غير أن هذا الاستدلال لا يثبت بذاته طبيعة الوعي الإنساني أو استحالة الوعي الآلي؛ بل يفتح سؤالًا فلسفيًا عن مصدر المعيار الذي تُقاس به الأنظمة.</w:t>
      </w:r>
    </w:p>
    <w:p w14:paraId="6EC98ABF" w14:textId="77777777" w:rsidR="00136201" w:rsidRDefault="00000000">
      <w:pPr>
        <w:spacing w:before="315" w:after="105" w:line="360" w:lineRule="auto"/>
        <w:ind w:left="-30"/>
      </w:pPr>
      <w:bookmarkStart w:id="114" w:name="bm_6_مجتمع_الإنجاز_والاستغلال_الذاتي"/>
      <w:r>
        <w:rPr>
          <w:rFonts w:ascii="source serif 4" w:eastAsia="source serif 4" w:hAnsi="source serif 4" w:cs="source serif 4"/>
          <w:b/>
          <w:color w:val="000000"/>
          <w:sz w:val="24"/>
        </w:rPr>
        <w:t>6. مجتمع الإنجاز والاستغلال الذاتي</w:t>
      </w:r>
      <w:bookmarkEnd w:id="114"/>
    </w:p>
    <w:p w14:paraId="44DCC509" w14:textId="77777777" w:rsidR="00136201" w:rsidRDefault="00000000">
      <w:pPr>
        <w:spacing w:before="315" w:after="105" w:line="360" w:lineRule="auto"/>
        <w:ind w:left="-30"/>
      </w:pPr>
      <w:bookmarkStart w:id="115" w:name="bm_6_1_إضافة_هان_إلى_التحليل"/>
      <w:r>
        <w:rPr>
          <w:rFonts w:ascii="source serif 4" w:eastAsia="source serif 4" w:hAnsi="source serif 4" w:cs="source serif 4"/>
          <w:b/>
          <w:color w:val="000000"/>
          <w:sz w:val="24"/>
        </w:rPr>
        <w:t>6.1. إضافة هان إلى التحليل</w:t>
      </w:r>
      <w:bookmarkEnd w:id="115"/>
    </w:p>
    <w:p w14:paraId="647FC9A7" w14:textId="24A2AD34" w:rsidR="00136201" w:rsidRDefault="00000000">
      <w:pPr>
        <w:spacing w:after="210" w:line="360" w:lineRule="auto"/>
      </w:pPr>
      <w:r>
        <w:rPr>
          <w:rFonts w:ascii="source serif 4" w:eastAsia="source serif 4" w:hAnsi="source serif 4" w:cs="source serif 4"/>
          <w:color w:val="000000"/>
        </w:rPr>
        <w:t xml:space="preserve">يستدعي </w:t>
      </w:r>
      <w:r w:rsidR="00955640">
        <w:rPr>
          <w:rFonts w:ascii="source serif 4" w:eastAsia="source serif 4" w:hAnsi="source serif 4" w:cs="Times New Roman" w:hint="cs"/>
          <w:color w:val="000000"/>
          <w:rtl/>
        </w:rPr>
        <w:t xml:space="preserve">علم النفس الاستخلافي </w:t>
      </w:r>
      <w:r>
        <w:rPr>
          <w:rFonts w:ascii="source serif 4" w:eastAsia="source serif 4" w:hAnsi="source serif 4" w:cs="source serif 4"/>
          <w:color w:val="000000"/>
        </w:rPr>
        <w:t>مفهوم «مجتمع الإنجاز» عند بيونغ-تشول هان، ويعرضه بوصفه تحولًا من الانضباط القسري إلى الاستغلال الذاتي. فالفرد، في هذا التصور، يعيد تشكيل ذاته طواعية وفق منطق الكفاءة والأداء، فيشعر بالتحرر بينما يظل خاضعًا لمنطق الإنتاج والقياس.</w:t>
      </w:r>
      <w:bookmarkStart w:id="116" w:name="fnref35_7"/>
      <w:bookmarkEnd w:id="116"/>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1567EE47" w14:textId="77777777" w:rsidR="00136201" w:rsidRDefault="00000000">
      <w:pPr>
        <w:spacing w:after="210" w:line="360" w:lineRule="auto"/>
      </w:pPr>
      <w:r>
        <w:rPr>
          <w:rFonts w:ascii="source serif 4" w:eastAsia="source serif 4" w:hAnsi="source serif 4" w:cs="source serif 4"/>
          <w:color w:val="000000"/>
        </w:rPr>
        <w:t>وتضيف هذه القراءة بعدًا مهمًا إلى نقد الاستعمار الخوارزمي: فالخطر لا يقتصر على أن المنصة توجه المستخدم من الخارج، بل يمتد إلى أن يتبنى المستخدم نفسه معايير الأداء والانتشار والاستجابة بوصفها معايير للقيمة الشخصية.</w:t>
      </w:r>
    </w:p>
    <w:p w14:paraId="4F2CCEC4" w14:textId="77777777" w:rsidR="00136201" w:rsidRDefault="00000000">
      <w:pPr>
        <w:spacing w:before="315" w:after="105" w:line="360" w:lineRule="auto"/>
        <w:ind w:left="-30"/>
      </w:pPr>
      <w:bookmarkStart w:id="117" w:name="bm_6_2_من_الأداء_إلى_الاستخلاف"/>
      <w:r>
        <w:rPr>
          <w:rFonts w:ascii="source serif 4" w:eastAsia="source serif 4" w:hAnsi="source serif 4" w:cs="source serif 4"/>
          <w:b/>
          <w:color w:val="000000"/>
          <w:sz w:val="24"/>
        </w:rPr>
        <w:t>6.2. من الأداء إلى الاستخلاف</w:t>
      </w:r>
      <w:bookmarkEnd w:id="117"/>
    </w:p>
    <w:p w14:paraId="05051F28" w14:textId="77777777" w:rsidR="00136201" w:rsidRDefault="00000000">
      <w:pPr>
        <w:spacing w:after="210" w:line="360" w:lineRule="auto"/>
      </w:pPr>
      <w:r>
        <w:rPr>
          <w:rFonts w:ascii="source serif 4" w:eastAsia="source serif 4" w:hAnsi="source serif 4" w:cs="source serif 4"/>
          <w:color w:val="000000"/>
        </w:rPr>
        <w:t>يقابل الإطار الاستخلافي هذا المنطق بتصور الإنسان بوصفه مستخلَفًا، لا منتجًا، وغاية في ذاته، لا وسيلة لقياس الأداء.</w:t>
      </w:r>
      <w:bookmarkStart w:id="118" w:name="fnref35_8"/>
      <w:bookmarkEnd w:id="118"/>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3088EEDD" w14:textId="77777777" w:rsidR="00136201" w:rsidRDefault="00000000">
      <w:pPr>
        <w:spacing w:after="210" w:line="360" w:lineRule="auto"/>
      </w:pPr>
      <w:r>
        <w:rPr>
          <w:rFonts w:ascii="source serif 4" w:eastAsia="source serif 4" w:hAnsi="source serif 4" w:cs="source serif 4"/>
          <w:color w:val="000000"/>
        </w:rPr>
        <w:t>وهذه مقاربة معيارية مهمة، لكنها تحتاج إلى حماية من انقلابها إلى ضغط جديد. فإذا تحولت لغة «الاستخلاف» إلى مطالبة دائمة بالإنتاج أو الخدمة أو التضحية، فقد أعادت إنتاج منطق الأداء الذي نقدته. لذلك ينبغي أن تُفهم المسؤولية الاستخلافية بوصفها اتجاهًا للفعل، لا مقياسًا لقيمة الشخص.</w:t>
      </w:r>
    </w:p>
    <w:p w14:paraId="10406A02" w14:textId="77777777" w:rsidR="00136201" w:rsidRDefault="00000000">
      <w:pPr>
        <w:spacing w:before="315" w:after="105" w:line="360" w:lineRule="auto"/>
        <w:ind w:left="-30"/>
      </w:pPr>
      <w:bookmarkStart w:id="119" w:name="bm_7_القرار_الأخلاقي_المطلق_من_ال_f3811d"/>
      <w:r>
        <w:rPr>
          <w:rFonts w:ascii="source serif 4" w:eastAsia="source serif 4" w:hAnsi="source serif 4" w:cs="source serif 4"/>
          <w:b/>
          <w:color w:val="000000"/>
          <w:sz w:val="24"/>
        </w:rPr>
        <w:t>7. القرار الأخلاقي المطلق: من الفكرة إلى المعيار</w:t>
      </w:r>
      <w:bookmarkEnd w:id="119"/>
    </w:p>
    <w:p w14:paraId="122F7A6A" w14:textId="77777777" w:rsidR="00136201" w:rsidRDefault="00000000">
      <w:pPr>
        <w:spacing w:before="315" w:after="105" w:line="360" w:lineRule="auto"/>
        <w:ind w:left="-30"/>
      </w:pPr>
      <w:bookmarkStart w:id="120" w:name="bm_7_1_الإشكال_الذي_يطرحه_الزراع"/>
      <w:r>
        <w:rPr>
          <w:rFonts w:ascii="source serif 4" w:eastAsia="source serif 4" w:hAnsi="source serif 4" w:cs="source serif 4"/>
          <w:b/>
          <w:color w:val="000000"/>
          <w:sz w:val="24"/>
        </w:rPr>
        <w:t>7.1. الإشكال الذي يطرحه الزراع</w:t>
      </w:r>
      <w:bookmarkEnd w:id="120"/>
    </w:p>
    <w:p w14:paraId="4277E403" w14:textId="77777777" w:rsidR="00136201" w:rsidRDefault="00000000">
      <w:pPr>
        <w:spacing w:after="210" w:line="360" w:lineRule="auto"/>
      </w:pPr>
      <w:r>
        <w:rPr>
          <w:rFonts w:ascii="source serif 4" w:eastAsia="source serif 4" w:hAnsi="source serif 4" w:cs="source serif 4"/>
          <w:color w:val="000000"/>
        </w:rPr>
        <w:t>يعترف المقال بأن فكرة تفكيك البنية الخوارزمية عبر «خيار أخلاقي مطلق لا يحقق أي منفعة رقمية» قوية بلاغيًا وفلسفيًا، لكنها تفتقر إلى معيار إجرائي يميز القرار المطلق حقًا عن قرار يحمل منفعة رمزية خفية، كالمكانة أو الشعور بالتفوق الأخلاقي.</w:t>
      </w:r>
      <w:bookmarkStart w:id="121" w:name="fnref35_9"/>
      <w:bookmarkEnd w:id="121"/>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0C732714" w14:textId="77777777" w:rsidR="00136201" w:rsidRDefault="00000000">
      <w:pPr>
        <w:spacing w:after="210" w:line="360" w:lineRule="auto"/>
      </w:pPr>
      <w:r>
        <w:rPr>
          <w:rFonts w:ascii="source serif 4" w:eastAsia="source serif 4" w:hAnsi="source serif 4" w:cs="source serif 4"/>
          <w:color w:val="000000"/>
        </w:rPr>
        <w:t>وهذا اعتراف منهجي مهم؛ لأنه يمنع تحويل الخطاب الأخلاقي إلى اختبار غير قابل للفحص.</w:t>
      </w:r>
    </w:p>
    <w:p w14:paraId="38AED187" w14:textId="77777777" w:rsidR="00136201" w:rsidRDefault="00000000">
      <w:pPr>
        <w:spacing w:before="315" w:after="105" w:line="360" w:lineRule="auto"/>
        <w:ind w:left="-30"/>
      </w:pPr>
      <w:bookmarkStart w:id="122" w:name="bm_7_2_الشروط_الإجرائية_المقترحة"/>
      <w:r>
        <w:rPr>
          <w:rFonts w:ascii="source serif 4" w:eastAsia="source serif 4" w:hAnsi="source serif 4" w:cs="source serif 4"/>
          <w:b/>
          <w:color w:val="000000"/>
          <w:sz w:val="24"/>
        </w:rPr>
        <w:t>7.2. الشروط الإجرائية المقترحة</w:t>
      </w:r>
      <w:bookmarkEnd w:id="122"/>
    </w:p>
    <w:p w14:paraId="25A908C7" w14:textId="77777777" w:rsidR="00136201" w:rsidRDefault="00000000">
      <w:pPr>
        <w:spacing w:after="210" w:line="360" w:lineRule="auto"/>
      </w:pPr>
      <w:r>
        <w:rPr>
          <w:rFonts w:ascii="source serif 4" w:eastAsia="source serif 4" w:hAnsi="source serif 4" w:cs="source serif 4"/>
          <w:color w:val="000000"/>
        </w:rPr>
        <w:t>يقترح المقال ثلاثة شروط لاختبار «</w:t>
      </w:r>
      <w:proofErr w:type="spellStart"/>
      <w:r>
        <w:rPr>
          <w:rFonts w:ascii="source serif 4" w:eastAsia="source serif 4" w:hAnsi="source serif 4" w:cs="source serif 4"/>
          <w:color w:val="000000"/>
        </w:rPr>
        <w:t>إطلاقية</w:t>
      </w:r>
      <w:proofErr w:type="spellEnd"/>
      <w:r>
        <w:rPr>
          <w:rFonts w:ascii="source serif 4" w:eastAsia="source serif 4" w:hAnsi="source serif 4" w:cs="source serif 4"/>
          <w:color w:val="000000"/>
        </w:rPr>
        <w:t>» القرار الأخلاقي:</w:t>
      </w:r>
    </w:p>
    <w:p w14:paraId="60C280E0" w14:textId="77777777" w:rsidR="00136201" w:rsidRDefault="00000000">
      <w:pPr>
        <w:numPr>
          <w:ilvl w:val="0"/>
          <w:numId w:val="12"/>
        </w:numPr>
        <w:spacing w:before="105" w:after="105" w:line="360" w:lineRule="auto"/>
      </w:pPr>
      <w:r>
        <w:rPr>
          <w:rFonts w:ascii="source serif 4" w:eastAsia="source serif 4" w:hAnsi="source serif 4" w:cs="source serif 4"/>
          <w:b/>
          <w:color w:val="000000"/>
        </w:rPr>
        <w:t>الاستمرارية بلا شاهد:</w:t>
      </w:r>
      <w:r>
        <w:rPr>
          <w:rFonts w:ascii="source serif 4" w:eastAsia="source serif 4" w:hAnsi="source serif 4" w:cs="source serif 4"/>
          <w:color w:val="000000"/>
        </w:rPr>
        <w:t xml:space="preserve"> هل يبقى الفرد على القرار حين لا يتوقع أن يعلم به أحد أو يقيّمه؟</w:t>
      </w:r>
    </w:p>
    <w:p w14:paraId="20D6EF43" w14:textId="77777777" w:rsidR="00136201" w:rsidRDefault="00000000">
      <w:pPr>
        <w:numPr>
          <w:ilvl w:val="0"/>
          <w:numId w:val="12"/>
        </w:numPr>
        <w:spacing w:before="105" w:after="105" w:line="360" w:lineRule="auto"/>
      </w:pPr>
      <w:proofErr w:type="spellStart"/>
      <w:r>
        <w:rPr>
          <w:rFonts w:ascii="source serif 4" w:eastAsia="source serif 4" w:hAnsi="source serif 4" w:cs="source serif 4"/>
          <w:b/>
          <w:color w:val="000000"/>
        </w:rPr>
        <w:t>اللاتناسب</w:t>
      </w:r>
      <w:proofErr w:type="spellEnd"/>
      <w:r>
        <w:rPr>
          <w:rFonts w:ascii="source serif 4" w:eastAsia="source serif 4" w:hAnsi="source serif 4" w:cs="source serif 4"/>
          <w:b/>
          <w:color w:val="000000"/>
        </w:rPr>
        <w:t>:</w:t>
      </w:r>
      <w:r>
        <w:rPr>
          <w:rFonts w:ascii="source serif 4" w:eastAsia="source serif 4" w:hAnsi="source serif 4" w:cs="source serif 4"/>
          <w:color w:val="000000"/>
        </w:rPr>
        <w:t xml:space="preserve"> هل تفوق كلفته على الفرد أي عائد رمزي متصور منه؟</w:t>
      </w:r>
    </w:p>
    <w:p w14:paraId="70A5A7AB" w14:textId="77777777" w:rsidR="00136201" w:rsidRDefault="00000000">
      <w:pPr>
        <w:numPr>
          <w:ilvl w:val="0"/>
          <w:numId w:val="12"/>
        </w:numPr>
        <w:spacing w:before="105" w:after="105" w:line="360" w:lineRule="auto"/>
      </w:pPr>
      <w:r>
        <w:rPr>
          <w:rFonts w:ascii="source serif 4" w:eastAsia="source serif 4" w:hAnsi="source serif 4" w:cs="source serif 4"/>
          <w:b/>
          <w:color w:val="000000"/>
        </w:rPr>
        <w:t>الثبات عبر الزمن الاسترجاعي:</w:t>
      </w:r>
      <w:r>
        <w:rPr>
          <w:rFonts w:ascii="source serif 4" w:eastAsia="source serif 4" w:hAnsi="source serif 4" w:cs="source serif 4"/>
          <w:color w:val="000000"/>
        </w:rPr>
        <w:t xml:space="preserve"> هل يبقى الفرد يرى صواب القرار من موقع القيمة، لا من موقع نتائجه؟</w:t>
      </w:r>
      <w:bookmarkStart w:id="123" w:name="fnref35_10"/>
      <w:bookmarkEnd w:id="123"/>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1E1E2C28" w14:textId="77777777" w:rsidR="00136201" w:rsidRDefault="00000000">
      <w:pPr>
        <w:spacing w:after="210" w:line="360" w:lineRule="auto"/>
      </w:pPr>
      <w:r>
        <w:rPr>
          <w:rFonts w:ascii="source serif 4" w:eastAsia="source serif 4" w:hAnsi="source serif 4" w:cs="source serif 4"/>
          <w:color w:val="000000"/>
        </w:rPr>
        <w:t>وهذه الشروط مفيدة بوصفها أسئلة للمراجعة الذاتية، لكنها تحتاج إلى تطوير قبل تحويلها إلى أداة سريرية. فليست كل منفعة رمزية دليلًا على نقص الأصالة، وليست كل كلفة دليلًا على صحة القرار. وقد يدفع الإحساس بالذنب الإنسان إلى قرار مؤذٍ، ثم يعتبره لاحقًا التزامًا أخلاقيًا.</w:t>
      </w:r>
    </w:p>
    <w:p w14:paraId="0690B6B4" w14:textId="77777777" w:rsidR="00136201" w:rsidRDefault="00000000">
      <w:pPr>
        <w:spacing w:before="315" w:after="105" w:line="360" w:lineRule="auto"/>
        <w:ind w:left="-30"/>
      </w:pPr>
      <w:bookmarkStart w:id="124" w:name="bm_7_3_صياغة_مقترحة_للمعيار"/>
      <w:r>
        <w:rPr>
          <w:rFonts w:ascii="source serif 4" w:eastAsia="source serif 4" w:hAnsi="source serif 4" w:cs="source serif 4"/>
          <w:b/>
          <w:color w:val="000000"/>
          <w:sz w:val="24"/>
        </w:rPr>
        <w:t>7.3. صياغة مقترحة للمعيار</w:t>
      </w:r>
      <w:bookmarkEnd w:id="124"/>
    </w:p>
    <w:p w14:paraId="78BDC565" w14:textId="77777777" w:rsidR="00136201" w:rsidRDefault="00000000">
      <w:pPr>
        <w:spacing w:after="210" w:line="360" w:lineRule="auto"/>
      </w:pPr>
      <w:r>
        <w:rPr>
          <w:rFonts w:ascii="source serif 4" w:eastAsia="source serif 4" w:hAnsi="source serif 4" w:cs="source serif 4"/>
          <w:color w:val="000000"/>
        </w:rPr>
        <w:t>يمكن تطوير المعيار على النحو الآتي:</w:t>
      </w:r>
    </w:p>
    <w:p w14:paraId="234AA1C3" w14:textId="77777777" w:rsidR="00136201" w:rsidRDefault="00000000">
      <w:pPr>
        <w:spacing w:after="210" w:line="360" w:lineRule="auto"/>
        <w:ind w:left="630"/>
      </w:pPr>
      <w:r>
        <w:rPr>
          <w:rFonts w:ascii="source serif 4" w:eastAsia="source serif 4" w:hAnsi="source serif 4" w:cs="source serif 4"/>
          <w:color w:val="000000"/>
        </w:rPr>
        <w:t xml:space="preserve">يُقاس الفعل الأخلاقي، في هذا الإطار، لا بغياب كل منفعة، بل بوضوح </w:t>
      </w:r>
      <w:proofErr w:type="spellStart"/>
      <w:r>
        <w:rPr>
          <w:rFonts w:ascii="source serif 4" w:eastAsia="source serif 4" w:hAnsi="source serif 4" w:cs="source serif 4"/>
          <w:color w:val="000000"/>
        </w:rPr>
        <w:t>مرجعيته</w:t>
      </w:r>
      <w:proofErr w:type="spellEnd"/>
      <w:r>
        <w:rPr>
          <w:rFonts w:ascii="source serif 4" w:eastAsia="source serif 4" w:hAnsi="source serif 4" w:cs="source serif 4"/>
          <w:color w:val="000000"/>
        </w:rPr>
        <w:t>، واتساقه مع القيمة المعلنة، وقابليته للمراجعة، وعدم تحويله إلى أداة لإيذاء الذات أو الآخرين.</w:t>
      </w:r>
    </w:p>
    <w:p w14:paraId="012C893D" w14:textId="77777777" w:rsidR="00136201" w:rsidRDefault="00000000">
      <w:pPr>
        <w:spacing w:after="210" w:line="360" w:lineRule="auto"/>
      </w:pPr>
      <w:r>
        <w:rPr>
          <w:rFonts w:ascii="source serif 4" w:eastAsia="source serif 4" w:hAnsi="source serif 4" w:cs="source serif 4"/>
          <w:color w:val="000000"/>
        </w:rPr>
        <w:t>وبهذا يصبح المعيار أكثر أمانًا وأقل عرضة للاستخدام في تبرير المعاناة أو تأجيل الدعم.</w:t>
      </w:r>
    </w:p>
    <w:p w14:paraId="2499A302" w14:textId="77777777" w:rsidR="00136201" w:rsidRDefault="00000000">
      <w:pPr>
        <w:spacing w:before="315" w:after="105" w:line="360" w:lineRule="auto"/>
        <w:ind w:left="-30"/>
      </w:pPr>
      <w:bookmarkStart w:id="125" w:name="bm_8_الجسر_السلوكي_من_المبدأ_إلى_cd67a0"/>
      <w:r>
        <w:rPr>
          <w:rFonts w:ascii="source serif 4" w:eastAsia="source serif 4" w:hAnsi="source serif 4" w:cs="source serif 4"/>
          <w:b/>
          <w:color w:val="000000"/>
          <w:sz w:val="24"/>
        </w:rPr>
        <w:t>8. الجسر السلوكي: من المبدأ إلى الممارسة</w:t>
      </w:r>
      <w:bookmarkEnd w:id="125"/>
    </w:p>
    <w:p w14:paraId="350F3FE5" w14:textId="77777777" w:rsidR="00136201" w:rsidRDefault="00000000">
      <w:pPr>
        <w:spacing w:before="315" w:after="105" w:line="360" w:lineRule="auto"/>
        <w:ind w:left="-30"/>
      </w:pPr>
      <w:bookmarkStart w:id="126" w:name="bm_8_1_تعريفه_في_المشروع"/>
      <w:r>
        <w:rPr>
          <w:rFonts w:ascii="source serif 4" w:eastAsia="source serif 4" w:hAnsi="source serif 4" w:cs="source serif 4"/>
          <w:b/>
          <w:color w:val="000000"/>
          <w:sz w:val="24"/>
        </w:rPr>
        <w:t>8.1. تعريفه في المشروع</w:t>
      </w:r>
      <w:bookmarkEnd w:id="126"/>
    </w:p>
    <w:p w14:paraId="25131410" w14:textId="77777777" w:rsidR="00136201" w:rsidRDefault="00000000">
      <w:pPr>
        <w:spacing w:after="210" w:line="360" w:lineRule="auto"/>
      </w:pPr>
      <w:r>
        <w:rPr>
          <w:rFonts w:ascii="source serif 4" w:eastAsia="source serif 4" w:hAnsi="source serif 4" w:cs="source serif 4"/>
          <w:color w:val="000000"/>
        </w:rPr>
        <w:t>يظهر «الجسر السلوكي» في المشروع بوصفه انتقالًا من الوعي والمعنى إلى الفعل، ومن التنظير إلى الممارسة العلاجية. ويربطه المقال باقتراح معايير للقرار الأخلاقي وبتطوير بروتوكول يُشار إليه باسم TLRT.</w:t>
      </w:r>
      <w:bookmarkStart w:id="127" w:name="fnref35_11"/>
      <w:bookmarkEnd w:id="127"/>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67F5802A" w14:textId="77777777" w:rsidR="00136201" w:rsidRDefault="00000000">
      <w:pPr>
        <w:spacing w:before="315" w:after="105" w:line="360" w:lineRule="auto"/>
        <w:ind w:left="-30"/>
      </w:pPr>
      <w:bookmarkStart w:id="128" w:name="bm_8_2_تعريف_إجرائي_مقترح"/>
      <w:r>
        <w:rPr>
          <w:rFonts w:ascii="source serif 4" w:eastAsia="source serif 4" w:hAnsi="source serif 4" w:cs="source serif 4"/>
          <w:b/>
          <w:color w:val="000000"/>
          <w:sz w:val="24"/>
        </w:rPr>
        <w:t>8.2. تعريف إجرائي مقترح</w:t>
      </w:r>
      <w:bookmarkEnd w:id="128"/>
    </w:p>
    <w:p w14:paraId="5042C55A" w14:textId="77777777" w:rsidR="00136201" w:rsidRDefault="00000000">
      <w:pPr>
        <w:spacing w:after="210" w:line="360" w:lineRule="auto"/>
      </w:pPr>
      <w:r>
        <w:rPr>
          <w:rFonts w:ascii="source serif 4" w:eastAsia="source serif 4" w:hAnsi="source serif 4" w:cs="source serif 4"/>
          <w:color w:val="000000"/>
        </w:rPr>
        <w:t>يمكن تعريف الجسر السلوكي في هذا البحث على النحو الآتي:</w:t>
      </w:r>
    </w:p>
    <w:p w14:paraId="2C99FA1E" w14:textId="77777777" w:rsidR="00136201" w:rsidRDefault="00000000">
      <w:pPr>
        <w:spacing w:after="210" w:line="360" w:lineRule="auto"/>
        <w:ind w:left="630"/>
      </w:pPr>
      <w:r>
        <w:rPr>
          <w:rFonts w:ascii="source serif 4" w:eastAsia="source serif 4" w:hAnsi="source serif 4" w:cs="source serif 4"/>
          <w:color w:val="000000"/>
        </w:rPr>
        <w:t>إجراء منظم يربط قيمة أو مرجعية يختارها الشخص بخطوة سلوكية محددة وممكنة، مع تقويم أثرها على الفاعلية والسلامة والعلاقات، وتعديلها عند الحاجة.</w:t>
      </w:r>
    </w:p>
    <w:p w14:paraId="2A1D245F" w14:textId="77777777" w:rsidR="00136201" w:rsidRDefault="00000000">
      <w:pPr>
        <w:spacing w:before="315" w:after="105" w:line="360" w:lineRule="auto"/>
        <w:ind w:left="-30"/>
      </w:pPr>
      <w:bookmarkStart w:id="129" w:name="bm_8_3_مكوناته_المقترحة"/>
      <w:r>
        <w:rPr>
          <w:rFonts w:ascii="source serif 4" w:eastAsia="source serif 4" w:hAnsi="source serif 4" w:cs="source serif 4"/>
          <w:b/>
          <w:color w:val="000000"/>
          <w:sz w:val="24"/>
        </w:rPr>
        <w:t>8.3. مكوناته المقترحة</w:t>
      </w:r>
      <w:bookmarkEnd w:id="129"/>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810"/>
        <w:gridCol w:w="3052"/>
      </w:tblGrid>
      <w:tr w:rsidR="00136201" w14:paraId="6F93180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B091153" w14:textId="77777777" w:rsidR="00136201" w:rsidRDefault="00000000">
            <w:pPr>
              <w:spacing w:line="360" w:lineRule="auto"/>
            </w:pPr>
            <w:r>
              <w:rPr>
                <w:rFonts w:ascii="source sans 3" w:eastAsia="source sans 3" w:hAnsi="source sans 3" w:cs="source sans 3"/>
                <w:color w:val="000000"/>
                <w:sz w:val="17"/>
              </w:rPr>
              <w:t>المكوّن</w:t>
            </w:r>
          </w:p>
        </w:tc>
        <w:tc>
          <w:tcPr>
            <w:tcW w:w="0" w:type="auto"/>
            <w:tcBorders>
              <w:top w:val="single" w:sz="1" w:space="0" w:color="000000"/>
              <w:bottom w:val="single" w:sz="1" w:space="0" w:color="000000"/>
            </w:tcBorders>
          </w:tcPr>
          <w:p w14:paraId="65EA7B8F" w14:textId="77777777" w:rsidR="00136201" w:rsidRDefault="00000000">
            <w:pPr>
              <w:spacing w:line="360" w:lineRule="auto"/>
            </w:pPr>
            <w:r>
              <w:rPr>
                <w:rFonts w:ascii="source sans 3" w:eastAsia="source sans 3" w:hAnsi="source sans 3" w:cs="source sans 3"/>
                <w:color w:val="000000"/>
                <w:sz w:val="17"/>
              </w:rPr>
              <w:t>السؤال العملي</w:t>
            </w:r>
          </w:p>
        </w:tc>
      </w:tr>
      <w:tr w:rsidR="00136201" w14:paraId="6DB2F7A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90EBBA1" w14:textId="77777777" w:rsidR="00136201" w:rsidRDefault="00000000">
            <w:pPr>
              <w:spacing w:line="360" w:lineRule="auto"/>
            </w:pPr>
            <w:r>
              <w:rPr>
                <w:rFonts w:ascii="source sans 3" w:eastAsia="source sans 3" w:hAnsi="source sans 3" w:cs="source sans 3"/>
                <w:color w:val="000000"/>
                <w:sz w:val="17"/>
              </w:rPr>
              <w:t>الوصف</w:t>
            </w:r>
          </w:p>
        </w:tc>
        <w:tc>
          <w:tcPr>
            <w:tcW w:w="0" w:type="auto"/>
            <w:tcBorders>
              <w:top w:val="single" w:sz="1" w:space="0" w:color="000000"/>
              <w:bottom w:val="single" w:sz="1" w:space="0" w:color="000000"/>
            </w:tcBorders>
          </w:tcPr>
          <w:p w14:paraId="45411AEE" w14:textId="77777777" w:rsidR="00136201" w:rsidRDefault="00000000">
            <w:pPr>
              <w:spacing w:line="360" w:lineRule="auto"/>
            </w:pPr>
            <w:r>
              <w:rPr>
                <w:rFonts w:ascii="source sans 3" w:eastAsia="source sans 3" w:hAnsi="source sans 3" w:cs="source sans 3"/>
                <w:color w:val="000000"/>
                <w:sz w:val="17"/>
              </w:rPr>
              <w:t>ما الذي يحدث الآن، دون تعميم أو اتهام للذات؟</w:t>
            </w:r>
          </w:p>
        </w:tc>
      </w:tr>
      <w:tr w:rsidR="00136201" w14:paraId="23ECD6C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5D37752" w14:textId="77777777" w:rsidR="00136201" w:rsidRDefault="00000000">
            <w:pPr>
              <w:spacing w:line="360" w:lineRule="auto"/>
            </w:pPr>
            <w:r>
              <w:rPr>
                <w:rFonts w:ascii="source sans 3" w:eastAsia="source sans 3" w:hAnsi="source sans 3" w:cs="source sans 3"/>
                <w:color w:val="000000"/>
                <w:sz w:val="17"/>
              </w:rPr>
              <w:t>المرجعية</w:t>
            </w:r>
          </w:p>
        </w:tc>
        <w:tc>
          <w:tcPr>
            <w:tcW w:w="0" w:type="auto"/>
            <w:tcBorders>
              <w:top w:val="single" w:sz="1" w:space="0" w:color="000000"/>
              <w:bottom w:val="single" w:sz="1" w:space="0" w:color="000000"/>
            </w:tcBorders>
          </w:tcPr>
          <w:p w14:paraId="1C953A5E" w14:textId="77777777" w:rsidR="00136201" w:rsidRDefault="00000000">
            <w:pPr>
              <w:spacing w:line="360" w:lineRule="auto"/>
            </w:pPr>
            <w:r>
              <w:rPr>
                <w:rFonts w:ascii="source sans 3" w:eastAsia="source sans 3" w:hAnsi="source sans 3" w:cs="source sans 3"/>
                <w:color w:val="000000"/>
                <w:sz w:val="17"/>
              </w:rPr>
              <w:t>ما القيمة التي يريد الشخص حمايتها أو استعادتها؟</w:t>
            </w:r>
          </w:p>
        </w:tc>
      </w:tr>
      <w:tr w:rsidR="00136201" w14:paraId="43E2288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FF78334" w14:textId="77777777" w:rsidR="00136201" w:rsidRDefault="00000000">
            <w:pPr>
              <w:spacing w:line="360" w:lineRule="auto"/>
            </w:pPr>
            <w:r>
              <w:rPr>
                <w:rFonts w:ascii="source sans 3" w:eastAsia="source sans 3" w:hAnsi="source sans 3" w:cs="source sans 3"/>
                <w:color w:val="000000"/>
                <w:sz w:val="17"/>
              </w:rPr>
              <w:t>الخيار</w:t>
            </w:r>
          </w:p>
        </w:tc>
        <w:tc>
          <w:tcPr>
            <w:tcW w:w="0" w:type="auto"/>
            <w:tcBorders>
              <w:top w:val="single" w:sz="1" w:space="0" w:color="000000"/>
              <w:bottom w:val="single" w:sz="1" w:space="0" w:color="000000"/>
            </w:tcBorders>
          </w:tcPr>
          <w:p w14:paraId="65713A9B" w14:textId="77777777" w:rsidR="00136201" w:rsidRDefault="00000000">
            <w:pPr>
              <w:spacing w:line="360" w:lineRule="auto"/>
            </w:pPr>
            <w:r>
              <w:rPr>
                <w:rFonts w:ascii="source sans 3" w:eastAsia="source sans 3" w:hAnsi="source sans 3" w:cs="source sans 3"/>
                <w:color w:val="000000"/>
                <w:sz w:val="17"/>
              </w:rPr>
              <w:t>ما الخطوة الصغيرة الممكنة في الظرف الحالي؟</w:t>
            </w:r>
          </w:p>
        </w:tc>
      </w:tr>
      <w:tr w:rsidR="00136201" w14:paraId="7A41B0D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63A4D56" w14:textId="77777777" w:rsidR="00136201" w:rsidRDefault="00000000">
            <w:pPr>
              <w:spacing w:line="360" w:lineRule="auto"/>
            </w:pPr>
            <w:r>
              <w:rPr>
                <w:rFonts w:ascii="source sans 3" w:eastAsia="source sans 3" w:hAnsi="source sans 3" w:cs="source sans 3"/>
                <w:color w:val="000000"/>
                <w:sz w:val="17"/>
              </w:rPr>
              <w:t>التنفيذ</w:t>
            </w:r>
          </w:p>
        </w:tc>
        <w:tc>
          <w:tcPr>
            <w:tcW w:w="0" w:type="auto"/>
            <w:tcBorders>
              <w:top w:val="single" w:sz="1" w:space="0" w:color="000000"/>
              <w:bottom w:val="single" w:sz="1" w:space="0" w:color="000000"/>
            </w:tcBorders>
          </w:tcPr>
          <w:p w14:paraId="15B5CB37" w14:textId="77777777" w:rsidR="00136201" w:rsidRDefault="00000000">
            <w:pPr>
              <w:spacing w:line="360" w:lineRule="auto"/>
            </w:pPr>
            <w:r>
              <w:rPr>
                <w:rFonts w:ascii="source sans 3" w:eastAsia="source sans 3" w:hAnsi="source sans 3" w:cs="source sans 3"/>
                <w:color w:val="000000"/>
                <w:sz w:val="17"/>
              </w:rPr>
              <w:t>ما الحد الزمني والشكل العملي للخطوة؟</w:t>
            </w:r>
          </w:p>
        </w:tc>
      </w:tr>
      <w:tr w:rsidR="00136201" w14:paraId="084086C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529A987" w14:textId="77777777" w:rsidR="00136201" w:rsidRDefault="00000000">
            <w:pPr>
              <w:spacing w:line="360" w:lineRule="auto"/>
            </w:pPr>
            <w:r>
              <w:rPr>
                <w:rFonts w:ascii="source sans 3" w:eastAsia="source sans 3" w:hAnsi="source sans 3" w:cs="source sans 3"/>
                <w:color w:val="000000"/>
                <w:sz w:val="17"/>
              </w:rPr>
              <w:t>التقويم</w:t>
            </w:r>
          </w:p>
        </w:tc>
        <w:tc>
          <w:tcPr>
            <w:tcW w:w="0" w:type="auto"/>
            <w:tcBorders>
              <w:top w:val="single" w:sz="1" w:space="0" w:color="000000"/>
              <w:bottom w:val="single" w:sz="1" w:space="0" w:color="000000"/>
            </w:tcBorders>
          </w:tcPr>
          <w:p w14:paraId="6A598B43" w14:textId="77777777" w:rsidR="00136201" w:rsidRDefault="00000000">
            <w:pPr>
              <w:spacing w:line="360" w:lineRule="auto"/>
            </w:pPr>
            <w:r>
              <w:rPr>
                <w:rFonts w:ascii="source sans 3" w:eastAsia="source sans 3" w:hAnsi="source sans 3" w:cs="source sans 3"/>
                <w:color w:val="000000"/>
                <w:sz w:val="17"/>
              </w:rPr>
              <w:t>هل زادت القدرة على الاختيار أم زاد الضغط؟</w:t>
            </w:r>
          </w:p>
        </w:tc>
      </w:tr>
      <w:tr w:rsidR="00136201" w14:paraId="526DEBD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E7F0FF4" w14:textId="77777777" w:rsidR="00136201" w:rsidRDefault="00000000">
            <w:pPr>
              <w:spacing w:line="360" w:lineRule="auto"/>
            </w:pPr>
            <w:r>
              <w:rPr>
                <w:rFonts w:ascii="source sans 3" w:eastAsia="source sans 3" w:hAnsi="source sans 3" w:cs="source sans 3"/>
                <w:color w:val="000000"/>
                <w:sz w:val="17"/>
              </w:rPr>
              <w:t>المراجعة</w:t>
            </w:r>
          </w:p>
        </w:tc>
        <w:tc>
          <w:tcPr>
            <w:tcW w:w="0" w:type="auto"/>
            <w:tcBorders>
              <w:top w:val="single" w:sz="1" w:space="0" w:color="000000"/>
              <w:bottom w:val="single" w:sz="1" w:space="0" w:color="000000"/>
            </w:tcBorders>
          </w:tcPr>
          <w:p w14:paraId="5B93DC0E" w14:textId="77777777" w:rsidR="00136201" w:rsidRDefault="00000000">
            <w:pPr>
              <w:spacing w:line="360" w:lineRule="auto"/>
            </w:pPr>
            <w:r>
              <w:rPr>
                <w:rFonts w:ascii="source sans 3" w:eastAsia="source sans 3" w:hAnsi="source sans 3" w:cs="source sans 3"/>
                <w:color w:val="000000"/>
                <w:sz w:val="17"/>
              </w:rPr>
              <w:t>هل تُستمر الخطوة أو تُعدّل أو يُطلب دعم متخصص؟</w:t>
            </w:r>
          </w:p>
        </w:tc>
      </w:tr>
    </w:tbl>
    <w:p w14:paraId="5DFC6586" w14:textId="77777777" w:rsidR="00136201" w:rsidRDefault="00136201"/>
    <w:p w14:paraId="36CFB327" w14:textId="77777777" w:rsidR="00136201" w:rsidRDefault="00000000">
      <w:pPr>
        <w:spacing w:before="315" w:after="105" w:line="360" w:lineRule="auto"/>
        <w:ind w:left="-30"/>
      </w:pPr>
      <w:bookmarkStart w:id="130" w:name="bm_8_4_شرط_السلامة"/>
      <w:r>
        <w:rPr>
          <w:rFonts w:ascii="source serif 4" w:eastAsia="source serif 4" w:hAnsi="source serif 4" w:cs="source serif 4"/>
          <w:b/>
          <w:color w:val="000000"/>
          <w:sz w:val="24"/>
        </w:rPr>
        <w:t>8.4. شرط السلامة</w:t>
      </w:r>
      <w:bookmarkEnd w:id="130"/>
    </w:p>
    <w:p w14:paraId="5918A11B" w14:textId="77777777" w:rsidR="00136201" w:rsidRDefault="00000000">
      <w:pPr>
        <w:spacing w:after="210" w:line="360" w:lineRule="auto"/>
      </w:pPr>
      <w:r>
        <w:rPr>
          <w:rFonts w:ascii="source serif 4" w:eastAsia="source serif 4" w:hAnsi="source serif 4" w:cs="source serif 4"/>
          <w:color w:val="000000"/>
        </w:rPr>
        <w:t>لا يجوز تقديم الجسر السلوكي بوصفه بديلًا عن التقييم أو العلاج عند وجود أعراض حادة أو خطر على الذات أو الآخرين. فالتحول إلى فعل ذي معنى لا يلغي الحاجة إلى الرعاية، ولا يجعل تحمّل الألم شرطًا للتعافي. وتؤكد منظمة الصحة العالمية أن الاكتئاب ينشأ من تفاعل عوامل اجتماعية ونفسية وبيولوجية، وأن العلاجات النفسية والدوائية متاحة وفعالة.</w:t>
      </w:r>
      <w:bookmarkStart w:id="131" w:name="fnref38"/>
      <w:bookmarkEnd w:id="131"/>
      <w:r>
        <w:fldChar w:fldCharType="begin"/>
      </w:r>
      <w:r>
        <w:instrText>HYPERLINK \l "fn38" \h</w:instrText>
      </w:r>
      <w:r>
        <w:fldChar w:fldCharType="separate"/>
      </w:r>
      <w:r>
        <w:rPr>
          <w:rFonts w:ascii="source sans 3" w:eastAsia="source sans 3" w:hAnsi="source sans 3" w:cs="source sans 3"/>
          <w:u w:val="single"/>
          <w:vertAlign w:val="superscript"/>
        </w:rPr>
        <w:t>[38]</w:t>
      </w:r>
      <w:r>
        <w:fldChar w:fldCharType="end"/>
      </w:r>
      <w:bookmarkStart w:id="132" w:name="fnref39"/>
      <w:bookmarkEnd w:id="132"/>
      <w:r>
        <w:fldChar w:fldCharType="begin"/>
      </w:r>
      <w:r>
        <w:instrText>HYPERLINK \l "fn39" \h</w:instrText>
      </w:r>
      <w:r>
        <w:fldChar w:fldCharType="separate"/>
      </w:r>
      <w:r>
        <w:rPr>
          <w:rFonts w:ascii="source sans 3" w:eastAsia="source sans 3" w:hAnsi="source sans 3" w:cs="source sans 3"/>
          <w:u w:val="single"/>
          <w:vertAlign w:val="superscript"/>
        </w:rPr>
        <w:t>[39]</w:t>
      </w:r>
      <w:r>
        <w:fldChar w:fldCharType="end"/>
      </w:r>
    </w:p>
    <w:p w14:paraId="20E95CA8" w14:textId="77777777" w:rsidR="00136201" w:rsidRDefault="00000000">
      <w:pPr>
        <w:spacing w:before="315" w:after="105" w:line="360" w:lineRule="auto"/>
        <w:ind w:left="-30"/>
      </w:pPr>
      <w:bookmarkStart w:id="133" w:name="bm_9_المقاومة_الرقمية_ثلاثة_مستوي_9391ed"/>
      <w:r>
        <w:rPr>
          <w:rFonts w:ascii="source serif 4" w:eastAsia="source serif 4" w:hAnsi="source serif 4" w:cs="source serif 4"/>
          <w:b/>
          <w:color w:val="000000"/>
          <w:sz w:val="24"/>
        </w:rPr>
        <w:t>9. المقاومة الرقمية: ثلاثة مستويات متكاملة</w:t>
      </w:r>
      <w:bookmarkEnd w:id="133"/>
    </w:p>
    <w:p w14:paraId="33945653" w14:textId="77777777" w:rsidR="00136201" w:rsidRDefault="00000000">
      <w:pPr>
        <w:spacing w:before="315" w:after="105" w:line="360" w:lineRule="auto"/>
        <w:ind w:left="-30"/>
      </w:pPr>
      <w:bookmarkStart w:id="134" w:name="bm_9_1_المستوى_الفردي"/>
      <w:r>
        <w:rPr>
          <w:rFonts w:ascii="source serif 4" w:eastAsia="source serif 4" w:hAnsi="source serif 4" w:cs="source serif 4"/>
          <w:b/>
          <w:color w:val="000000"/>
          <w:sz w:val="24"/>
        </w:rPr>
        <w:t>9.1. المستوى الفردي</w:t>
      </w:r>
      <w:bookmarkEnd w:id="134"/>
    </w:p>
    <w:p w14:paraId="5CC077F5" w14:textId="77777777" w:rsidR="00136201" w:rsidRDefault="00000000">
      <w:pPr>
        <w:spacing w:after="210" w:line="360" w:lineRule="auto"/>
      </w:pPr>
      <w:r>
        <w:rPr>
          <w:rFonts w:ascii="source serif 4" w:eastAsia="source serif 4" w:hAnsi="source serif 4" w:cs="source serif 4"/>
          <w:color w:val="000000"/>
        </w:rPr>
        <w:t>يتعلق بمراجعة أهداف الاستخدام وتحديد الأنماط التي تتعارض معها. وقد تشمل الإجراءات تقليل الإشعارات، وتحديد أوقات للاستخدام، وتجنب التصفح التلقائي، واختيار أنشطة بديلة ذات قيمة.</w:t>
      </w:r>
    </w:p>
    <w:p w14:paraId="5EC6C89F" w14:textId="77777777" w:rsidR="00136201" w:rsidRDefault="00000000">
      <w:pPr>
        <w:spacing w:after="210" w:line="360" w:lineRule="auto"/>
      </w:pPr>
      <w:r>
        <w:rPr>
          <w:rFonts w:ascii="source serif 4" w:eastAsia="source serif 4" w:hAnsi="source serif 4" w:cs="source serif 4"/>
          <w:color w:val="000000"/>
        </w:rPr>
        <w:t xml:space="preserve">غير أن الأدلة لا تدعم افتراض أن الامتناع عن وسائل التواصل يحسن الرفاه دائمًا. فقد وجدت مراجعة منهجية وتحليل تلوي أن نتائج دراسات الامتناع المؤقت غير متسقة، ولم يظهر أثر مجمّع دال على الرضا عن الحياة. كما وجد تحليل تلوي آخر لتجارب التقييد أو الامتناع تحسنًا صغيرًا في الرفاه الذاتي، بحجم أثر مجمّع بلغ نحو </w:t>
      </w:r>
      <m:oMath>
        <m:r>
          <w:rPr>
            <w:rFonts w:ascii="Cambria Math" w:hAnsi="Cambria Math"/>
            <w:color w:val="000000"/>
          </w:rPr>
          <m:t>g</m:t>
        </m:r>
        <m:r>
          <m:rPr>
            <m:sty m:val="p"/>
          </m:rPr>
          <w:rPr>
            <w:rFonts w:ascii="Cambria Math" w:hAnsi="Cambria Math"/>
            <w:color w:val="000000"/>
          </w:rPr>
          <m:t>=0.17</m:t>
        </m:r>
      </m:oMath>
      <w:r>
        <w:rPr>
          <w:rFonts w:ascii="source serif 4" w:eastAsia="source serif 4" w:hAnsi="source serif 4" w:cs="source serif 4"/>
          <w:color w:val="000000"/>
        </w:rPr>
        <w:t>. ولذلك ينبغي تقويم هذه الإجراءات بحسب الشخص والسياق والغاية، لا بوصفها وصفة عامة.</w:t>
      </w:r>
      <w:bookmarkStart w:id="135" w:name="fnref40"/>
      <w:bookmarkEnd w:id="135"/>
      <w:r>
        <w:fldChar w:fldCharType="begin"/>
      </w:r>
      <w:r>
        <w:instrText>HYPERLINK \l "fn40" \h</w:instrText>
      </w:r>
      <w:r>
        <w:fldChar w:fldCharType="separate"/>
      </w:r>
      <w:r>
        <w:rPr>
          <w:rFonts w:ascii="source sans 3" w:eastAsia="source sans 3" w:hAnsi="source sans 3" w:cs="source sans 3"/>
          <w:u w:val="single"/>
          <w:vertAlign w:val="superscript"/>
        </w:rPr>
        <w:t>[40]</w:t>
      </w:r>
      <w:r>
        <w:fldChar w:fldCharType="end"/>
      </w:r>
      <w:bookmarkStart w:id="136" w:name="fnref41"/>
      <w:bookmarkEnd w:id="136"/>
      <w:r>
        <w:fldChar w:fldCharType="begin"/>
      </w:r>
      <w:r>
        <w:instrText>HYPERLINK \l "fn41" \h</w:instrText>
      </w:r>
      <w:r>
        <w:fldChar w:fldCharType="separate"/>
      </w:r>
      <w:r>
        <w:rPr>
          <w:rFonts w:ascii="source sans 3" w:eastAsia="source sans 3" w:hAnsi="source sans 3" w:cs="source sans 3"/>
          <w:u w:val="single"/>
          <w:vertAlign w:val="superscript"/>
        </w:rPr>
        <w:t>[41]</w:t>
      </w:r>
      <w:r>
        <w:fldChar w:fldCharType="end"/>
      </w:r>
    </w:p>
    <w:p w14:paraId="0B0B54B5" w14:textId="77777777" w:rsidR="00136201" w:rsidRDefault="00000000">
      <w:pPr>
        <w:spacing w:before="315" w:after="105" w:line="360" w:lineRule="auto"/>
        <w:ind w:left="-30"/>
      </w:pPr>
      <w:bookmarkStart w:id="137" w:name="bm_9_2_المستوى_التربوي_والاجتماعي"/>
      <w:r>
        <w:rPr>
          <w:rFonts w:ascii="source serif 4" w:eastAsia="source serif 4" w:hAnsi="source serif 4" w:cs="source serif 4"/>
          <w:b/>
          <w:color w:val="000000"/>
          <w:sz w:val="24"/>
        </w:rPr>
        <w:t>9.2. المستوى التربوي والاجتماعي</w:t>
      </w:r>
      <w:bookmarkEnd w:id="137"/>
    </w:p>
    <w:p w14:paraId="4CBD482B" w14:textId="77777777" w:rsidR="00136201" w:rsidRDefault="00000000">
      <w:pPr>
        <w:spacing w:after="210" w:line="360" w:lineRule="auto"/>
      </w:pPr>
      <w:r>
        <w:rPr>
          <w:rFonts w:ascii="source serif 4" w:eastAsia="source serif 4" w:hAnsi="source serif 4" w:cs="source serif 4"/>
          <w:color w:val="000000"/>
        </w:rPr>
        <w:t>يقترح البحث أن تتجاوز التربية الرقمية التحذير من الشاشة إلى تنمية القدرة على قراءة البيئة الرقمية. ويشمل ذلك:</w:t>
      </w:r>
    </w:p>
    <w:p w14:paraId="14867E1A" w14:textId="77777777" w:rsidR="00136201" w:rsidRDefault="00000000">
      <w:pPr>
        <w:numPr>
          <w:ilvl w:val="0"/>
          <w:numId w:val="13"/>
        </w:numPr>
        <w:spacing w:before="105" w:after="105" w:line="360" w:lineRule="auto"/>
      </w:pPr>
      <w:r>
        <w:rPr>
          <w:rFonts w:ascii="source serif 4" w:eastAsia="source serif 4" w:hAnsi="source serif 4" w:cs="source serif 4"/>
          <w:color w:val="000000"/>
        </w:rPr>
        <w:t>التمييز بين المعلومة والرأي والمحتوى الترويجي.</w:t>
      </w:r>
    </w:p>
    <w:p w14:paraId="06A0752E" w14:textId="77777777" w:rsidR="00136201" w:rsidRDefault="00000000">
      <w:pPr>
        <w:numPr>
          <w:ilvl w:val="0"/>
          <w:numId w:val="13"/>
        </w:numPr>
        <w:spacing w:before="105" w:after="105" w:line="360" w:lineRule="auto"/>
      </w:pPr>
      <w:r>
        <w:rPr>
          <w:rFonts w:ascii="source serif 4" w:eastAsia="source serif 4" w:hAnsi="source serif 4" w:cs="source serif 4"/>
          <w:color w:val="000000"/>
        </w:rPr>
        <w:t>فهم أن الانتشار ليس دليلًا على الصدق أو القيمة.</w:t>
      </w:r>
    </w:p>
    <w:p w14:paraId="54BC0EFF" w14:textId="77777777" w:rsidR="00136201" w:rsidRDefault="00000000">
      <w:pPr>
        <w:numPr>
          <w:ilvl w:val="0"/>
          <w:numId w:val="13"/>
        </w:numPr>
        <w:spacing w:before="105" w:after="105" w:line="360" w:lineRule="auto"/>
      </w:pPr>
      <w:r>
        <w:rPr>
          <w:rFonts w:ascii="source serif 4" w:eastAsia="source serif 4" w:hAnsi="source serif 4" w:cs="source serif 4"/>
          <w:color w:val="000000"/>
        </w:rPr>
        <w:t>التعرف على آليات التخصيص والإشعارات.</w:t>
      </w:r>
    </w:p>
    <w:p w14:paraId="4D9829B2" w14:textId="77777777" w:rsidR="00136201" w:rsidRDefault="00000000">
      <w:pPr>
        <w:numPr>
          <w:ilvl w:val="0"/>
          <w:numId w:val="13"/>
        </w:numPr>
        <w:spacing w:before="105" w:after="105" w:line="360" w:lineRule="auto"/>
      </w:pPr>
      <w:r>
        <w:rPr>
          <w:rFonts w:ascii="source serif 4" w:eastAsia="source serif 4" w:hAnsi="source serif 4" w:cs="source serif 4"/>
          <w:color w:val="000000"/>
        </w:rPr>
        <w:t>بناء علاقات لا تُختزل في الأداء الرقمي.</w:t>
      </w:r>
    </w:p>
    <w:p w14:paraId="6184826E" w14:textId="77777777" w:rsidR="00136201" w:rsidRDefault="00000000">
      <w:pPr>
        <w:numPr>
          <w:ilvl w:val="0"/>
          <w:numId w:val="13"/>
        </w:numPr>
        <w:spacing w:before="105" w:after="105" w:line="360" w:lineRule="auto"/>
      </w:pPr>
      <w:r>
        <w:rPr>
          <w:rFonts w:ascii="source serif 4" w:eastAsia="source serif 4" w:hAnsi="source serif 4" w:cs="source serif 4"/>
          <w:color w:val="000000"/>
        </w:rPr>
        <w:t>احترام الخصوصية والحدود الشخصية.</w:t>
      </w:r>
    </w:p>
    <w:p w14:paraId="338C9DF6" w14:textId="77777777" w:rsidR="00136201" w:rsidRDefault="00000000">
      <w:pPr>
        <w:spacing w:before="315" w:after="105" w:line="360" w:lineRule="auto"/>
        <w:ind w:left="-30"/>
      </w:pPr>
      <w:bookmarkStart w:id="138" w:name="bm_9_3_المستوى_المؤسسي"/>
      <w:r>
        <w:rPr>
          <w:rFonts w:ascii="source serif 4" w:eastAsia="source serif 4" w:hAnsi="source serif 4" w:cs="source serif 4"/>
          <w:b/>
          <w:color w:val="000000"/>
          <w:sz w:val="24"/>
        </w:rPr>
        <w:t>9.3. المستوى المؤسسي</w:t>
      </w:r>
      <w:bookmarkEnd w:id="138"/>
    </w:p>
    <w:p w14:paraId="3494C4B4" w14:textId="77777777" w:rsidR="00136201" w:rsidRDefault="00000000">
      <w:pPr>
        <w:spacing w:after="210" w:line="360" w:lineRule="auto"/>
      </w:pPr>
      <w:r>
        <w:rPr>
          <w:rFonts w:ascii="source serif 4" w:eastAsia="source serif 4" w:hAnsi="source serif 4" w:cs="source serif 4"/>
          <w:color w:val="000000"/>
        </w:rPr>
        <w:t>لا يكفي تحميل الفرد مسؤولية مقاومة بنية لا يملك التحكم في شروطها. لذلك ينبغي أن يشمل البحث أسئلة عن شفافية الخوارزميات، وإمكان التحكم في التخصيص، وحماية البيانات، وتصميم بدائل لا تقوم حصريًا على تعظيم الانخراط.</w:t>
      </w:r>
    </w:p>
    <w:p w14:paraId="4A4AFB2A" w14:textId="77777777" w:rsidR="00136201" w:rsidRDefault="00000000">
      <w:pPr>
        <w:spacing w:after="210" w:line="360" w:lineRule="auto"/>
      </w:pPr>
      <w:r>
        <w:rPr>
          <w:rFonts w:ascii="source serif 4" w:eastAsia="source serif 4" w:hAnsi="source serif 4" w:cs="source serif 4"/>
          <w:color w:val="000000"/>
        </w:rPr>
        <w:t>وهذا ينسجم مع نقد استعمار البيانات الذي يعتبر المشكلة تنظيمًا اجتماعيًا واقتصاديًا واسع النطاق، لا اختيارًا فرديًا منعزلًا.</w:t>
      </w:r>
      <w:bookmarkStart w:id="139" w:name="fnref37_1"/>
      <w:bookmarkEnd w:id="139"/>
      <w:r>
        <w:fldChar w:fldCharType="begin"/>
      </w:r>
      <w:r>
        <w:instrText>HYPERLINK \l "fn37" \h</w:instrText>
      </w:r>
      <w:r>
        <w:fldChar w:fldCharType="separate"/>
      </w:r>
      <w:r>
        <w:rPr>
          <w:rFonts w:ascii="source sans 3" w:eastAsia="source sans 3" w:hAnsi="source sans 3" w:cs="source sans 3"/>
          <w:u w:val="single"/>
          <w:vertAlign w:val="superscript"/>
        </w:rPr>
        <w:t>[37]</w:t>
      </w:r>
      <w:r>
        <w:fldChar w:fldCharType="end"/>
      </w:r>
      <w:bookmarkStart w:id="140" w:name="fnref36_1"/>
      <w:bookmarkEnd w:id="140"/>
      <w:r>
        <w:fldChar w:fldCharType="begin"/>
      </w:r>
      <w:r>
        <w:instrText>HYPERLINK \l "fn36" \h</w:instrText>
      </w:r>
      <w:r>
        <w:fldChar w:fldCharType="separate"/>
      </w:r>
      <w:r>
        <w:rPr>
          <w:rFonts w:ascii="source sans 3" w:eastAsia="source sans 3" w:hAnsi="source sans 3" w:cs="source sans 3"/>
          <w:u w:val="single"/>
          <w:vertAlign w:val="superscript"/>
        </w:rPr>
        <w:t>[36]</w:t>
      </w:r>
      <w:r>
        <w:fldChar w:fldCharType="end"/>
      </w:r>
    </w:p>
    <w:p w14:paraId="399268ED" w14:textId="77777777" w:rsidR="00136201" w:rsidRDefault="00000000">
      <w:pPr>
        <w:spacing w:before="315" w:after="105" w:line="360" w:lineRule="auto"/>
        <w:ind w:left="-30"/>
      </w:pPr>
      <w:bookmarkStart w:id="141" w:name="bm_10_خلاصة_القسم_الثاني"/>
      <w:r>
        <w:rPr>
          <w:rFonts w:ascii="source serif 4" w:eastAsia="source serif 4" w:hAnsi="source serif 4" w:cs="source serif 4"/>
          <w:b/>
          <w:color w:val="000000"/>
          <w:sz w:val="24"/>
        </w:rPr>
        <w:t>10. خلاصة القسم الثاني</w:t>
      </w:r>
      <w:bookmarkEnd w:id="141"/>
    </w:p>
    <w:p w14:paraId="40D030CD" w14:textId="77777777" w:rsidR="00136201" w:rsidRDefault="00000000">
      <w:pPr>
        <w:spacing w:after="210" w:line="360" w:lineRule="auto"/>
      </w:pPr>
      <w:r>
        <w:rPr>
          <w:rFonts w:ascii="source serif 4" w:eastAsia="source serif 4" w:hAnsi="source serif 4" w:cs="source serif 4"/>
          <w:color w:val="000000"/>
        </w:rPr>
        <w:t>يقدم القسم الثاني أطروحة مركزية يمكن صياغتها على النحو الآتي:</w:t>
      </w:r>
    </w:p>
    <w:p w14:paraId="0DED071C" w14:textId="77777777" w:rsidR="00136201" w:rsidRDefault="00000000">
      <w:pPr>
        <w:spacing w:after="210" w:line="360" w:lineRule="auto"/>
        <w:ind w:left="630"/>
      </w:pPr>
      <w:r>
        <w:rPr>
          <w:rFonts w:ascii="source serif 4" w:eastAsia="source serif 4" w:hAnsi="source serif 4" w:cs="source serif 4"/>
          <w:color w:val="000000"/>
        </w:rPr>
        <w:t>لا تتمثل مقاومة الاستلاب الرقمي في الانسحاب من التقنية، بل في استعادة القدرة على مراجعة الانتباه والرغبة والمعنى، مع توزيع المسؤولية بين الفرد والمجتمع والمؤسسات التي تصمم البيئة الرقمية.</w:t>
      </w:r>
    </w:p>
    <w:p w14:paraId="59368075" w14:textId="77777777" w:rsidR="00136201" w:rsidRDefault="00000000">
      <w:pPr>
        <w:spacing w:after="210" w:line="360" w:lineRule="auto"/>
      </w:pPr>
      <w:r>
        <w:rPr>
          <w:rFonts w:ascii="source serif 4" w:eastAsia="source serif 4" w:hAnsi="source serif 4" w:cs="source serif 4"/>
          <w:color w:val="000000"/>
        </w:rPr>
        <w:t>وتقوم هذه الأطروحة على ثلاثة مفاهيم مترابطة:</w:t>
      </w:r>
    </w:p>
    <w:p w14:paraId="1AEAE6B1" w14:textId="77777777" w:rsidR="00136201" w:rsidRDefault="00000000">
      <w:pPr>
        <w:numPr>
          <w:ilvl w:val="0"/>
          <w:numId w:val="14"/>
        </w:numPr>
        <w:spacing w:before="105" w:after="105" w:line="360" w:lineRule="auto"/>
      </w:pPr>
      <w:r>
        <w:rPr>
          <w:rFonts w:ascii="source serif 4" w:eastAsia="source serif 4" w:hAnsi="source serif 4" w:cs="source serif 4"/>
          <w:b/>
          <w:color w:val="000000"/>
        </w:rPr>
        <w:t>سيادة الانتباه:</w:t>
      </w:r>
      <w:r>
        <w:rPr>
          <w:rFonts w:ascii="source serif 4" w:eastAsia="source serif 4" w:hAnsi="source serif 4" w:cs="source serif 4"/>
          <w:color w:val="000000"/>
        </w:rPr>
        <w:t xml:space="preserve"> قدرة مشروطة على تنظيم الانخراط الرقمي وفق الأهداف والقيم.</w:t>
      </w:r>
    </w:p>
    <w:p w14:paraId="40A0D424" w14:textId="77777777" w:rsidR="00136201" w:rsidRDefault="00000000">
      <w:pPr>
        <w:numPr>
          <w:ilvl w:val="0"/>
          <w:numId w:val="14"/>
        </w:numPr>
        <w:spacing w:before="105" w:after="105" w:line="360" w:lineRule="auto"/>
      </w:pPr>
      <w:r>
        <w:rPr>
          <w:rFonts w:ascii="source serif 4" w:eastAsia="source serif 4" w:hAnsi="source serif 4" w:cs="source serif 4"/>
          <w:b/>
          <w:color w:val="000000"/>
        </w:rPr>
        <w:t>الفجوة الرمزية:</w:t>
      </w:r>
      <w:r>
        <w:rPr>
          <w:rFonts w:ascii="source serif 4" w:eastAsia="source serif 4" w:hAnsi="source serif 4" w:cs="source serif 4"/>
          <w:color w:val="000000"/>
        </w:rPr>
        <w:t xml:space="preserve"> مسافة تأويلية تتيح مراجعة الرغبة بدل التماهي المباشر معها.</w:t>
      </w:r>
    </w:p>
    <w:p w14:paraId="74F739A0" w14:textId="77777777" w:rsidR="00136201" w:rsidRDefault="00000000">
      <w:pPr>
        <w:numPr>
          <w:ilvl w:val="0"/>
          <w:numId w:val="14"/>
        </w:numPr>
        <w:spacing w:before="105" w:after="105" w:line="360" w:lineRule="auto"/>
      </w:pPr>
      <w:r>
        <w:rPr>
          <w:rFonts w:ascii="source serif 4" w:eastAsia="source serif 4" w:hAnsi="source serif 4" w:cs="source serif 4"/>
          <w:b/>
          <w:color w:val="000000"/>
        </w:rPr>
        <w:t>الجسر السلوكي:</w:t>
      </w:r>
      <w:r>
        <w:rPr>
          <w:rFonts w:ascii="source serif 4" w:eastAsia="source serif 4" w:hAnsi="source serif 4" w:cs="source serif 4"/>
          <w:color w:val="000000"/>
        </w:rPr>
        <w:t xml:space="preserve"> انتقال من الوعي إلى فعل محدد وقابل للتقويم.</w:t>
      </w:r>
    </w:p>
    <w:p w14:paraId="4B6A9314" w14:textId="77777777" w:rsidR="00136201" w:rsidRDefault="00000000">
      <w:pPr>
        <w:spacing w:after="210" w:line="360" w:lineRule="auto"/>
      </w:pPr>
      <w:r>
        <w:rPr>
          <w:rFonts w:ascii="source serif 4" w:eastAsia="source serif 4" w:hAnsi="source serif 4" w:cs="source serif 4"/>
          <w:color w:val="000000"/>
        </w:rPr>
        <w:t>لكن قوة هذا البناء تعتمد على ضبط لغته: فليس كل استخدام رقمي استعمارًا، ولا كل معاناة رسالة، ولا كل تحول إلى فعل دليلًا على التعافي. وينبغي أن يظل الإطار الاستخلافي في مستوى التأويل والمعيارية، ما لم تُبنَ له أدوات قياس ودراسات مستقلة تختبر فرضياته وتقيس آثاره وآثاره غير المرغوبة.</w:t>
      </w:r>
    </w:p>
    <w:p w14:paraId="52994BF1" w14:textId="77777777" w:rsidR="00136201" w:rsidRDefault="00000000">
      <w:pPr>
        <w:spacing w:before="315" w:after="105" w:line="360" w:lineRule="auto"/>
        <w:ind w:left="-30"/>
      </w:pPr>
      <w:bookmarkStart w:id="142" w:name="المراجع_المستخدمة_في_هذا_القسم"/>
      <w:r>
        <w:rPr>
          <w:rFonts w:ascii="source serif 4" w:eastAsia="source serif 4" w:hAnsi="source serif 4" w:cs="source serif 4"/>
          <w:b/>
          <w:color w:val="000000"/>
          <w:sz w:val="24"/>
        </w:rPr>
        <w:t>المراجع المستخدمة في هذا القسم</w:t>
      </w:r>
      <w:bookmarkEnd w:id="142"/>
    </w:p>
    <w:p w14:paraId="5E03490C" w14:textId="77777777" w:rsidR="00136201" w:rsidRDefault="00000000">
      <w:pPr>
        <w:numPr>
          <w:ilvl w:val="0"/>
          <w:numId w:val="15"/>
        </w:numPr>
        <w:spacing w:after="210" w:line="360" w:lineRule="auto"/>
      </w:pPr>
      <w:r>
        <w:rPr>
          <w:rFonts w:ascii="source serif 4" w:eastAsia="source serif 4" w:hAnsi="source serif 4" w:cs="source serif 4"/>
          <w:color w:val="000000"/>
        </w:rPr>
        <w:t xml:space="preserve">الزراع، عبد السلام. </w:t>
      </w:r>
      <w:r>
        <w:rPr>
          <w:rFonts w:ascii="source serif 4" w:eastAsia="source serif 4" w:hAnsi="source serif 4" w:cs="source serif 4"/>
          <w:i/>
          <w:color w:val="000000"/>
        </w:rPr>
        <w:t>الجزء الثاني: التحدي الراهن، تفكيك «رأسمالية المراقبة» في ضوء النموذج النفسي الاستخلافي</w:t>
      </w:r>
      <w:r>
        <w:rPr>
          <w:rFonts w:ascii="source serif 4" w:eastAsia="source serif 4" w:hAnsi="source serif 4" w:cs="source serif 4"/>
          <w:color w:val="000000"/>
        </w:rPr>
        <w:t xml:space="preserve">. علم النفس الاستخلافي، </w:t>
      </w:r>
      <w:hyperlink r:id="rId5">
        <w:r w:rsidR="00136201">
          <w:rPr>
            <w:rFonts w:ascii="source sans 3" w:eastAsia="source sans 3" w:hAnsi="source sans 3" w:cs="source sans 3"/>
            <w:u w:val="single"/>
          </w:rPr>
          <w:t>zaraapsychology.com</w:t>
        </w:r>
      </w:hyperlink>
      <w:r>
        <w:rPr>
          <w:rFonts w:ascii="source serif 4" w:eastAsia="source serif 4" w:hAnsi="source serif 4" w:cs="source serif 4"/>
          <w:color w:val="000000"/>
        </w:rPr>
        <w:t>، 2026.</w:t>
      </w:r>
      <w:r>
        <w:rPr>
          <w:rFonts w:ascii="source serif 4" w:eastAsia="source serif 4" w:hAnsi="source serif 4" w:cs="source serif 4"/>
          <w:color w:val="000000"/>
        </w:rPr>
        <w:br/>
        <w:t xml:space="preserve">الرابط: </w:t>
      </w:r>
      <w:hyperlink r:id="rId6">
        <w:r w:rsidR="00136201">
          <w:rPr>
            <w:rFonts w:ascii="source sans 3" w:eastAsia="source sans 3" w:hAnsi="source sans 3" w:cs="source sans 3"/>
            <w:u w:val="single"/>
          </w:rPr>
          <w:t>https://zaraapsychology.com/bibliotheque/algzaa-althany-althdy-alrahn-tfkyk-rasmaly-almrakb-fy-doaa-alnmothg-alnfsy-alastkhlafy</w:t>
        </w:r>
      </w:hyperlink>
      <w:bookmarkStart w:id="143" w:name="fnref34_6"/>
      <w:bookmarkEnd w:id="143"/>
      <w:r>
        <w:fldChar w:fldCharType="begin"/>
      </w:r>
      <w:r>
        <w:instrText>HYPERLINK \l "fn34" \h</w:instrText>
      </w:r>
      <w:r>
        <w:fldChar w:fldCharType="separate"/>
      </w:r>
      <w:r>
        <w:rPr>
          <w:rFonts w:ascii="source sans 3" w:eastAsia="source sans 3" w:hAnsi="source sans 3" w:cs="source sans 3"/>
          <w:u w:val="single"/>
          <w:vertAlign w:val="superscript"/>
        </w:rPr>
        <w:t>[34]</w:t>
      </w:r>
      <w:r>
        <w:fldChar w:fldCharType="end"/>
      </w:r>
    </w:p>
    <w:p w14:paraId="3F162BCC" w14:textId="77777777" w:rsidR="00136201" w:rsidRDefault="00000000">
      <w:pPr>
        <w:numPr>
          <w:ilvl w:val="0"/>
          <w:numId w:val="15"/>
        </w:numPr>
        <w:spacing w:after="210" w:line="360" w:lineRule="auto"/>
      </w:pPr>
      <w:r>
        <w:rPr>
          <w:rFonts w:ascii="source serif 4" w:eastAsia="source serif 4" w:hAnsi="source serif 4" w:cs="source serif 4"/>
          <w:color w:val="000000"/>
        </w:rPr>
        <w:t xml:space="preserve">الزراع، عبد السلام. </w:t>
      </w:r>
      <w:r>
        <w:rPr>
          <w:rFonts w:ascii="source serif 4" w:eastAsia="source serif 4" w:hAnsi="source serif 4" w:cs="source serif 4"/>
          <w:i/>
          <w:color w:val="000000"/>
        </w:rPr>
        <w:t>الإنسان بين الخوارزمية والوحي: قراءة استخلافية معمّقة في استحالة التفكيك الذاتي للنظام الخوارزمي</w:t>
      </w:r>
      <w:r>
        <w:rPr>
          <w:rFonts w:ascii="source serif 4" w:eastAsia="source serif 4" w:hAnsi="source serif 4" w:cs="source serif 4"/>
          <w:color w:val="000000"/>
        </w:rPr>
        <w:t xml:space="preserve">. علم النفس الاستخلافي، </w:t>
      </w:r>
      <w:hyperlink r:id="rId7">
        <w:r w:rsidR="00136201">
          <w:rPr>
            <w:rFonts w:ascii="source sans 3" w:eastAsia="source sans 3" w:hAnsi="source sans 3" w:cs="source sans 3"/>
            <w:u w:val="single"/>
          </w:rPr>
          <w:t>zaraapsychology.com</w:t>
        </w:r>
      </w:hyperlink>
      <w:r>
        <w:rPr>
          <w:rFonts w:ascii="source serif 4" w:eastAsia="source serif 4" w:hAnsi="source serif 4" w:cs="source serif 4"/>
          <w:color w:val="000000"/>
        </w:rPr>
        <w:t>، 5 سبتمبر 2026.</w:t>
      </w:r>
      <w:r>
        <w:rPr>
          <w:rFonts w:ascii="source serif 4" w:eastAsia="source serif 4" w:hAnsi="source serif 4" w:cs="source serif 4"/>
          <w:color w:val="000000"/>
        </w:rPr>
        <w:br/>
        <w:t xml:space="preserve">الرابط: </w:t>
      </w:r>
      <w:hyperlink r:id="rId8">
        <w:r w:rsidR="00136201">
          <w:rPr>
            <w:rFonts w:ascii="source sans 3" w:eastAsia="source sans 3" w:hAnsi="source sans 3" w:cs="source sans 3"/>
            <w:u w:val="single"/>
          </w:rPr>
          <w:t>https://www.zaraapsychology.com/articles/alansan-byn-alkhoarzmy-oalohy</w:t>
        </w:r>
      </w:hyperlink>
      <w:bookmarkStart w:id="144" w:name="fnref35_12"/>
      <w:bookmarkEnd w:id="144"/>
      <w:r>
        <w:fldChar w:fldCharType="begin"/>
      </w:r>
      <w:r>
        <w:instrText>HYPERLINK \l "fn35" \h</w:instrText>
      </w:r>
      <w:r>
        <w:fldChar w:fldCharType="separate"/>
      </w:r>
      <w:r>
        <w:rPr>
          <w:rFonts w:ascii="source sans 3" w:eastAsia="source sans 3" w:hAnsi="source sans 3" w:cs="source sans 3"/>
          <w:u w:val="single"/>
          <w:vertAlign w:val="superscript"/>
        </w:rPr>
        <w:t>[35]</w:t>
      </w:r>
      <w:r>
        <w:fldChar w:fldCharType="end"/>
      </w:r>
    </w:p>
    <w:p w14:paraId="509B142A" w14:textId="77777777" w:rsidR="00136201" w:rsidRDefault="00000000">
      <w:pPr>
        <w:numPr>
          <w:ilvl w:val="0"/>
          <w:numId w:val="15"/>
        </w:numPr>
        <w:spacing w:after="210" w:line="360" w:lineRule="auto"/>
      </w:pPr>
      <w:proofErr w:type="spellStart"/>
      <w:r>
        <w:rPr>
          <w:rFonts w:ascii="source serif 4" w:eastAsia="source serif 4" w:hAnsi="source serif 4" w:cs="source serif 4"/>
          <w:color w:val="000000"/>
        </w:rPr>
        <w:t>Couldry</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Nick</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and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Ulises</w:t>
      </w:r>
      <w:proofErr w:type="spellEnd"/>
      <w:r>
        <w:rPr>
          <w:rFonts w:ascii="source serif 4" w:eastAsia="source serif 4" w:hAnsi="source serif 4" w:cs="source serif 4"/>
          <w:color w:val="000000"/>
        </w:rPr>
        <w:t xml:space="preserve"> A. </w:t>
      </w:r>
      <w:proofErr w:type="spellStart"/>
      <w:r>
        <w:rPr>
          <w:rFonts w:ascii="source serif 4" w:eastAsia="source serif 4" w:hAnsi="source serif 4" w:cs="source serif 4"/>
          <w:color w:val="000000"/>
        </w:rPr>
        <w:t>Mejias</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i/>
          <w:color w:val="000000"/>
        </w:rPr>
        <w:t>The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Costs</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of</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Connection</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How</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Data</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Are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Colonizing</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Human</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Life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and</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Appropriating</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It</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for</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Capitalism</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Stanford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University</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Press</w:t>
      </w:r>
      <w:proofErr w:type="spellEnd"/>
      <w:r>
        <w:rPr>
          <w:rFonts w:ascii="source serif 4" w:eastAsia="source serif 4" w:hAnsi="source serif 4" w:cs="source serif 4"/>
          <w:color w:val="000000"/>
        </w:rPr>
        <w:t>, 2019.</w:t>
      </w:r>
      <w:r>
        <w:rPr>
          <w:rFonts w:ascii="source serif 4" w:eastAsia="source serif 4" w:hAnsi="source serif 4" w:cs="source serif 4"/>
          <w:color w:val="000000"/>
        </w:rPr>
        <w:br/>
        <w:t xml:space="preserve">ملخص أكاديمي: </w:t>
      </w:r>
      <w:hyperlink r:id="rId9">
        <w:r w:rsidR="00136201">
          <w:rPr>
            <w:rFonts w:ascii="source sans 3" w:eastAsia="source sans 3" w:hAnsi="source sans 3" w:cs="source sans 3"/>
            <w:u w:val="single"/>
          </w:rPr>
          <w:t>https://academic.oup.com/sf/article-abstract/99/1/e6/5781190</w:t>
        </w:r>
      </w:hyperlink>
      <w:bookmarkStart w:id="145" w:name="fnref42"/>
      <w:bookmarkEnd w:id="145"/>
      <w:r>
        <w:fldChar w:fldCharType="begin"/>
      </w:r>
      <w:r>
        <w:instrText>HYPERLINK \l "fn42" \h</w:instrText>
      </w:r>
      <w:r>
        <w:fldChar w:fldCharType="separate"/>
      </w:r>
      <w:r>
        <w:rPr>
          <w:rFonts w:ascii="source sans 3" w:eastAsia="source sans 3" w:hAnsi="source sans 3" w:cs="source sans 3"/>
          <w:u w:val="single"/>
          <w:vertAlign w:val="superscript"/>
        </w:rPr>
        <w:t>[42]</w:t>
      </w:r>
      <w:r>
        <w:fldChar w:fldCharType="end"/>
      </w:r>
    </w:p>
    <w:p w14:paraId="68616E0A" w14:textId="77777777" w:rsidR="00136201" w:rsidRDefault="00000000">
      <w:pPr>
        <w:numPr>
          <w:ilvl w:val="0"/>
          <w:numId w:val="15"/>
        </w:numPr>
        <w:spacing w:after="210" w:line="360" w:lineRule="auto"/>
      </w:pPr>
      <w:proofErr w:type="spellStart"/>
      <w:r>
        <w:rPr>
          <w:rFonts w:ascii="source serif 4" w:eastAsia="source serif 4" w:hAnsi="source serif 4" w:cs="source serif 4"/>
          <w:color w:val="000000"/>
        </w:rPr>
        <w:t>Couldry</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Nick</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and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Ulises</w:t>
      </w:r>
      <w:proofErr w:type="spellEnd"/>
      <w:r>
        <w:rPr>
          <w:rFonts w:ascii="source serif 4" w:eastAsia="source serif 4" w:hAnsi="source serif 4" w:cs="source serif 4"/>
          <w:color w:val="000000"/>
        </w:rPr>
        <w:t xml:space="preserve"> A. </w:t>
      </w:r>
      <w:proofErr w:type="spellStart"/>
      <w:r>
        <w:rPr>
          <w:rFonts w:ascii="source serif 4" w:eastAsia="source serif 4" w:hAnsi="source serif 4" w:cs="source serif 4"/>
          <w:color w:val="000000"/>
        </w:rPr>
        <w:t>Mejias</w:t>
      </w:r>
      <w:proofErr w:type="spellEnd"/>
      <w:r>
        <w:rPr>
          <w:rFonts w:ascii="source serif 4" w:eastAsia="source serif 4" w:hAnsi="source serif 4" w:cs="source serif 4"/>
          <w:color w:val="000000"/>
        </w:rPr>
        <w:t>. “</w:t>
      </w:r>
      <w:proofErr w:type="spellStart"/>
      <w:r>
        <w:rPr>
          <w:rFonts w:ascii="source serif 4" w:eastAsia="source serif 4" w:hAnsi="source serif 4" w:cs="source serif 4"/>
          <w:color w:val="000000"/>
        </w:rPr>
        <w:t>Data</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Colonialism</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Rethinking</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Big</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Data’s</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Relation</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to</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the</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Contemporary</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Subject</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i/>
          <w:color w:val="000000"/>
        </w:rPr>
        <w:t>Television</w:t>
      </w:r>
      <w:proofErr w:type="spellEnd"/>
      <w:r>
        <w:rPr>
          <w:rFonts w:ascii="source serif 4" w:eastAsia="source serif 4" w:hAnsi="source serif 4" w:cs="source serif 4"/>
          <w:i/>
          <w:color w:val="000000"/>
        </w:rPr>
        <w:t xml:space="preserve"> &amp; </w:t>
      </w:r>
      <w:proofErr w:type="spellStart"/>
      <w:r>
        <w:rPr>
          <w:rFonts w:ascii="source serif 4" w:eastAsia="source serif 4" w:hAnsi="source serif 4" w:cs="source serif 4"/>
          <w:i/>
          <w:color w:val="000000"/>
        </w:rPr>
        <w:t>New</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Media</w:t>
      </w:r>
      <w:proofErr w:type="spellEnd"/>
      <w:r>
        <w:rPr>
          <w:rFonts w:ascii="source serif 4" w:eastAsia="source serif 4" w:hAnsi="source serif 4" w:cs="source serif 4"/>
          <w:color w:val="000000"/>
        </w:rPr>
        <w:t>, 2019.</w:t>
      </w:r>
      <w:r>
        <w:rPr>
          <w:rFonts w:ascii="source serif 4" w:eastAsia="source serif 4" w:hAnsi="source serif 4" w:cs="source serif 4"/>
          <w:color w:val="000000"/>
        </w:rPr>
        <w:br/>
        <w:t xml:space="preserve">النص المتاح: </w:t>
      </w:r>
      <w:hyperlink r:id="rId10">
        <w:r w:rsidR="00136201">
          <w:rPr>
            <w:rFonts w:ascii="source sans 3" w:eastAsia="source sans 3" w:hAnsi="source sans 3" w:cs="source sans 3"/>
            <w:u w:val="single"/>
          </w:rPr>
          <w:t>https://www.uio.no/studier/emner/matnat/ifi/IN5390/h22/readings/couldry---mejias-</w:t>
        </w:r>
      </w:hyperlink>
      <w:r>
        <w:rPr>
          <w:rFonts w:ascii="source serif 4" w:eastAsia="source serif 4" w:hAnsi="source serif 4" w:cs="source serif 4"/>
          <w:color w:val="000000"/>
        </w:rPr>
        <w:t>(2019).pdf</w:t>
      </w:r>
      <w:bookmarkStart w:id="146" w:name="fnref36_2"/>
      <w:bookmarkEnd w:id="146"/>
      <w:r>
        <w:fldChar w:fldCharType="begin"/>
      </w:r>
      <w:r>
        <w:instrText>HYPERLINK \l "fn36" \h</w:instrText>
      </w:r>
      <w:r>
        <w:fldChar w:fldCharType="separate"/>
      </w:r>
      <w:r>
        <w:rPr>
          <w:rFonts w:ascii="source sans 3" w:eastAsia="source sans 3" w:hAnsi="source sans 3" w:cs="source sans 3"/>
          <w:u w:val="single"/>
          <w:vertAlign w:val="superscript"/>
        </w:rPr>
        <w:t>[36]</w:t>
      </w:r>
      <w:r>
        <w:fldChar w:fldCharType="end"/>
      </w:r>
    </w:p>
    <w:p w14:paraId="7CC76D37" w14:textId="77777777" w:rsidR="00136201" w:rsidRDefault="00000000">
      <w:pPr>
        <w:numPr>
          <w:ilvl w:val="0"/>
          <w:numId w:val="15"/>
        </w:numPr>
        <w:spacing w:after="210" w:line="360" w:lineRule="auto"/>
      </w:pPr>
      <w:proofErr w:type="spellStart"/>
      <w:r>
        <w:rPr>
          <w:rFonts w:ascii="source serif 4" w:eastAsia="source serif 4" w:hAnsi="source serif 4" w:cs="source serif 4"/>
          <w:color w:val="000000"/>
        </w:rPr>
        <w:t>World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Health</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Organization</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i/>
          <w:color w:val="000000"/>
        </w:rPr>
        <w:t>Depression</w:t>
      </w:r>
      <w:proofErr w:type="spellEnd"/>
      <w:r>
        <w:rPr>
          <w:rFonts w:ascii="source serif 4" w:eastAsia="source serif 4" w:hAnsi="source serif 4" w:cs="source serif 4"/>
          <w:color w:val="000000"/>
        </w:rPr>
        <w:t>.</w:t>
      </w:r>
      <w:r>
        <w:rPr>
          <w:rFonts w:ascii="source serif 4" w:eastAsia="source serif 4" w:hAnsi="source serif 4" w:cs="source serif 4"/>
          <w:color w:val="000000"/>
        </w:rPr>
        <w:br/>
        <w:t xml:space="preserve">الرابط: </w:t>
      </w:r>
      <w:hyperlink r:id="rId11">
        <w:r w:rsidR="00136201">
          <w:rPr>
            <w:rFonts w:ascii="source sans 3" w:eastAsia="source sans 3" w:hAnsi="source sans 3" w:cs="source sans 3"/>
            <w:u w:val="single"/>
          </w:rPr>
          <w:t>https://www.who.int/health-topics/depression</w:t>
        </w:r>
      </w:hyperlink>
      <w:bookmarkStart w:id="147" w:name="fnref38_1"/>
      <w:bookmarkEnd w:id="147"/>
      <w:r>
        <w:fldChar w:fldCharType="begin"/>
      </w:r>
      <w:r>
        <w:instrText>HYPERLINK \l "fn38" \h</w:instrText>
      </w:r>
      <w:r>
        <w:fldChar w:fldCharType="separate"/>
      </w:r>
      <w:r>
        <w:rPr>
          <w:rFonts w:ascii="source sans 3" w:eastAsia="source sans 3" w:hAnsi="source sans 3" w:cs="source sans 3"/>
          <w:u w:val="single"/>
          <w:vertAlign w:val="superscript"/>
        </w:rPr>
        <w:t>[38]</w:t>
      </w:r>
      <w:r>
        <w:fldChar w:fldCharType="end"/>
      </w:r>
    </w:p>
    <w:p w14:paraId="09B5D34A" w14:textId="77777777" w:rsidR="00136201" w:rsidRDefault="00000000">
      <w:pPr>
        <w:numPr>
          <w:ilvl w:val="0"/>
          <w:numId w:val="15"/>
        </w:numPr>
        <w:spacing w:after="210" w:line="360" w:lineRule="auto"/>
      </w:pPr>
      <w:proofErr w:type="spellStart"/>
      <w:r>
        <w:rPr>
          <w:rFonts w:ascii="source serif 4" w:eastAsia="source serif 4" w:hAnsi="source serif 4" w:cs="source serif 4"/>
          <w:color w:val="000000"/>
        </w:rPr>
        <w:t>World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Health</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Organization</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i/>
          <w:color w:val="000000"/>
        </w:rPr>
        <w:t>Depression</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Fact</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Sheet</w:t>
      </w:r>
      <w:proofErr w:type="spellEnd"/>
      <w:r>
        <w:rPr>
          <w:rFonts w:ascii="source serif 4" w:eastAsia="source serif 4" w:hAnsi="source serif 4" w:cs="source serif 4"/>
          <w:color w:val="000000"/>
        </w:rPr>
        <w:t>.</w:t>
      </w:r>
      <w:r>
        <w:rPr>
          <w:rFonts w:ascii="source serif 4" w:eastAsia="source serif 4" w:hAnsi="source serif 4" w:cs="source serif 4"/>
          <w:color w:val="000000"/>
        </w:rPr>
        <w:br/>
        <w:t xml:space="preserve">الرابط: </w:t>
      </w:r>
      <w:hyperlink r:id="rId12">
        <w:r w:rsidR="00136201">
          <w:rPr>
            <w:rFonts w:ascii="source sans 3" w:eastAsia="source sans 3" w:hAnsi="source sans 3" w:cs="source sans 3"/>
            <w:u w:val="single"/>
          </w:rPr>
          <w:t>https://www.who.int/news-room/fact-sheets/detail/depression</w:t>
        </w:r>
      </w:hyperlink>
      <w:bookmarkStart w:id="148" w:name="fnref39_1"/>
      <w:bookmarkEnd w:id="148"/>
      <w:r>
        <w:fldChar w:fldCharType="begin"/>
      </w:r>
      <w:r>
        <w:instrText>HYPERLINK \l "fn39" \h</w:instrText>
      </w:r>
      <w:r>
        <w:fldChar w:fldCharType="separate"/>
      </w:r>
      <w:r>
        <w:rPr>
          <w:rFonts w:ascii="source sans 3" w:eastAsia="source sans 3" w:hAnsi="source sans 3" w:cs="source sans 3"/>
          <w:u w:val="single"/>
          <w:vertAlign w:val="superscript"/>
        </w:rPr>
        <w:t>[39]</w:t>
      </w:r>
      <w:r>
        <w:fldChar w:fldCharType="end"/>
      </w:r>
    </w:p>
    <w:p w14:paraId="1F777E8C" w14:textId="77777777" w:rsidR="00136201" w:rsidRDefault="00000000">
      <w:pPr>
        <w:numPr>
          <w:ilvl w:val="0"/>
          <w:numId w:val="15"/>
        </w:numPr>
        <w:spacing w:after="210" w:line="360" w:lineRule="auto"/>
      </w:pPr>
      <w:proofErr w:type="spellStart"/>
      <w:r>
        <w:rPr>
          <w:rFonts w:ascii="source serif 4" w:eastAsia="source serif 4" w:hAnsi="source serif 4" w:cs="source serif 4"/>
          <w:color w:val="000000"/>
        </w:rPr>
        <w:t>Lambert</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et</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al</w:t>
      </w:r>
      <w:proofErr w:type="spellEnd"/>
      <w:r>
        <w:rPr>
          <w:rFonts w:ascii="source serif 4" w:eastAsia="source serif 4" w:hAnsi="source serif 4" w:cs="source serif 4"/>
          <w:color w:val="000000"/>
        </w:rPr>
        <w:t>. “</w:t>
      </w:r>
      <w:proofErr w:type="spellStart"/>
      <w:r>
        <w:rPr>
          <w:rFonts w:ascii="source serif 4" w:eastAsia="source serif 4" w:hAnsi="source serif 4" w:cs="source serif 4"/>
          <w:color w:val="000000"/>
        </w:rPr>
        <w:t>The</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effects</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of</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social</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media</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abstinence</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on</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affective</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well-being</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and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life</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satisfaction</w:t>
      </w:r>
      <w:proofErr w:type="spellEnd"/>
      <w:r>
        <w:rPr>
          <w:rFonts w:ascii="source serif 4" w:eastAsia="source serif 4" w:hAnsi="source serif 4" w:cs="source serif 4"/>
          <w:color w:val="000000"/>
        </w:rPr>
        <w:t xml:space="preserve">: a </w:t>
      </w:r>
      <w:proofErr w:type="spellStart"/>
      <w:r>
        <w:rPr>
          <w:rFonts w:ascii="source serif 4" w:eastAsia="source serif 4" w:hAnsi="source serif 4" w:cs="source serif 4"/>
          <w:color w:val="000000"/>
        </w:rPr>
        <w:t>systematic</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review</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and</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color w:val="000000"/>
        </w:rPr>
        <w:t>meta-analysis</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i/>
          <w:color w:val="000000"/>
        </w:rPr>
        <w:t>Scientific</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Reports</w:t>
      </w:r>
      <w:proofErr w:type="spellEnd"/>
      <w:r>
        <w:rPr>
          <w:rFonts w:ascii="source serif 4" w:eastAsia="source serif 4" w:hAnsi="source serif 4" w:cs="source serif 4"/>
          <w:color w:val="000000"/>
        </w:rPr>
        <w:t>, 2025.</w:t>
      </w:r>
      <w:r>
        <w:rPr>
          <w:rFonts w:ascii="source serif 4" w:eastAsia="source serif 4" w:hAnsi="source serif 4" w:cs="source serif 4"/>
          <w:color w:val="000000"/>
        </w:rPr>
        <w:br/>
        <w:t xml:space="preserve">الرابط: </w:t>
      </w:r>
      <w:hyperlink r:id="rId13">
        <w:r w:rsidR="00136201">
          <w:rPr>
            <w:rFonts w:ascii="source sans 3" w:eastAsia="source sans 3" w:hAnsi="source sans 3" w:cs="source sans 3"/>
            <w:u w:val="single"/>
          </w:rPr>
          <w:t>https://www.nature.com/articles/s41598-025-90984-3</w:t>
        </w:r>
      </w:hyperlink>
      <w:bookmarkStart w:id="149" w:name="fnref40_1"/>
      <w:bookmarkEnd w:id="149"/>
      <w:r>
        <w:fldChar w:fldCharType="begin"/>
      </w:r>
      <w:r>
        <w:instrText>HYPERLINK \l "fn40" \h</w:instrText>
      </w:r>
      <w:r>
        <w:fldChar w:fldCharType="separate"/>
      </w:r>
      <w:r>
        <w:rPr>
          <w:rFonts w:ascii="source sans 3" w:eastAsia="source sans 3" w:hAnsi="source sans 3" w:cs="source sans 3"/>
          <w:u w:val="single"/>
          <w:vertAlign w:val="superscript"/>
        </w:rPr>
        <w:t>[40]</w:t>
      </w:r>
      <w:r>
        <w:fldChar w:fldCharType="end"/>
      </w:r>
    </w:p>
    <w:p w14:paraId="463E9155" w14:textId="77777777" w:rsidR="00136201" w:rsidRDefault="00000000">
      <w:pPr>
        <w:numPr>
          <w:ilvl w:val="0"/>
          <w:numId w:val="15"/>
        </w:numPr>
        <w:spacing w:after="210" w:line="360" w:lineRule="auto"/>
      </w:pPr>
      <w:r>
        <w:rPr>
          <w:rFonts w:ascii="source serif 4" w:eastAsia="source serif 4" w:hAnsi="source serif 4" w:cs="source serif 4"/>
          <w:color w:val="000000"/>
        </w:rPr>
        <w:t xml:space="preserve">RTI </w:t>
      </w:r>
      <w:proofErr w:type="spellStart"/>
      <w:r>
        <w:rPr>
          <w:rFonts w:ascii="source serif 4" w:eastAsia="source serif 4" w:hAnsi="source serif 4" w:cs="source serif 4"/>
          <w:color w:val="000000"/>
        </w:rPr>
        <w:t>International</w:t>
      </w:r>
      <w:proofErr w:type="spellEnd"/>
      <w:r>
        <w:rPr>
          <w:rFonts w:ascii="source serif 4" w:eastAsia="source serif 4" w:hAnsi="source serif 4" w:cs="source serif 4"/>
          <w:color w:val="000000"/>
        </w:rPr>
        <w:t xml:space="preserve">. </w:t>
      </w:r>
      <w:proofErr w:type="spellStart"/>
      <w:r>
        <w:rPr>
          <w:rFonts w:ascii="source serif 4" w:eastAsia="source serif 4" w:hAnsi="source serif 4" w:cs="source serif 4"/>
          <w:i/>
          <w:color w:val="000000"/>
        </w:rPr>
        <w:t>The</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Effects</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of</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Social</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Media</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Restriction</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Meta-Analytic</w:t>
      </w:r>
      <w:proofErr w:type="spellEnd"/>
      <w:r>
        <w:rPr>
          <w:rFonts w:ascii="source serif 4" w:eastAsia="source serif 4" w:hAnsi="source serif 4" w:cs="source serif 4"/>
          <w:i/>
          <w:color w:val="000000"/>
        </w:rPr>
        <w:t xml:space="preserve"> </w:t>
      </w:r>
      <w:proofErr w:type="spellStart"/>
      <w:r>
        <w:rPr>
          <w:rFonts w:ascii="source serif 4" w:eastAsia="source serif 4" w:hAnsi="source serif 4" w:cs="source serif 4"/>
          <w:i/>
          <w:color w:val="000000"/>
        </w:rPr>
        <w:t>Evidence</w:t>
      </w:r>
      <w:proofErr w:type="spellEnd"/>
      <w:r>
        <w:rPr>
          <w:rFonts w:ascii="source serif 4" w:eastAsia="source serif 4" w:hAnsi="source serif 4" w:cs="source serif 4"/>
          <w:color w:val="000000"/>
        </w:rPr>
        <w:t>. 2025.</w:t>
      </w:r>
      <w:r>
        <w:rPr>
          <w:rFonts w:ascii="source serif 4" w:eastAsia="source serif 4" w:hAnsi="source serif 4" w:cs="source serif 4"/>
          <w:color w:val="000000"/>
        </w:rPr>
        <w:br/>
        <w:t xml:space="preserve">الرابط: </w:t>
      </w:r>
      <w:hyperlink r:id="rId14">
        <w:r w:rsidR="00136201">
          <w:rPr>
            <w:rFonts w:ascii="source sans 3" w:eastAsia="source sans 3" w:hAnsi="source sans 3" w:cs="source sans 3"/>
            <w:u w:val="single"/>
          </w:rPr>
          <w:t>https://www.rti.org/publication/the-effects-of-social-media-restriction-meta-analytic-evidence-fr</w:t>
        </w:r>
      </w:hyperlink>
      <w:bookmarkStart w:id="150" w:name="fnref41_1"/>
      <w:bookmarkEnd w:id="150"/>
      <w:r>
        <w:fldChar w:fldCharType="begin"/>
      </w:r>
      <w:r>
        <w:instrText>HYPERLINK \l "fn41" \h</w:instrText>
      </w:r>
      <w:r>
        <w:fldChar w:fldCharType="separate"/>
      </w:r>
      <w:r>
        <w:rPr>
          <w:rFonts w:ascii="source sans 3" w:eastAsia="source sans 3" w:hAnsi="source sans 3" w:cs="source sans 3"/>
          <w:u w:val="single"/>
          <w:vertAlign w:val="superscript"/>
        </w:rPr>
        <w:t>[41]</w:t>
      </w:r>
      <w:r>
        <w:fldChar w:fldCharType="end"/>
      </w:r>
    </w:p>
    <w:p w14:paraId="695A46DD" w14:textId="77777777" w:rsidR="00136201" w:rsidRDefault="00000000">
      <w:pPr>
        <w:spacing w:before="315" w:after="105" w:line="360" w:lineRule="auto"/>
        <w:ind w:left="-30"/>
      </w:pPr>
      <w:bookmarkStart w:id="151" w:name="ملاحظة_توثيقية"/>
      <w:r>
        <w:rPr>
          <w:rFonts w:ascii="source serif 4" w:eastAsia="source serif 4" w:hAnsi="source serif 4" w:cs="source serif 4"/>
          <w:b/>
          <w:color w:val="000000"/>
          <w:sz w:val="24"/>
        </w:rPr>
        <w:t>ملاحظة توثيقية</w:t>
      </w:r>
      <w:bookmarkEnd w:id="151"/>
    </w:p>
    <w:p w14:paraId="475D7615" w14:textId="77777777" w:rsidR="00136201" w:rsidRDefault="00000000">
      <w:pPr>
        <w:spacing w:after="210" w:line="360" w:lineRule="auto"/>
      </w:pPr>
      <w:r>
        <w:rPr>
          <w:rFonts w:ascii="source serif 4" w:eastAsia="source serif 4" w:hAnsi="source serif 4" w:cs="source serif 4"/>
          <w:color w:val="000000"/>
        </w:rPr>
        <w:t>يجب ألا تُستخدم أرقام الإحالات في الملف الأصلي بوصفها توثيقًا نهائيًا، لأن كثيرًا منها إما روابط لصفحات رئيسية، أو ملفات بلا بيانات ببليوغرافية ظاهرة، أو أرقام مجمعة تحت عبارة «مراجع متنوعة».</w:t>
      </w:r>
      <w:bookmarkStart w:id="152" w:name="fnref43"/>
      <w:bookmarkEnd w:id="152"/>
      <w:r>
        <w:fldChar w:fldCharType="begin"/>
      </w:r>
      <w:r>
        <w:instrText>HYPERLINK \l "fn43" \h</w:instrText>
      </w:r>
      <w:r>
        <w:fldChar w:fldCharType="separate"/>
      </w:r>
      <w:r>
        <w:rPr>
          <w:rFonts w:ascii="source sans 3" w:eastAsia="source sans 3" w:hAnsi="source sans 3" w:cs="source sans 3"/>
          <w:u w:val="single"/>
          <w:vertAlign w:val="superscript"/>
        </w:rPr>
        <w:t>[43]</w:t>
      </w:r>
      <w:r>
        <w:fldChar w:fldCharType="end"/>
      </w:r>
    </w:p>
    <w:p w14:paraId="6787EFC0" w14:textId="77777777" w:rsidR="00136201" w:rsidRDefault="00000000">
      <w:pPr>
        <w:spacing w:after="210" w:line="360" w:lineRule="auto"/>
      </w:pPr>
      <w:r>
        <w:rPr>
          <w:rFonts w:ascii="source serif 4" w:eastAsia="source serif 4" w:hAnsi="source serif 4" w:cs="source serif 4"/>
          <w:color w:val="000000"/>
        </w:rPr>
        <w:t>لذلك، في النسخة النهائية، ينبغي استبدال الإحالات الرقمية العامة بإحالات محددة تذكر: المؤلف، والعنوان، ونوع المنشور، والتاريخ، والجهة، والرابط، وتاريخ الاطلاع عند الحاجة. وقد التزم هذا القسم بذلك في المصادر التي أمكن التحقق من محتواها مباشرة.</w:t>
      </w:r>
    </w:p>
    <w:p w14:paraId="650576B5" w14:textId="77777777" w:rsidR="00136201" w:rsidRDefault="00000000">
      <w:pPr>
        <w:spacing w:line="360" w:lineRule="auto"/>
      </w:pPr>
      <w:r>
        <w:rPr>
          <w:rFonts w:ascii="source serif 4" w:eastAsia="source serif 4" w:hAnsi="source serif 4" w:cs="source serif 4"/>
          <w:color w:val="000000"/>
        </w:rPr>
        <w:t>⁂</w:t>
      </w:r>
    </w:p>
    <w:p w14:paraId="1DA7F56B" w14:textId="77777777" w:rsidR="00136201" w:rsidRDefault="00AB091C">
      <w:pPr>
        <w:spacing w:before="210" w:after="0" w:line="360" w:lineRule="auto"/>
      </w:pPr>
      <w:r>
        <w:rPr>
          <w:noProof/>
        </w:rPr>
      </w:r>
      <w:r w:rsidR="00AB091C">
        <w:rPr>
          <w:noProof/>
        </w:rPr>
        <w:pict w14:anchorId="5A8F51BB">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F7EC06B" w14:textId="77777777" w:rsidR="00136201" w:rsidRDefault="00000000">
      <w:pPr>
        <w:numPr>
          <w:ilvl w:val="0"/>
          <w:numId w:val="17"/>
        </w:numPr>
        <w:spacing w:after="210" w:line="360" w:lineRule="auto"/>
      </w:pPr>
      <w:bookmarkStart w:id="153" w:name="fn1"/>
      <w:bookmarkEnd w:id="153"/>
      <w:proofErr w:type="spellStart"/>
      <w:r>
        <w:rPr>
          <w:rFonts w:ascii="source serif 4" w:eastAsia="source serif 4" w:hAnsi="source serif 4" w:cs="source serif 4"/>
          <w:color w:val="000000"/>
          <w:sz w:val="18"/>
        </w:rPr>
        <w:t>st-mr-lkhwrzmyt.docx</w:t>
      </w:r>
      <w:proofErr w:type="spellEnd"/>
      <w:r>
        <w:rPr>
          <w:rFonts w:ascii="source serif 4" w:eastAsia="source serif 4" w:hAnsi="source serif 4" w:cs="source serif 4"/>
          <w:color w:val="000000"/>
          <w:sz w:val="18"/>
        </w:rPr>
        <w:t xml:space="preserve">         </w:t>
      </w:r>
    </w:p>
    <w:bookmarkStart w:id="154" w:name="fn2"/>
    <w:bookmarkEnd w:id="154"/>
    <w:p w14:paraId="4CA8ABB3" w14:textId="77777777" w:rsidR="00136201" w:rsidRDefault="00000000">
      <w:pPr>
        <w:numPr>
          <w:ilvl w:val="0"/>
          <w:numId w:val="17"/>
        </w:numPr>
        <w:spacing w:after="210" w:line="360" w:lineRule="auto"/>
      </w:pPr>
      <w:r>
        <w:fldChar w:fldCharType="begin"/>
      </w:r>
      <w:r>
        <w:instrText>HYPERLINK "https://zaraapsychology.com/bibliotheque/algzaa-althany-althdy-alrahn-tfkyk-rasmaly-almrakb-fy-doaa-alnmothg-alnfsy-alastkhlafy" \h</w:instrText>
      </w:r>
      <w:r>
        <w:fldChar w:fldCharType="separate"/>
      </w:r>
      <w:r>
        <w:rPr>
          <w:rFonts w:ascii="source sans 3" w:eastAsia="source sans 3" w:hAnsi="source sans 3" w:cs="source sans 3"/>
          <w:sz w:val="18"/>
          <w:u w:val="single"/>
        </w:rPr>
        <w:t>https://zaraapsychology.com/bibliotheque/algzaa-althany-althdy-alrahn-tfkyk-rasmaly-almrakb-fy-doaa-alnmothg-alnfsy-alastkhlafy</w:t>
      </w:r>
      <w:r>
        <w:fldChar w:fldCharType="end"/>
      </w:r>
      <w:r>
        <w:rPr>
          <w:rFonts w:ascii="source serif 4" w:eastAsia="source serif 4" w:hAnsi="source serif 4" w:cs="source serif 4"/>
          <w:color w:val="000000"/>
          <w:sz w:val="18"/>
        </w:rPr>
        <w:t xml:space="preserve">    </w:t>
      </w:r>
    </w:p>
    <w:bookmarkStart w:id="155" w:name="fn3"/>
    <w:bookmarkEnd w:id="155"/>
    <w:p w14:paraId="7DCFE244" w14:textId="77777777" w:rsidR="00136201" w:rsidRDefault="00000000">
      <w:pPr>
        <w:numPr>
          <w:ilvl w:val="0"/>
          <w:numId w:val="17"/>
        </w:numPr>
        <w:spacing w:after="210" w:line="360" w:lineRule="auto"/>
      </w:pPr>
      <w:r>
        <w:fldChar w:fldCharType="begin"/>
      </w:r>
      <w:r>
        <w:instrText>HYPERLINK "https://www.zaraapsychology.com/articles/alansan-byn-alkhoarzmy-oalohy" \h</w:instrText>
      </w:r>
      <w:r>
        <w:fldChar w:fldCharType="separate"/>
      </w:r>
      <w:r>
        <w:rPr>
          <w:rFonts w:ascii="source sans 3" w:eastAsia="source sans 3" w:hAnsi="source sans 3" w:cs="source sans 3"/>
          <w:sz w:val="18"/>
          <w:u w:val="single"/>
        </w:rPr>
        <w:t>https://www.zaraapsychology.com/articles/alansan-byn-alkhoarzmy-oalohy</w:t>
      </w:r>
      <w:r>
        <w:fldChar w:fldCharType="end"/>
      </w:r>
      <w:r>
        <w:rPr>
          <w:rFonts w:ascii="source serif 4" w:eastAsia="source serif 4" w:hAnsi="source serif 4" w:cs="source serif 4"/>
          <w:color w:val="000000"/>
          <w:sz w:val="18"/>
        </w:rPr>
        <w:t xml:space="preserve">        </w:t>
      </w:r>
    </w:p>
    <w:bookmarkStart w:id="156" w:name="fn4"/>
    <w:bookmarkEnd w:id="156"/>
    <w:p w14:paraId="2B284EA7" w14:textId="77777777" w:rsidR="00136201" w:rsidRDefault="00000000">
      <w:pPr>
        <w:numPr>
          <w:ilvl w:val="0"/>
          <w:numId w:val="17"/>
        </w:numPr>
        <w:spacing w:after="210" w:line="360" w:lineRule="auto"/>
      </w:pPr>
      <w:r>
        <w:fldChar w:fldCharType="begin"/>
      </w:r>
      <w:r>
        <w:instrText>HYPERLINK "https://www.uio.no/studier/emner/matnat/ifi/IN5390/h22/readings/couldry---mejias-(2019).pdf" \h</w:instrText>
      </w:r>
      <w:r>
        <w:fldChar w:fldCharType="separate"/>
      </w:r>
      <w:r>
        <w:rPr>
          <w:rFonts w:ascii="source sans 3" w:eastAsia="source sans 3" w:hAnsi="source sans 3" w:cs="source sans 3"/>
          <w:sz w:val="18"/>
          <w:u w:val="single"/>
        </w:rPr>
        <w:t>https://www.uio.no/studier/emner/matnat/ifi/IN5390/h22/readings/couldry---mejias-(2019).pdf</w:t>
      </w:r>
      <w:r>
        <w:fldChar w:fldCharType="end"/>
      </w:r>
      <w:r>
        <w:rPr>
          <w:rFonts w:ascii="source serif 4" w:eastAsia="source serif 4" w:hAnsi="source serif 4" w:cs="source serif 4"/>
          <w:color w:val="000000"/>
          <w:sz w:val="18"/>
        </w:rPr>
        <w:t xml:space="preserve">     </w:t>
      </w:r>
    </w:p>
    <w:bookmarkStart w:id="157" w:name="fn5"/>
    <w:bookmarkEnd w:id="157"/>
    <w:p w14:paraId="445E3190" w14:textId="77777777" w:rsidR="00136201" w:rsidRDefault="00000000">
      <w:pPr>
        <w:numPr>
          <w:ilvl w:val="0"/>
          <w:numId w:val="17"/>
        </w:numPr>
        <w:spacing w:after="210" w:line="360" w:lineRule="auto"/>
      </w:pPr>
      <w:r>
        <w:fldChar w:fldCharType="begin"/>
      </w:r>
      <w:r>
        <w:instrText>HYPERLINK "https://researchonline.lse.ac.uk/id/eprint/102796/" \h</w:instrText>
      </w:r>
      <w:r>
        <w:fldChar w:fldCharType="separate"/>
      </w:r>
      <w:r>
        <w:rPr>
          <w:rFonts w:ascii="source sans 3" w:eastAsia="source sans 3" w:hAnsi="source sans 3" w:cs="source sans 3"/>
          <w:sz w:val="18"/>
          <w:u w:val="single"/>
        </w:rPr>
        <w:t>https://researchonline.lse.ac.uk/id/eprint/102796/</w:t>
      </w:r>
      <w:r>
        <w:fldChar w:fldCharType="end"/>
      </w:r>
      <w:r>
        <w:rPr>
          <w:rFonts w:ascii="source serif 4" w:eastAsia="source serif 4" w:hAnsi="source serif 4" w:cs="source serif 4"/>
          <w:color w:val="000000"/>
          <w:sz w:val="18"/>
        </w:rPr>
        <w:t xml:space="preserve"> </w:t>
      </w:r>
    </w:p>
    <w:bookmarkStart w:id="158" w:name="fn6"/>
    <w:bookmarkEnd w:id="158"/>
    <w:p w14:paraId="6CA0336E" w14:textId="77777777" w:rsidR="00136201" w:rsidRDefault="00000000">
      <w:pPr>
        <w:numPr>
          <w:ilvl w:val="0"/>
          <w:numId w:val="17"/>
        </w:numPr>
        <w:spacing w:after="210" w:line="360" w:lineRule="auto"/>
      </w:pPr>
      <w:r>
        <w:fldChar w:fldCharType="begin"/>
      </w:r>
      <w:r>
        <w:instrText>HYPERLINK "https://researchonline.lse.ac.uk/id/eprint/101339/3/Internet_Policy_Review_Making_data_colonialism_liveable_how_might_data_s_social_order_be_regulated_2019_07_17.pdf" \h</w:instrText>
      </w:r>
      <w:r>
        <w:fldChar w:fldCharType="separate"/>
      </w:r>
      <w:r>
        <w:rPr>
          <w:rFonts w:ascii="source sans 3" w:eastAsia="source sans 3" w:hAnsi="source sans 3" w:cs="source sans 3"/>
          <w:sz w:val="18"/>
          <w:u w:val="single"/>
        </w:rPr>
        <w:t>https://researchonline.lse.ac.uk/id/eprint/101339/3/Internet_Policy_Review_Making_data_colonialism_liveable_how_might_data_s_social_order_be_regulated_2019_07_17.pdf</w:t>
      </w:r>
      <w:r>
        <w:fldChar w:fldCharType="end"/>
      </w:r>
      <w:r>
        <w:rPr>
          <w:rFonts w:ascii="source serif 4" w:eastAsia="source serif 4" w:hAnsi="source serif 4" w:cs="source serif 4"/>
          <w:color w:val="000000"/>
          <w:sz w:val="18"/>
        </w:rPr>
        <w:t xml:space="preserve">  </w:t>
      </w:r>
    </w:p>
    <w:bookmarkStart w:id="159" w:name="fn7"/>
    <w:bookmarkEnd w:id="159"/>
    <w:p w14:paraId="58E20629" w14:textId="77777777" w:rsidR="00136201" w:rsidRDefault="00000000">
      <w:pPr>
        <w:numPr>
          <w:ilvl w:val="0"/>
          <w:numId w:val="17"/>
        </w:numPr>
        <w:spacing w:after="210" w:line="360" w:lineRule="auto"/>
      </w:pPr>
      <w:r>
        <w:fldChar w:fldCharType="begin"/>
      </w:r>
      <w:r>
        <w:instrText>HYPERLINK "https://cyber.harvard.edu/events/colonized-data-costs-connection-nick-couldry-and-ulises-mejias" \h</w:instrText>
      </w:r>
      <w:r>
        <w:fldChar w:fldCharType="separate"/>
      </w:r>
      <w:r>
        <w:rPr>
          <w:rFonts w:ascii="source sans 3" w:eastAsia="source sans 3" w:hAnsi="source sans 3" w:cs="source sans 3"/>
          <w:sz w:val="18"/>
          <w:u w:val="single"/>
        </w:rPr>
        <w:t>https://cyber.harvard.edu/events/colonized-data-costs-connection-nick-couldry-and-ulises-mejias</w:t>
      </w:r>
      <w:r>
        <w:fldChar w:fldCharType="end"/>
      </w:r>
      <w:r>
        <w:rPr>
          <w:rFonts w:ascii="source serif 4" w:eastAsia="source serif 4" w:hAnsi="source serif 4" w:cs="source serif 4"/>
          <w:color w:val="000000"/>
          <w:sz w:val="18"/>
        </w:rPr>
        <w:t xml:space="preserve"> </w:t>
      </w:r>
    </w:p>
    <w:bookmarkStart w:id="160" w:name="fn8"/>
    <w:bookmarkEnd w:id="160"/>
    <w:p w14:paraId="72132ED4" w14:textId="77777777" w:rsidR="00136201" w:rsidRDefault="00000000">
      <w:pPr>
        <w:numPr>
          <w:ilvl w:val="0"/>
          <w:numId w:val="17"/>
        </w:numPr>
        <w:spacing w:after="210" w:line="360" w:lineRule="auto"/>
      </w:pPr>
      <w:r>
        <w:fldChar w:fldCharType="begin"/>
      </w:r>
      <w:r>
        <w:instrText>HYPERLINK "https://www.nature.com/articles/s41598-025-90984-3" \h</w:instrText>
      </w:r>
      <w:r>
        <w:fldChar w:fldCharType="separate"/>
      </w:r>
      <w:r>
        <w:rPr>
          <w:rFonts w:ascii="source sans 3" w:eastAsia="source sans 3" w:hAnsi="source sans 3" w:cs="source sans 3"/>
          <w:sz w:val="18"/>
          <w:u w:val="single"/>
        </w:rPr>
        <w:t>https://www.nature.com/articles/s41598-025-90984-3</w:t>
      </w:r>
      <w:r>
        <w:fldChar w:fldCharType="end"/>
      </w:r>
      <w:r>
        <w:rPr>
          <w:rFonts w:ascii="source serif 4" w:eastAsia="source serif 4" w:hAnsi="source serif 4" w:cs="source serif 4"/>
          <w:color w:val="000000"/>
          <w:sz w:val="18"/>
        </w:rPr>
        <w:t xml:space="preserve">   </w:t>
      </w:r>
    </w:p>
    <w:bookmarkStart w:id="161" w:name="fn9"/>
    <w:bookmarkEnd w:id="161"/>
    <w:p w14:paraId="64F87658" w14:textId="77777777" w:rsidR="00136201" w:rsidRDefault="00000000">
      <w:pPr>
        <w:numPr>
          <w:ilvl w:val="0"/>
          <w:numId w:val="17"/>
        </w:numPr>
        <w:spacing w:after="210" w:line="360" w:lineRule="auto"/>
      </w:pPr>
      <w:r>
        <w:fldChar w:fldCharType="begin"/>
      </w:r>
      <w:r>
        <w:instrText>HYPERLINK "https://www.rti.org/publication/the-effects-of-social-media-restriction-meta-analytic-evidence-fr" \h</w:instrText>
      </w:r>
      <w:r>
        <w:fldChar w:fldCharType="separate"/>
      </w:r>
      <w:r>
        <w:rPr>
          <w:rFonts w:ascii="source sans 3" w:eastAsia="source sans 3" w:hAnsi="source sans 3" w:cs="source sans 3"/>
          <w:sz w:val="18"/>
          <w:u w:val="single"/>
        </w:rPr>
        <w:t>https://www.rti.org/publication/the-effects-of-social-media-restriction-meta-analytic-evidence-fr</w:t>
      </w:r>
      <w:r>
        <w:fldChar w:fldCharType="end"/>
      </w:r>
      <w:r>
        <w:rPr>
          <w:rFonts w:ascii="source serif 4" w:eastAsia="source serif 4" w:hAnsi="source serif 4" w:cs="source serif 4"/>
          <w:color w:val="000000"/>
          <w:sz w:val="18"/>
        </w:rPr>
        <w:t xml:space="preserve">   </w:t>
      </w:r>
    </w:p>
    <w:bookmarkStart w:id="162" w:name="fn10"/>
    <w:bookmarkEnd w:id="162"/>
    <w:p w14:paraId="2AE10D6C" w14:textId="77777777" w:rsidR="00136201" w:rsidRDefault="00000000">
      <w:pPr>
        <w:numPr>
          <w:ilvl w:val="0"/>
          <w:numId w:val="17"/>
        </w:numPr>
        <w:spacing w:after="210" w:line="360" w:lineRule="auto"/>
      </w:pPr>
      <w:r>
        <w:fldChar w:fldCharType="begin"/>
      </w:r>
      <w:r>
        <w:instrText>HYPERLINK "https://webspace.ship.edu/cgboer/Frankl.pdf" \h</w:instrText>
      </w:r>
      <w:r>
        <w:fldChar w:fldCharType="separate"/>
      </w:r>
      <w:r>
        <w:rPr>
          <w:rFonts w:ascii="source sans 3" w:eastAsia="source sans 3" w:hAnsi="source sans 3" w:cs="source sans 3"/>
          <w:sz w:val="18"/>
          <w:u w:val="single"/>
        </w:rPr>
        <w:t>https://webspace.ship.edu/cgboer/Frankl.pdf</w:t>
      </w:r>
      <w:r>
        <w:fldChar w:fldCharType="end"/>
      </w:r>
      <w:r>
        <w:rPr>
          <w:rFonts w:ascii="source serif 4" w:eastAsia="source serif 4" w:hAnsi="source serif 4" w:cs="source serif 4"/>
          <w:color w:val="000000"/>
          <w:sz w:val="18"/>
        </w:rPr>
        <w:t xml:space="preserve"> </w:t>
      </w:r>
    </w:p>
    <w:bookmarkStart w:id="163" w:name="fn11"/>
    <w:bookmarkEnd w:id="163"/>
    <w:p w14:paraId="16CCC0F4" w14:textId="77777777" w:rsidR="00136201" w:rsidRDefault="00000000">
      <w:pPr>
        <w:numPr>
          <w:ilvl w:val="0"/>
          <w:numId w:val="17"/>
        </w:numPr>
        <w:spacing w:after="210" w:line="360" w:lineRule="auto"/>
      </w:pPr>
      <w:r>
        <w:fldChar w:fldCharType="begin"/>
      </w:r>
      <w:r>
        <w:instrText>HYPERLINK "https://www.who.int/health-topics/depression" \h</w:instrText>
      </w:r>
      <w:r>
        <w:fldChar w:fldCharType="separate"/>
      </w:r>
      <w:r>
        <w:rPr>
          <w:rFonts w:ascii="source sans 3" w:eastAsia="source sans 3" w:hAnsi="source sans 3" w:cs="source sans 3"/>
          <w:sz w:val="18"/>
          <w:u w:val="single"/>
        </w:rPr>
        <w:t>https://www.who.int/health-topics/depression</w:t>
      </w:r>
      <w:r>
        <w:fldChar w:fldCharType="end"/>
      </w:r>
      <w:r>
        <w:rPr>
          <w:rFonts w:ascii="source serif 4" w:eastAsia="source serif 4" w:hAnsi="source serif 4" w:cs="source serif 4"/>
          <w:color w:val="000000"/>
          <w:sz w:val="18"/>
        </w:rPr>
        <w:t xml:space="preserve">   </w:t>
      </w:r>
    </w:p>
    <w:bookmarkStart w:id="164" w:name="fn12"/>
    <w:bookmarkEnd w:id="164"/>
    <w:p w14:paraId="48130684" w14:textId="77777777" w:rsidR="00136201" w:rsidRDefault="00000000">
      <w:pPr>
        <w:numPr>
          <w:ilvl w:val="0"/>
          <w:numId w:val="17"/>
        </w:numPr>
        <w:spacing w:after="210" w:line="360" w:lineRule="auto"/>
      </w:pPr>
      <w:r>
        <w:fldChar w:fldCharType="begin"/>
      </w:r>
      <w:r>
        <w:instrText>HYPERLINK "https://www.who.int/news-room/fact-sheets/detail/depression" \h</w:instrText>
      </w:r>
      <w:r>
        <w:fldChar w:fldCharType="separate"/>
      </w:r>
      <w:r>
        <w:rPr>
          <w:rFonts w:ascii="source sans 3" w:eastAsia="source sans 3" w:hAnsi="source sans 3" w:cs="source sans 3"/>
          <w:sz w:val="18"/>
          <w:u w:val="single"/>
        </w:rPr>
        <w:t>https://www.who.int/news-room/fact-sheets/detail/depression</w:t>
      </w:r>
      <w:r>
        <w:fldChar w:fldCharType="end"/>
      </w:r>
      <w:r>
        <w:rPr>
          <w:rFonts w:ascii="source serif 4" w:eastAsia="source serif 4" w:hAnsi="source serif 4" w:cs="source serif 4"/>
          <w:color w:val="000000"/>
          <w:sz w:val="18"/>
        </w:rPr>
        <w:t xml:space="preserve">  </w:t>
      </w:r>
    </w:p>
    <w:bookmarkStart w:id="165" w:name="fn13"/>
    <w:bookmarkEnd w:id="165"/>
    <w:p w14:paraId="1CEDC06F" w14:textId="77777777" w:rsidR="00136201" w:rsidRDefault="00000000">
      <w:pPr>
        <w:numPr>
          <w:ilvl w:val="0"/>
          <w:numId w:val="17"/>
        </w:numPr>
        <w:spacing w:after="210" w:line="360" w:lineRule="auto"/>
      </w:pPr>
      <w:r>
        <w:fldChar w:fldCharType="begin"/>
      </w:r>
      <w:r>
        <w:instrText>HYPERLINK "https://www.iasp-pain.org/publications/iasp-news/iasp-announces-revised-definition-of-pain/" \h</w:instrText>
      </w:r>
      <w:r>
        <w:fldChar w:fldCharType="separate"/>
      </w:r>
      <w:r>
        <w:rPr>
          <w:rFonts w:ascii="source sans 3" w:eastAsia="source sans 3" w:hAnsi="source sans 3" w:cs="source sans 3"/>
          <w:sz w:val="18"/>
          <w:u w:val="single"/>
        </w:rPr>
        <w:t>https://www.iasp-pain.org/publications/iasp-news/iasp-announces-revised-definition-of-pain/</w:t>
      </w:r>
      <w:r>
        <w:fldChar w:fldCharType="end"/>
      </w:r>
      <w:r>
        <w:rPr>
          <w:rFonts w:ascii="source serif 4" w:eastAsia="source serif 4" w:hAnsi="source serif 4" w:cs="source serif 4"/>
          <w:color w:val="000000"/>
          <w:sz w:val="18"/>
        </w:rPr>
        <w:t xml:space="preserve">  </w:t>
      </w:r>
    </w:p>
    <w:bookmarkStart w:id="166" w:name="fn14"/>
    <w:bookmarkEnd w:id="166"/>
    <w:p w14:paraId="67FC2AED" w14:textId="77777777" w:rsidR="00136201" w:rsidRDefault="00000000">
      <w:pPr>
        <w:numPr>
          <w:ilvl w:val="0"/>
          <w:numId w:val="17"/>
        </w:numPr>
        <w:spacing w:after="210" w:line="360" w:lineRule="auto"/>
      </w:pPr>
      <w:r>
        <w:fldChar w:fldCharType="begin"/>
      </w:r>
      <w:r>
        <w:instrText>HYPERLINK "https://www.iasp-pain.org/wp-content/uploads/2022/04/revised-definition-flysheet_R2-1-1-1.pdf" \h</w:instrText>
      </w:r>
      <w:r>
        <w:fldChar w:fldCharType="separate"/>
      </w:r>
      <w:r>
        <w:rPr>
          <w:rFonts w:ascii="source sans 3" w:eastAsia="source sans 3" w:hAnsi="source sans 3" w:cs="source sans 3"/>
          <w:sz w:val="18"/>
          <w:u w:val="single"/>
        </w:rPr>
        <w:t>https://www.iasp-pain.org/wp-content/uploads/2022/04/revised-definition-flysheet_R2-1-1-1.pdf</w:t>
      </w:r>
      <w:r>
        <w:fldChar w:fldCharType="end"/>
      </w:r>
      <w:r>
        <w:rPr>
          <w:rFonts w:ascii="source serif 4" w:eastAsia="source serif 4" w:hAnsi="source serif 4" w:cs="source serif 4"/>
          <w:color w:val="000000"/>
          <w:sz w:val="18"/>
        </w:rPr>
        <w:t xml:space="preserve"> </w:t>
      </w:r>
    </w:p>
    <w:bookmarkStart w:id="167" w:name="fn15"/>
    <w:bookmarkEnd w:id="167"/>
    <w:p w14:paraId="5007C6AD" w14:textId="77777777" w:rsidR="00136201" w:rsidRDefault="00000000">
      <w:pPr>
        <w:numPr>
          <w:ilvl w:val="0"/>
          <w:numId w:val="17"/>
        </w:numPr>
        <w:spacing w:after="210" w:line="360" w:lineRule="auto"/>
      </w:pPr>
      <w:r>
        <w:fldChar w:fldCharType="begin"/>
      </w:r>
      <w:r>
        <w:instrText>HYPERLINK "https://www.iasp-pain.org/resources/toolkits/pain-management-center/chapter1/" \h</w:instrText>
      </w:r>
      <w:r>
        <w:fldChar w:fldCharType="separate"/>
      </w:r>
      <w:r>
        <w:rPr>
          <w:rFonts w:ascii="source sans 3" w:eastAsia="source sans 3" w:hAnsi="source sans 3" w:cs="source sans 3"/>
          <w:sz w:val="18"/>
          <w:u w:val="single"/>
        </w:rPr>
        <w:t>https://www.iasp-pain.org/resources/toolkits/pain-management-center/chapter1/</w:t>
      </w:r>
      <w:r>
        <w:fldChar w:fldCharType="end"/>
      </w:r>
      <w:r>
        <w:rPr>
          <w:rFonts w:ascii="source serif 4" w:eastAsia="source serif 4" w:hAnsi="source serif 4" w:cs="source serif 4"/>
          <w:color w:val="000000"/>
          <w:sz w:val="18"/>
        </w:rPr>
        <w:t xml:space="preserve"> </w:t>
      </w:r>
    </w:p>
    <w:bookmarkStart w:id="168" w:name="fn16"/>
    <w:bookmarkEnd w:id="168"/>
    <w:p w14:paraId="555DA8FF" w14:textId="77777777" w:rsidR="00136201" w:rsidRDefault="00000000">
      <w:pPr>
        <w:numPr>
          <w:ilvl w:val="0"/>
          <w:numId w:val="17"/>
        </w:numPr>
        <w:spacing w:after="210" w:line="360" w:lineRule="auto"/>
      </w:pPr>
      <w:r>
        <w:fldChar w:fldCharType="begin"/>
      </w:r>
      <w:r>
        <w:instrText>HYPERLINK "https://academic.oup.com/ptj/article/101/4/pzab019/6106265" \h</w:instrText>
      </w:r>
      <w:r>
        <w:fldChar w:fldCharType="separate"/>
      </w:r>
      <w:r>
        <w:rPr>
          <w:rFonts w:ascii="source sans 3" w:eastAsia="source sans 3" w:hAnsi="source sans 3" w:cs="source sans 3"/>
          <w:sz w:val="18"/>
          <w:u w:val="single"/>
        </w:rPr>
        <w:t>https://academic.oup.com/ptj/article/101/4/pzab019/6106265</w:t>
      </w:r>
      <w:r>
        <w:fldChar w:fldCharType="end"/>
      </w:r>
      <w:r>
        <w:rPr>
          <w:rFonts w:ascii="source serif 4" w:eastAsia="source serif 4" w:hAnsi="source serif 4" w:cs="source serif 4"/>
          <w:color w:val="000000"/>
          <w:sz w:val="18"/>
        </w:rPr>
        <w:t xml:space="preserve"> </w:t>
      </w:r>
    </w:p>
    <w:bookmarkStart w:id="169" w:name="fn17"/>
    <w:bookmarkEnd w:id="169"/>
    <w:p w14:paraId="052929CA" w14:textId="77777777" w:rsidR="00136201" w:rsidRDefault="00000000">
      <w:pPr>
        <w:numPr>
          <w:ilvl w:val="0"/>
          <w:numId w:val="17"/>
        </w:numPr>
        <w:spacing w:after="210" w:line="360" w:lineRule="auto"/>
      </w:pPr>
      <w:r>
        <w:fldChar w:fldCharType="begin"/>
      </w:r>
      <w:r>
        <w:instrText>HYPERLINK "https://www.iasp-pain.org/50_year_history/2020-present/" \h</w:instrText>
      </w:r>
      <w:r>
        <w:fldChar w:fldCharType="separate"/>
      </w:r>
      <w:r>
        <w:rPr>
          <w:rFonts w:ascii="source sans 3" w:eastAsia="source sans 3" w:hAnsi="source sans 3" w:cs="source sans 3"/>
          <w:sz w:val="18"/>
          <w:u w:val="single"/>
        </w:rPr>
        <w:t>https://www.iasp-pain.org/50_year_history/2020-present/</w:t>
      </w:r>
      <w:r>
        <w:fldChar w:fldCharType="end"/>
      </w:r>
      <w:r>
        <w:rPr>
          <w:rFonts w:ascii="source serif 4" w:eastAsia="source serif 4" w:hAnsi="source serif 4" w:cs="source serif 4"/>
          <w:color w:val="000000"/>
          <w:sz w:val="18"/>
        </w:rPr>
        <w:t xml:space="preserve"> </w:t>
      </w:r>
    </w:p>
    <w:bookmarkStart w:id="170" w:name="fn18"/>
    <w:bookmarkEnd w:id="170"/>
    <w:p w14:paraId="1734D41F" w14:textId="77777777" w:rsidR="00136201" w:rsidRDefault="00000000">
      <w:pPr>
        <w:numPr>
          <w:ilvl w:val="0"/>
          <w:numId w:val="17"/>
        </w:numPr>
        <w:spacing w:after="210" w:line="360" w:lineRule="auto"/>
      </w:pPr>
      <w:r>
        <w:fldChar w:fldCharType="begin"/>
      </w:r>
      <w:r>
        <w:instrText>HYPERLINK "https://www.iasp-pain.org/publications/pain-research-forum/papers-of-the-week/paper/146236-revised-international-association-study-pain-definition-pain-concepts-challenges-and/" \h</w:instrText>
      </w:r>
      <w:r>
        <w:fldChar w:fldCharType="separate"/>
      </w:r>
      <w:r>
        <w:rPr>
          <w:rFonts w:ascii="source sans 3" w:eastAsia="source sans 3" w:hAnsi="source sans 3" w:cs="source sans 3"/>
          <w:sz w:val="18"/>
          <w:u w:val="single"/>
        </w:rPr>
        <w:t>https://www.iasp-pain.org/publications/pain-research-forum/papers-of-the-week/paper/146236-revised-international-association-study-pain-definition-pain-concepts-challenges-and/</w:t>
      </w:r>
      <w:r>
        <w:fldChar w:fldCharType="end"/>
      </w:r>
      <w:r>
        <w:rPr>
          <w:rFonts w:ascii="source serif 4" w:eastAsia="source serif 4" w:hAnsi="source serif 4" w:cs="source serif 4"/>
          <w:color w:val="000000"/>
          <w:sz w:val="18"/>
        </w:rPr>
        <w:t xml:space="preserve"> </w:t>
      </w:r>
    </w:p>
    <w:bookmarkStart w:id="171" w:name="fn19"/>
    <w:bookmarkEnd w:id="171"/>
    <w:p w14:paraId="60BA6368" w14:textId="77777777" w:rsidR="00136201" w:rsidRDefault="00000000">
      <w:pPr>
        <w:numPr>
          <w:ilvl w:val="0"/>
          <w:numId w:val="17"/>
        </w:numPr>
        <w:spacing w:after="210" w:line="360" w:lineRule="auto"/>
      </w:pPr>
      <w:r>
        <w:fldChar w:fldCharType="begin"/>
      </w:r>
      <w:r>
        <w:instrText>HYPERLINK "https://pmc.ncbi.nlm.nih.gov/articles/PMC8370722/" \h</w:instrText>
      </w:r>
      <w:r>
        <w:fldChar w:fldCharType="separate"/>
      </w:r>
      <w:r>
        <w:rPr>
          <w:rFonts w:ascii="source sans 3" w:eastAsia="source sans 3" w:hAnsi="source sans 3" w:cs="source sans 3"/>
          <w:sz w:val="18"/>
          <w:u w:val="single"/>
        </w:rPr>
        <w:t>https://pmc.ncbi.nlm.nih.gov/articles/PMC8370722/</w:t>
      </w:r>
      <w:r>
        <w:fldChar w:fldCharType="end"/>
      </w:r>
      <w:r>
        <w:rPr>
          <w:rFonts w:ascii="source serif 4" w:eastAsia="source serif 4" w:hAnsi="source serif 4" w:cs="source serif 4"/>
          <w:color w:val="000000"/>
          <w:sz w:val="18"/>
        </w:rPr>
        <w:t xml:space="preserve"> </w:t>
      </w:r>
    </w:p>
    <w:bookmarkStart w:id="172" w:name="fn20"/>
    <w:bookmarkEnd w:id="172"/>
    <w:p w14:paraId="698464D2" w14:textId="77777777" w:rsidR="00136201" w:rsidRDefault="00000000">
      <w:pPr>
        <w:numPr>
          <w:ilvl w:val="0"/>
          <w:numId w:val="17"/>
        </w:numPr>
        <w:spacing w:after="210" w:line="360" w:lineRule="auto"/>
      </w:pPr>
      <w:r>
        <w:fldChar w:fldCharType="begin"/>
      </w:r>
      <w:r>
        <w:instrText>HYPERLINK "https://pmc.ncbi.nlm.nih.gov/articles/PMC8975191/" \h</w:instrText>
      </w:r>
      <w:r>
        <w:fldChar w:fldCharType="separate"/>
      </w:r>
      <w:r>
        <w:rPr>
          <w:rFonts w:ascii="source sans 3" w:eastAsia="source sans 3" w:hAnsi="source sans 3" w:cs="source sans 3"/>
          <w:sz w:val="18"/>
          <w:u w:val="single"/>
        </w:rPr>
        <w:t>https://pmc.ncbi.nlm.nih.gov/articles/PMC8975191/</w:t>
      </w:r>
      <w:r>
        <w:fldChar w:fldCharType="end"/>
      </w:r>
      <w:r>
        <w:rPr>
          <w:rFonts w:ascii="source serif 4" w:eastAsia="source serif 4" w:hAnsi="source serif 4" w:cs="source serif 4"/>
          <w:color w:val="000000"/>
          <w:sz w:val="18"/>
        </w:rPr>
        <w:t xml:space="preserve"> </w:t>
      </w:r>
    </w:p>
    <w:bookmarkStart w:id="173" w:name="fn21"/>
    <w:bookmarkEnd w:id="173"/>
    <w:p w14:paraId="171CB68A" w14:textId="77777777" w:rsidR="00136201" w:rsidRDefault="00000000">
      <w:pPr>
        <w:numPr>
          <w:ilvl w:val="0"/>
          <w:numId w:val="17"/>
        </w:numPr>
        <w:spacing w:after="210" w:line="360" w:lineRule="auto"/>
      </w:pPr>
      <w:r>
        <w:fldChar w:fldCharType="begin"/>
      </w:r>
      <w:r>
        <w:instrText>HYPERLINK "https://www.ohsu.edu/sites/default/files/2026-02/pcr26-fri-1-chen.pdf" \h</w:instrText>
      </w:r>
      <w:r>
        <w:fldChar w:fldCharType="separate"/>
      </w:r>
      <w:r>
        <w:rPr>
          <w:rFonts w:ascii="source sans 3" w:eastAsia="source sans 3" w:hAnsi="source sans 3" w:cs="source sans 3"/>
          <w:sz w:val="18"/>
          <w:u w:val="single"/>
        </w:rPr>
        <w:t>https://www.ohsu.edu/sites/default/files/2026-02/pcr26-fri-1-chen.pdf</w:t>
      </w:r>
      <w:r>
        <w:fldChar w:fldCharType="end"/>
      </w:r>
      <w:r>
        <w:rPr>
          <w:rFonts w:ascii="source serif 4" w:eastAsia="source serif 4" w:hAnsi="source serif 4" w:cs="source serif 4"/>
          <w:color w:val="000000"/>
          <w:sz w:val="18"/>
        </w:rPr>
        <w:t xml:space="preserve"> </w:t>
      </w:r>
    </w:p>
    <w:bookmarkStart w:id="174" w:name="fn22"/>
    <w:bookmarkEnd w:id="174"/>
    <w:p w14:paraId="43939556" w14:textId="77777777" w:rsidR="00136201" w:rsidRDefault="00000000">
      <w:pPr>
        <w:numPr>
          <w:ilvl w:val="0"/>
          <w:numId w:val="17"/>
        </w:numPr>
        <w:spacing w:after="210" w:line="360" w:lineRule="auto"/>
      </w:pPr>
      <w:r>
        <w:fldChar w:fldCharType="begin"/>
      </w:r>
      <w:r>
        <w:instrText>HYPERLINK "https://pmc.ncbi.nlm.nih.gov/articles/PMC8370731/" \h</w:instrText>
      </w:r>
      <w:r>
        <w:fldChar w:fldCharType="separate"/>
      </w:r>
      <w:r>
        <w:rPr>
          <w:rFonts w:ascii="source sans 3" w:eastAsia="source sans 3" w:hAnsi="source sans 3" w:cs="source sans 3"/>
          <w:sz w:val="18"/>
          <w:u w:val="single"/>
        </w:rPr>
        <w:t>https://pmc.ncbi.nlm.nih.gov/articles/PMC8370731/</w:t>
      </w:r>
      <w:r>
        <w:fldChar w:fldCharType="end"/>
      </w:r>
      <w:r>
        <w:rPr>
          <w:rFonts w:ascii="source serif 4" w:eastAsia="source serif 4" w:hAnsi="source serif 4" w:cs="source serif 4"/>
          <w:color w:val="000000"/>
          <w:sz w:val="18"/>
        </w:rPr>
        <w:t xml:space="preserve"> </w:t>
      </w:r>
    </w:p>
    <w:bookmarkStart w:id="175" w:name="fn23"/>
    <w:bookmarkEnd w:id="175"/>
    <w:p w14:paraId="0FD4EFD8" w14:textId="77777777" w:rsidR="00136201" w:rsidRDefault="00000000">
      <w:pPr>
        <w:numPr>
          <w:ilvl w:val="0"/>
          <w:numId w:val="17"/>
        </w:numPr>
        <w:spacing w:after="210" w:line="360" w:lineRule="auto"/>
      </w:pPr>
      <w:r>
        <w:fldChar w:fldCharType="begin"/>
      </w:r>
      <w:r>
        <w:instrText>HYPERLINK "https://pmc.ncbi.nlm.nih.gov/articles/PMC7680716/" \h</w:instrText>
      </w:r>
      <w:r>
        <w:fldChar w:fldCharType="separate"/>
      </w:r>
      <w:r>
        <w:rPr>
          <w:rFonts w:ascii="source sans 3" w:eastAsia="source sans 3" w:hAnsi="source sans 3" w:cs="source sans 3"/>
          <w:sz w:val="18"/>
          <w:u w:val="single"/>
        </w:rPr>
        <w:t>https://pmc.ncbi.nlm.nih.gov/articles/PMC7680716/</w:t>
      </w:r>
      <w:r>
        <w:fldChar w:fldCharType="end"/>
      </w:r>
      <w:r>
        <w:rPr>
          <w:rFonts w:ascii="source serif 4" w:eastAsia="source serif 4" w:hAnsi="source serif 4" w:cs="source serif 4"/>
          <w:color w:val="000000"/>
          <w:sz w:val="18"/>
        </w:rPr>
        <w:t xml:space="preserve"> </w:t>
      </w:r>
    </w:p>
    <w:bookmarkStart w:id="176" w:name="fn24"/>
    <w:bookmarkEnd w:id="176"/>
    <w:p w14:paraId="7701DEA6" w14:textId="77777777" w:rsidR="00136201" w:rsidRDefault="00000000">
      <w:pPr>
        <w:numPr>
          <w:ilvl w:val="0"/>
          <w:numId w:val="17"/>
        </w:numPr>
        <w:spacing w:after="210" w:line="360" w:lineRule="auto"/>
      </w:pPr>
      <w:r>
        <w:fldChar w:fldCharType="begin"/>
      </w:r>
      <w:r>
        <w:instrText>HYPERLINK "https://academic.oup.com/sf/article-abstract/99/1/e6/5781190" \h</w:instrText>
      </w:r>
      <w:r>
        <w:fldChar w:fldCharType="separate"/>
      </w:r>
      <w:r>
        <w:rPr>
          <w:rFonts w:ascii="source sans 3" w:eastAsia="source sans 3" w:hAnsi="source sans 3" w:cs="source sans 3"/>
          <w:sz w:val="18"/>
          <w:u w:val="single"/>
        </w:rPr>
        <w:t>https://academic.oup.com/sf/article-abstract/99/1/e6/5781190</w:t>
      </w:r>
      <w:r>
        <w:fldChar w:fldCharType="end"/>
      </w:r>
      <w:r>
        <w:rPr>
          <w:rFonts w:ascii="source serif 4" w:eastAsia="source serif 4" w:hAnsi="source serif 4" w:cs="source serif 4"/>
          <w:color w:val="000000"/>
          <w:sz w:val="18"/>
        </w:rPr>
        <w:t xml:space="preserve"> </w:t>
      </w:r>
    </w:p>
    <w:bookmarkStart w:id="177" w:name="fn25"/>
    <w:bookmarkEnd w:id="177"/>
    <w:p w14:paraId="1DC77474" w14:textId="77777777" w:rsidR="00136201" w:rsidRDefault="00000000">
      <w:pPr>
        <w:numPr>
          <w:ilvl w:val="0"/>
          <w:numId w:val="17"/>
        </w:numPr>
        <w:spacing w:after="210" w:line="360" w:lineRule="auto"/>
      </w:pPr>
      <w:r>
        <w:fldChar w:fldCharType="begin"/>
      </w:r>
      <w:r>
        <w:instrText>HYPERLINK "https://academic.oup.com/sf/article/99/1/e6/5781190?guestAccessKey=" \h</w:instrText>
      </w:r>
      <w:r>
        <w:fldChar w:fldCharType="separate"/>
      </w:r>
      <w:r>
        <w:rPr>
          <w:rFonts w:ascii="source sans 3" w:eastAsia="source sans 3" w:hAnsi="source sans 3" w:cs="source sans 3"/>
          <w:sz w:val="18"/>
          <w:u w:val="single"/>
        </w:rPr>
        <w:t>https://academic.oup.com/sf/article/99/1/e6/5781190?guestAccessKey=</w:t>
      </w:r>
      <w:r>
        <w:fldChar w:fldCharType="end"/>
      </w:r>
      <w:r>
        <w:rPr>
          <w:rFonts w:ascii="source serif 4" w:eastAsia="source serif 4" w:hAnsi="source serif 4" w:cs="source serif 4"/>
          <w:color w:val="000000"/>
          <w:sz w:val="18"/>
        </w:rPr>
        <w:t xml:space="preserve"> </w:t>
      </w:r>
    </w:p>
    <w:bookmarkStart w:id="178" w:name="fn26"/>
    <w:bookmarkEnd w:id="178"/>
    <w:p w14:paraId="07CB3A12" w14:textId="77777777" w:rsidR="00136201" w:rsidRDefault="00000000">
      <w:pPr>
        <w:numPr>
          <w:ilvl w:val="0"/>
          <w:numId w:val="17"/>
        </w:numPr>
        <w:spacing w:after="210" w:line="360" w:lineRule="auto"/>
      </w:pPr>
      <w:r>
        <w:fldChar w:fldCharType="begin"/>
      </w:r>
      <w:r>
        <w:instrText>HYPERLINK "https://academic.oup.com/ips/article/17/2/olad007/7094587" \h</w:instrText>
      </w:r>
      <w:r>
        <w:fldChar w:fldCharType="separate"/>
      </w:r>
      <w:r>
        <w:rPr>
          <w:rFonts w:ascii="source sans 3" w:eastAsia="source sans 3" w:hAnsi="source sans 3" w:cs="source sans 3"/>
          <w:sz w:val="18"/>
          <w:u w:val="single"/>
        </w:rPr>
        <w:t>https://academic.oup.com/ips/article/17/2/olad007/7094587</w:t>
      </w:r>
      <w:r>
        <w:fldChar w:fldCharType="end"/>
      </w:r>
      <w:r>
        <w:rPr>
          <w:rFonts w:ascii="source serif 4" w:eastAsia="source serif 4" w:hAnsi="source serif 4" w:cs="source serif 4"/>
          <w:color w:val="000000"/>
          <w:sz w:val="18"/>
        </w:rPr>
        <w:t xml:space="preserve"> </w:t>
      </w:r>
    </w:p>
    <w:bookmarkStart w:id="179" w:name="fn27"/>
    <w:bookmarkEnd w:id="179"/>
    <w:p w14:paraId="1A7F734C" w14:textId="77777777" w:rsidR="00136201" w:rsidRDefault="00000000">
      <w:pPr>
        <w:numPr>
          <w:ilvl w:val="0"/>
          <w:numId w:val="17"/>
        </w:numPr>
        <w:spacing w:after="210" w:line="360" w:lineRule="auto"/>
      </w:pPr>
      <w:r>
        <w:fldChar w:fldCharType="begin"/>
      </w:r>
      <w:r>
        <w:instrText>HYPERLINK "https://link.springer.com/chapter/10.1007/978-3-032-32070-4_4?error=cookies_not_supported&amp;code=31aa59ad-1ac6-48b8-99c9-9f5111c9e0bc" \h</w:instrText>
      </w:r>
      <w:r>
        <w:fldChar w:fldCharType="separate"/>
      </w:r>
      <w:r>
        <w:rPr>
          <w:rFonts w:ascii="source sans 3" w:eastAsia="source sans 3" w:hAnsi="source sans 3" w:cs="source sans 3"/>
          <w:sz w:val="18"/>
          <w:u w:val="single"/>
        </w:rPr>
        <w:t>https://link.springer.com/chapter/10.1007/978-3-032-32070-4_4?error=cookies_not_supported&amp;code=31aa59ad-1ac6-48b8-99c9-9f5111c9e0bc</w:t>
      </w:r>
      <w:r>
        <w:fldChar w:fldCharType="end"/>
      </w:r>
      <w:r>
        <w:rPr>
          <w:rFonts w:ascii="source serif 4" w:eastAsia="source serif 4" w:hAnsi="source serif 4" w:cs="source serif 4"/>
          <w:color w:val="000000"/>
          <w:sz w:val="18"/>
        </w:rPr>
        <w:t xml:space="preserve"> </w:t>
      </w:r>
    </w:p>
    <w:bookmarkStart w:id="180" w:name="fn28"/>
    <w:bookmarkEnd w:id="180"/>
    <w:p w14:paraId="2676EB46" w14:textId="77777777" w:rsidR="00136201" w:rsidRDefault="00000000">
      <w:pPr>
        <w:numPr>
          <w:ilvl w:val="0"/>
          <w:numId w:val="17"/>
        </w:numPr>
        <w:spacing w:after="210" w:line="360" w:lineRule="auto"/>
      </w:pPr>
      <w:r>
        <w:fldChar w:fldCharType="begin"/>
      </w:r>
      <w:r>
        <w:instrText>HYPERLINK "https://blogs.lse.ac.uk/lsereviewofbooks/2019/11/19/book-review-the-costs-of-connection-how-data-is-colonizing-human-life-and-appropriating-it-for-capitalism-by-nick-couldry-and-ulises-a-mejias/" \h</w:instrText>
      </w:r>
      <w:r>
        <w:fldChar w:fldCharType="separate"/>
      </w:r>
      <w:r>
        <w:rPr>
          <w:rFonts w:ascii="source sans 3" w:eastAsia="source sans 3" w:hAnsi="source sans 3" w:cs="source sans 3"/>
          <w:sz w:val="18"/>
          <w:u w:val="single"/>
        </w:rPr>
        <w:t>https://blogs.lse.ac.uk/lsereviewofbooks/2019/11/19/book-review-the-costs-of-connection-how-data-is-colonizing-human-life-and-appropriating-it-for-capitalism-by-nick-couldry-and-ulises-a-mejias/</w:t>
      </w:r>
      <w:r>
        <w:fldChar w:fldCharType="end"/>
      </w:r>
      <w:r>
        <w:rPr>
          <w:rFonts w:ascii="source serif 4" w:eastAsia="source serif 4" w:hAnsi="source serif 4" w:cs="source serif 4"/>
          <w:color w:val="000000"/>
          <w:sz w:val="18"/>
        </w:rPr>
        <w:t xml:space="preserve"> </w:t>
      </w:r>
    </w:p>
    <w:bookmarkStart w:id="181" w:name="fn29"/>
    <w:bookmarkEnd w:id="181"/>
    <w:p w14:paraId="3B2CACE7" w14:textId="77777777" w:rsidR="00136201" w:rsidRDefault="00000000">
      <w:pPr>
        <w:numPr>
          <w:ilvl w:val="0"/>
          <w:numId w:val="17"/>
        </w:numPr>
        <w:spacing w:after="210" w:line="360" w:lineRule="auto"/>
      </w:pPr>
      <w:r>
        <w:fldChar w:fldCharType="begin"/>
      </w:r>
      <w:r>
        <w:instrText>HYPERLINK "https://blogs.lse.ac.uk/usappblog/2019/11/24/book-review-the-costs-of-connection-how-data-is-colonizing-human-life-and-appropriating-it-for-capitalism-by-nick-couldry-and-ulises-a-mejias/" \h</w:instrText>
      </w:r>
      <w:r>
        <w:fldChar w:fldCharType="separate"/>
      </w:r>
      <w:r>
        <w:rPr>
          <w:rFonts w:ascii="source sans 3" w:eastAsia="source sans 3" w:hAnsi="source sans 3" w:cs="source sans 3"/>
          <w:sz w:val="18"/>
          <w:u w:val="single"/>
        </w:rPr>
        <w:t>https://blogs.lse.ac.uk/usappblog/2019/11/24/book-review-the-costs-of-connection-how-data-is-colonizing-human-life-and-appropriating-it-for-capitalism-by-nick-couldry-and-ulises-a-mejias/</w:t>
      </w:r>
      <w:r>
        <w:fldChar w:fldCharType="end"/>
      </w:r>
      <w:r>
        <w:rPr>
          <w:rFonts w:ascii="source serif 4" w:eastAsia="source serif 4" w:hAnsi="source serif 4" w:cs="source serif 4"/>
          <w:color w:val="000000"/>
          <w:sz w:val="18"/>
        </w:rPr>
        <w:t xml:space="preserve"> </w:t>
      </w:r>
    </w:p>
    <w:bookmarkStart w:id="182" w:name="fn30"/>
    <w:bookmarkEnd w:id="182"/>
    <w:p w14:paraId="3BF1F6E8" w14:textId="77777777" w:rsidR="00136201" w:rsidRDefault="00000000">
      <w:pPr>
        <w:numPr>
          <w:ilvl w:val="0"/>
          <w:numId w:val="17"/>
        </w:numPr>
        <w:spacing w:after="210" w:line="360" w:lineRule="auto"/>
      </w:pPr>
      <w:r>
        <w:fldChar w:fldCharType="begin"/>
      </w:r>
      <w:r>
        <w:instrText>HYPERLINK "https://researchonline.lse.ac.uk/id/eprint/111963/3/The_decolonial_turn_in_data_and_technology_research_what_is_at_stake_and_where_is_it_heading.pdf" \h</w:instrText>
      </w:r>
      <w:r>
        <w:fldChar w:fldCharType="separate"/>
      </w:r>
      <w:r>
        <w:rPr>
          <w:rFonts w:ascii="source sans 3" w:eastAsia="source sans 3" w:hAnsi="source sans 3" w:cs="source sans 3"/>
          <w:sz w:val="18"/>
          <w:u w:val="single"/>
        </w:rPr>
        <w:t>https://researchonline.lse.ac.uk/id/eprint/111963/3/The_decolonial_turn_in_data_and_technology_research_what_is_at_stake_and_where_is_it_heading.pdf</w:t>
      </w:r>
      <w:r>
        <w:fldChar w:fldCharType="end"/>
      </w:r>
      <w:r>
        <w:rPr>
          <w:rFonts w:ascii="source serif 4" w:eastAsia="source serif 4" w:hAnsi="source serif 4" w:cs="source serif 4"/>
          <w:color w:val="000000"/>
          <w:sz w:val="18"/>
        </w:rPr>
        <w:t xml:space="preserve"> </w:t>
      </w:r>
    </w:p>
    <w:bookmarkStart w:id="183" w:name="fn31"/>
    <w:bookmarkEnd w:id="183"/>
    <w:p w14:paraId="4C99E5B7" w14:textId="77777777" w:rsidR="00136201" w:rsidRDefault="00000000">
      <w:pPr>
        <w:numPr>
          <w:ilvl w:val="0"/>
          <w:numId w:val="17"/>
        </w:numPr>
        <w:spacing w:after="210" w:line="360" w:lineRule="auto"/>
      </w:pPr>
      <w:r>
        <w:fldChar w:fldCharType="begin"/>
      </w:r>
      <w:r>
        <w:instrText>HYPERLINK "https://journals.univie.ac.at/index.php/mp/article/download/9881/10227/32678" \h</w:instrText>
      </w:r>
      <w:r>
        <w:fldChar w:fldCharType="separate"/>
      </w:r>
      <w:r>
        <w:rPr>
          <w:rFonts w:ascii="source sans 3" w:eastAsia="source sans 3" w:hAnsi="source sans 3" w:cs="source sans 3"/>
          <w:sz w:val="18"/>
          <w:u w:val="single"/>
        </w:rPr>
        <w:t>https://journals.univie.ac.at/index.php/mp/article/download/9881/10227/32678</w:t>
      </w:r>
      <w:r>
        <w:fldChar w:fldCharType="end"/>
      </w:r>
      <w:r>
        <w:rPr>
          <w:rFonts w:ascii="source serif 4" w:eastAsia="source serif 4" w:hAnsi="source serif 4" w:cs="source serif 4"/>
          <w:color w:val="000000"/>
          <w:sz w:val="18"/>
        </w:rPr>
        <w:t xml:space="preserve"> </w:t>
      </w:r>
    </w:p>
    <w:bookmarkStart w:id="184" w:name="fn32"/>
    <w:bookmarkEnd w:id="184"/>
    <w:p w14:paraId="470E899A" w14:textId="77777777" w:rsidR="00136201" w:rsidRDefault="00000000">
      <w:pPr>
        <w:numPr>
          <w:ilvl w:val="0"/>
          <w:numId w:val="17"/>
        </w:numPr>
        <w:spacing w:after="210" w:line="360" w:lineRule="auto"/>
      </w:pPr>
      <w:r>
        <w:fldChar w:fldCharType="begin"/>
      </w:r>
      <w:r>
        <w:instrText>HYPERLINK "https://bristoluniversitypressdigital.com/edcollchap-oa/book/9781529238327/ch006.xml" \h</w:instrText>
      </w:r>
      <w:r>
        <w:fldChar w:fldCharType="separate"/>
      </w:r>
      <w:r>
        <w:rPr>
          <w:rFonts w:ascii="source sans 3" w:eastAsia="source sans 3" w:hAnsi="source sans 3" w:cs="source sans 3"/>
          <w:sz w:val="18"/>
          <w:u w:val="single"/>
        </w:rPr>
        <w:t>https://bristoluniversitypressdigital.com/edcollchap-oa/book/9781529238327/ch006.xml</w:t>
      </w:r>
      <w:r>
        <w:fldChar w:fldCharType="end"/>
      </w:r>
      <w:r>
        <w:rPr>
          <w:rFonts w:ascii="source serif 4" w:eastAsia="source serif 4" w:hAnsi="source serif 4" w:cs="source serif 4"/>
          <w:color w:val="000000"/>
          <w:sz w:val="18"/>
        </w:rPr>
        <w:t xml:space="preserve"> </w:t>
      </w:r>
    </w:p>
    <w:bookmarkStart w:id="185" w:name="fn33"/>
    <w:bookmarkEnd w:id="185"/>
    <w:p w14:paraId="13C1B6E9" w14:textId="77777777" w:rsidR="00136201" w:rsidRDefault="00000000">
      <w:pPr>
        <w:numPr>
          <w:ilvl w:val="0"/>
          <w:numId w:val="17"/>
        </w:numPr>
        <w:spacing w:after="210" w:line="360" w:lineRule="auto"/>
      </w:pPr>
      <w:r>
        <w:fldChar w:fldCharType="begin"/>
      </w:r>
      <w:r>
        <w:instrText>HYPERLINK "https://pioneersofhumanbehaviour.com/viktor-frankl/" \h</w:instrText>
      </w:r>
      <w:r>
        <w:fldChar w:fldCharType="separate"/>
      </w:r>
      <w:r>
        <w:rPr>
          <w:rFonts w:ascii="source sans 3" w:eastAsia="source sans 3" w:hAnsi="source sans 3" w:cs="source sans 3"/>
          <w:sz w:val="18"/>
          <w:u w:val="single"/>
        </w:rPr>
        <w:t>https://pioneersofhumanbehaviour.com/viktor-frankl/</w:t>
      </w:r>
      <w:r>
        <w:fldChar w:fldCharType="end"/>
      </w:r>
      <w:r>
        <w:rPr>
          <w:rFonts w:ascii="source serif 4" w:eastAsia="source serif 4" w:hAnsi="source serif 4" w:cs="source serif 4"/>
          <w:color w:val="000000"/>
          <w:sz w:val="18"/>
        </w:rPr>
        <w:t xml:space="preserve"> </w:t>
      </w:r>
    </w:p>
    <w:bookmarkStart w:id="186" w:name="fn34"/>
    <w:bookmarkEnd w:id="186"/>
    <w:p w14:paraId="0992B395" w14:textId="77777777" w:rsidR="00136201" w:rsidRDefault="00000000">
      <w:pPr>
        <w:numPr>
          <w:ilvl w:val="0"/>
          <w:numId w:val="17"/>
        </w:numPr>
        <w:spacing w:after="210" w:line="360" w:lineRule="auto"/>
      </w:pPr>
      <w:r>
        <w:fldChar w:fldCharType="begin"/>
      </w:r>
      <w:r>
        <w:instrText>HYPERLINK "https://zaraapsychology.com/bibliotheque/algzaa-althany-althdy-alrahn-tfkyk-rasmaly-almrakb-fy-doaa-alnmothg-alnfsy-alastkhlafy" \h</w:instrText>
      </w:r>
      <w:r>
        <w:fldChar w:fldCharType="separate"/>
      </w:r>
      <w:r>
        <w:rPr>
          <w:rFonts w:ascii="source sans 3" w:eastAsia="source sans 3" w:hAnsi="source sans 3" w:cs="source sans 3"/>
          <w:sz w:val="18"/>
          <w:u w:val="single"/>
        </w:rPr>
        <w:t>https://zaraapsychology.com/bibliotheque/algzaa-althany-althdy-alrahn-tfkyk-rasmaly-almrakb-fy-doaa-alnmothg-alnfsy-alastkhlafy</w:t>
      </w:r>
      <w:r>
        <w:fldChar w:fldCharType="end"/>
      </w:r>
      <w:r>
        <w:rPr>
          <w:rFonts w:ascii="source serif 4" w:eastAsia="source serif 4" w:hAnsi="source serif 4" w:cs="source serif 4"/>
          <w:color w:val="000000"/>
          <w:sz w:val="18"/>
        </w:rPr>
        <w:t xml:space="preserve">       </w:t>
      </w:r>
    </w:p>
    <w:bookmarkStart w:id="187" w:name="fn35"/>
    <w:bookmarkEnd w:id="187"/>
    <w:p w14:paraId="5C0011AD" w14:textId="77777777" w:rsidR="00136201" w:rsidRDefault="00000000">
      <w:pPr>
        <w:numPr>
          <w:ilvl w:val="0"/>
          <w:numId w:val="17"/>
        </w:numPr>
        <w:spacing w:after="210" w:line="360" w:lineRule="auto"/>
      </w:pPr>
      <w:r>
        <w:fldChar w:fldCharType="begin"/>
      </w:r>
      <w:r>
        <w:instrText>HYPERLINK "https://www.zaraapsychology.com/articles/alansan-byn-alkhoarzmy-oalohy" \h</w:instrText>
      </w:r>
      <w:r>
        <w:fldChar w:fldCharType="separate"/>
      </w:r>
      <w:r>
        <w:rPr>
          <w:rFonts w:ascii="source sans 3" w:eastAsia="source sans 3" w:hAnsi="source sans 3" w:cs="source sans 3"/>
          <w:sz w:val="18"/>
          <w:u w:val="single"/>
        </w:rPr>
        <w:t>https://www.zaraapsychology.com/articles/alansan-byn-alkhoarzmy-oalohy</w:t>
      </w:r>
      <w:r>
        <w:fldChar w:fldCharType="end"/>
      </w:r>
      <w:r>
        <w:rPr>
          <w:rFonts w:ascii="source serif 4" w:eastAsia="source serif 4" w:hAnsi="source serif 4" w:cs="source serif 4"/>
          <w:color w:val="000000"/>
          <w:sz w:val="18"/>
        </w:rPr>
        <w:t xml:space="preserve">             </w:t>
      </w:r>
    </w:p>
    <w:bookmarkStart w:id="188" w:name="fn36"/>
    <w:bookmarkEnd w:id="188"/>
    <w:p w14:paraId="09B2FCAF" w14:textId="77777777" w:rsidR="00136201" w:rsidRDefault="00000000">
      <w:pPr>
        <w:numPr>
          <w:ilvl w:val="0"/>
          <w:numId w:val="17"/>
        </w:numPr>
        <w:spacing w:after="210" w:line="360" w:lineRule="auto"/>
      </w:pPr>
      <w:r>
        <w:fldChar w:fldCharType="begin"/>
      </w:r>
      <w:r>
        <w:instrText>HYPERLINK "https://www.uio.no/studier/emner/matnat/ifi/IN5390/h22/readings/couldry---mejias-(2019).pdf" \h</w:instrText>
      </w:r>
      <w:r>
        <w:fldChar w:fldCharType="separate"/>
      </w:r>
      <w:r>
        <w:rPr>
          <w:rFonts w:ascii="source sans 3" w:eastAsia="source sans 3" w:hAnsi="source sans 3" w:cs="source sans 3"/>
          <w:sz w:val="18"/>
          <w:u w:val="single"/>
        </w:rPr>
        <w:t>https://www.uio.no/studier/emner/matnat/ifi/IN5390/h22/readings/couldry---mejias-(2019).pdf</w:t>
      </w:r>
      <w:r>
        <w:fldChar w:fldCharType="end"/>
      </w:r>
      <w:r>
        <w:rPr>
          <w:rFonts w:ascii="source serif 4" w:eastAsia="source serif 4" w:hAnsi="source serif 4" w:cs="source serif 4"/>
          <w:color w:val="000000"/>
          <w:sz w:val="18"/>
        </w:rPr>
        <w:t xml:space="preserve">   </w:t>
      </w:r>
    </w:p>
    <w:bookmarkStart w:id="189" w:name="fn37"/>
    <w:bookmarkEnd w:id="189"/>
    <w:p w14:paraId="32946917" w14:textId="77777777" w:rsidR="00136201" w:rsidRDefault="00000000">
      <w:pPr>
        <w:numPr>
          <w:ilvl w:val="0"/>
          <w:numId w:val="17"/>
        </w:numPr>
        <w:spacing w:after="210" w:line="360" w:lineRule="auto"/>
      </w:pPr>
      <w:r>
        <w:fldChar w:fldCharType="begin"/>
      </w:r>
      <w:r>
        <w:instrText>HYPERLINK "https://researchonline.lse.ac.uk/id/eprint/101339/3/Internet_Policy_Review_Making_data_colonialism_liveable_how_might_data_s_social_order_be_regulated_2019_07_17.pdf" \h</w:instrText>
      </w:r>
      <w:r>
        <w:fldChar w:fldCharType="separate"/>
      </w:r>
      <w:r>
        <w:rPr>
          <w:rFonts w:ascii="source sans 3" w:eastAsia="source sans 3" w:hAnsi="source sans 3" w:cs="source sans 3"/>
          <w:sz w:val="18"/>
          <w:u w:val="single"/>
        </w:rPr>
        <w:t>https://researchonline.lse.ac.uk/id/eprint/101339/3/Internet_Policy_Review_Making_data_colonialism_liveable_how_might_data_s_social_order_be_regulated_2019_07_17.pdf</w:t>
      </w:r>
      <w:r>
        <w:fldChar w:fldCharType="end"/>
      </w:r>
      <w:r>
        <w:rPr>
          <w:rFonts w:ascii="source serif 4" w:eastAsia="source serif 4" w:hAnsi="source serif 4" w:cs="source serif 4"/>
          <w:color w:val="000000"/>
          <w:sz w:val="18"/>
        </w:rPr>
        <w:t xml:space="preserve">  </w:t>
      </w:r>
    </w:p>
    <w:bookmarkStart w:id="190" w:name="fn38"/>
    <w:bookmarkEnd w:id="190"/>
    <w:p w14:paraId="029074F2" w14:textId="77777777" w:rsidR="00136201" w:rsidRDefault="00000000">
      <w:pPr>
        <w:numPr>
          <w:ilvl w:val="0"/>
          <w:numId w:val="17"/>
        </w:numPr>
        <w:spacing w:after="210" w:line="360" w:lineRule="auto"/>
      </w:pPr>
      <w:r>
        <w:fldChar w:fldCharType="begin"/>
      </w:r>
      <w:r>
        <w:instrText>HYPERLINK "https://www.who.int/health-topics/depression" \h</w:instrText>
      </w:r>
      <w:r>
        <w:fldChar w:fldCharType="separate"/>
      </w:r>
      <w:r>
        <w:rPr>
          <w:rFonts w:ascii="source sans 3" w:eastAsia="source sans 3" w:hAnsi="source sans 3" w:cs="source sans 3"/>
          <w:sz w:val="18"/>
          <w:u w:val="single"/>
        </w:rPr>
        <w:t>https://www.who.int/health-topics/depression</w:t>
      </w:r>
      <w:r>
        <w:fldChar w:fldCharType="end"/>
      </w:r>
      <w:r>
        <w:rPr>
          <w:rFonts w:ascii="source serif 4" w:eastAsia="source serif 4" w:hAnsi="source serif 4" w:cs="source serif 4"/>
          <w:color w:val="000000"/>
          <w:sz w:val="18"/>
        </w:rPr>
        <w:t xml:space="preserve">  </w:t>
      </w:r>
    </w:p>
    <w:bookmarkStart w:id="191" w:name="fn39"/>
    <w:bookmarkEnd w:id="191"/>
    <w:p w14:paraId="7AE3165E" w14:textId="77777777" w:rsidR="00136201" w:rsidRDefault="00000000">
      <w:pPr>
        <w:numPr>
          <w:ilvl w:val="0"/>
          <w:numId w:val="17"/>
        </w:numPr>
        <w:spacing w:after="210" w:line="360" w:lineRule="auto"/>
      </w:pPr>
      <w:r>
        <w:fldChar w:fldCharType="begin"/>
      </w:r>
      <w:r>
        <w:instrText>HYPERLINK "https://www.who.int/news-room/fact-sheets/detail/depression" \h</w:instrText>
      </w:r>
      <w:r>
        <w:fldChar w:fldCharType="separate"/>
      </w:r>
      <w:r>
        <w:rPr>
          <w:rFonts w:ascii="source sans 3" w:eastAsia="source sans 3" w:hAnsi="source sans 3" w:cs="source sans 3"/>
          <w:sz w:val="18"/>
          <w:u w:val="single"/>
        </w:rPr>
        <w:t>https://www.who.int/news-room/fact-sheets/detail/depression</w:t>
      </w:r>
      <w:r>
        <w:fldChar w:fldCharType="end"/>
      </w:r>
      <w:r>
        <w:rPr>
          <w:rFonts w:ascii="source serif 4" w:eastAsia="source serif 4" w:hAnsi="source serif 4" w:cs="source serif 4"/>
          <w:color w:val="000000"/>
          <w:sz w:val="18"/>
        </w:rPr>
        <w:t xml:space="preserve">  </w:t>
      </w:r>
    </w:p>
    <w:bookmarkStart w:id="192" w:name="fn40"/>
    <w:bookmarkEnd w:id="192"/>
    <w:p w14:paraId="74DE05AA" w14:textId="77777777" w:rsidR="00136201" w:rsidRDefault="00000000">
      <w:pPr>
        <w:numPr>
          <w:ilvl w:val="0"/>
          <w:numId w:val="17"/>
        </w:numPr>
        <w:spacing w:after="210" w:line="360" w:lineRule="auto"/>
      </w:pPr>
      <w:r>
        <w:fldChar w:fldCharType="begin"/>
      </w:r>
      <w:r>
        <w:instrText>HYPERLINK "https://www.nature.com/articles/s41598-025-90984-3" \h</w:instrText>
      </w:r>
      <w:r>
        <w:fldChar w:fldCharType="separate"/>
      </w:r>
      <w:r>
        <w:rPr>
          <w:rFonts w:ascii="source sans 3" w:eastAsia="source sans 3" w:hAnsi="source sans 3" w:cs="source sans 3"/>
          <w:sz w:val="18"/>
          <w:u w:val="single"/>
        </w:rPr>
        <w:t>https://www.nature.com/articles/s41598-025-90984-3</w:t>
      </w:r>
      <w:r>
        <w:fldChar w:fldCharType="end"/>
      </w:r>
      <w:r>
        <w:rPr>
          <w:rFonts w:ascii="source serif 4" w:eastAsia="source serif 4" w:hAnsi="source serif 4" w:cs="source serif 4"/>
          <w:color w:val="000000"/>
          <w:sz w:val="18"/>
        </w:rPr>
        <w:t xml:space="preserve">  </w:t>
      </w:r>
    </w:p>
    <w:bookmarkStart w:id="193" w:name="fn41"/>
    <w:bookmarkEnd w:id="193"/>
    <w:p w14:paraId="048C42B9" w14:textId="77777777" w:rsidR="00136201" w:rsidRDefault="00000000">
      <w:pPr>
        <w:numPr>
          <w:ilvl w:val="0"/>
          <w:numId w:val="17"/>
        </w:numPr>
        <w:spacing w:after="210" w:line="360" w:lineRule="auto"/>
      </w:pPr>
      <w:r>
        <w:fldChar w:fldCharType="begin"/>
      </w:r>
      <w:r>
        <w:instrText>HYPERLINK "https://www.rti.org/publication/the-effects-of-social-media-restriction-meta-analytic-evidence-fr" \h</w:instrText>
      </w:r>
      <w:r>
        <w:fldChar w:fldCharType="separate"/>
      </w:r>
      <w:r>
        <w:rPr>
          <w:rFonts w:ascii="source sans 3" w:eastAsia="source sans 3" w:hAnsi="source sans 3" w:cs="source sans 3"/>
          <w:sz w:val="18"/>
          <w:u w:val="single"/>
        </w:rPr>
        <w:t>https://www.rti.org/publication/the-effects-of-social-media-restriction-meta-analytic-evidence-fr</w:t>
      </w:r>
      <w:r>
        <w:fldChar w:fldCharType="end"/>
      </w:r>
      <w:r>
        <w:rPr>
          <w:rFonts w:ascii="source serif 4" w:eastAsia="source serif 4" w:hAnsi="source serif 4" w:cs="source serif 4"/>
          <w:color w:val="000000"/>
          <w:sz w:val="18"/>
        </w:rPr>
        <w:t xml:space="preserve">  </w:t>
      </w:r>
    </w:p>
    <w:bookmarkStart w:id="194" w:name="fn42"/>
    <w:bookmarkEnd w:id="194"/>
    <w:p w14:paraId="13E85F58" w14:textId="77777777" w:rsidR="00136201" w:rsidRDefault="00000000">
      <w:pPr>
        <w:numPr>
          <w:ilvl w:val="0"/>
          <w:numId w:val="17"/>
        </w:numPr>
        <w:spacing w:after="210" w:line="360" w:lineRule="auto"/>
      </w:pPr>
      <w:r>
        <w:fldChar w:fldCharType="begin"/>
      </w:r>
      <w:r>
        <w:instrText>HYPERLINK "https://academic.oup.com/sf/article-abstract/99/1/e6/5781190" \h</w:instrText>
      </w:r>
      <w:r>
        <w:fldChar w:fldCharType="separate"/>
      </w:r>
      <w:r>
        <w:rPr>
          <w:rFonts w:ascii="source sans 3" w:eastAsia="source sans 3" w:hAnsi="source sans 3" w:cs="source sans 3"/>
          <w:sz w:val="18"/>
          <w:u w:val="single"/>
        </w:rPr>
        <w:t>https://academic.oup.com/sf/article-abstract/99/1/e6/5781190</w:t>
      </w:r>
      <w:r>
        <w:fldChar w:fldCharType="end"/>
      </w:r>
      <w:r>
        <w:rPr>
          <w:rFonts w:ascii="source serif 4" w:eastAsia="source serif 4" w:hAnsi="source serif 4" w:cs="source serif 4"/>
          <w:color w:val="000000"/>
          <w:sz w:val="18"/>
        </w:rPr>
        <w:t xml:space="preserve"> </w:t>
      </w:r>
    </w:p>
    <w:p w14:paraId="549E65EB" w14:textId="77777777" w:rsidR="00136201" w:rsidRDefault="00000000">
      <w:pPr>
        <w:numPr>
          <w:ilvl w:val="0"/>
          <w:numId w:val="17"/>
        </w:numPr>
        <w:spacing w:after="210" w:line="360" w:lineRule="auto"/>
      </w:pPr>
      <w:bookmarkStart w:id="195" w:name="fn43"/>
      <w:bookmarkEnd w:id="195"/>
      <w:proofErr w:type="spellStart"/>
      <w:r>
        <w:rPr>
          <w:rFonts w:ascii="source serif 4" w:eastAsia="source serif 4" w:hAnsi="source serif 4" w:cs="source serif 4"/>
          <w:color w:val="000000"/>
          <w:sz w:val="18"/>
        </w:rPr>
        <w:t>st-mr-lkhwrzmyt.docx</w:t>
      </w:r>
      <w:proofErr w:type="spellEnd"/>
      <w:r>
        <w:rPr>
          <w:rFonts w:ascii="source serif 4" w:eastAsia="source serif 4" w:hAnsi="source serif 4" w:cs="source serif 4"/>
          <w:color w:val="000000"/>
          <w:sz w:val="18"/>
        </w:rPr>
        <w:t xml:space="preserve"> </w:t>
      </w:r>
    </w:p>
    <w:sectPr w:rsidR="00136201">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ource serif 4">
    <w:altName w:val="Cambria"/>
    <w:charset w:val="00"/>
    <w:family w:val="roman"/>
    <w:notTrueType/>
    <w:pitch w:val="default"/>
  </w:font>
  <w:font w:name="source sans 3">
    <w:altName w:val="Cambria"/>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31CC5"/>
    <w:multiLevelType w:val="hybridMultilevel"/>
    <w:tmpl w:val="FFFFFFFF"/>
    <w:lvl w:ilvl="0" w:tplc="C0DC48A6">
      <w:numFmt w:val="decimal"/>
      <w:lvlText w:val=""/>
      <w:lvlJc w:val="left"/>
    </w:lvl>
    <w:lvl w:ilvl="1" w:tplc="6A967B56">
      <w:numFmt w:val="decimal"/>
      <w:lvlText w:val=""/>
      <w:lvlJc w:val="left"/>
    </w:lvl>
    <w:lvl w:ilvl="2" w:tplc="39561780">
      <w:numFmt w:val="decimal"/>
      <w:lvlText w:val=""/>
      <w:lvlJc w:val="left"/>
    </w:lvl>
    <w:lvl w:ilvl="3" w:tplc="F138A622">
      <w:numFmt w:val="decimal"/>
      <w:lvlText w:val=""/>
      <w:lvlJc w:val="left"/>
    </w:lvl>
    <w:lvl w:ilvl="4" w:tplc="0CF8DFFE">
      <w:numFmt w:val="decimal"/>
      <w:lvlText w:val=""/>
      <w:lvlJc w:val="left"/>
    </w:lvl>
    <w:lvl w:ilvl="5" w:tplc="AB08C3E0">
      <w:numFmt w:val="decimal"/>
      <w:lvlText w:val=""/>
      <w:lvlJc w:val="left"/>
    </w:lvl>
    <w:lvl w:ilvl="6" w:tplc="041E5138">
      <w:numFmt w:val="decimal"/>
      <w:lvlText w:val=""/>
      <w:lvlJc w:val="left"/>
    </w:lvl>
    <w:lvl w:ilvl="7" w:tplc="3816F488">
      <w:numFmt w:val="decimal"/>
      <w:lvlText w:val=""/>
      <w:lvlJc w:val="left"/>
    </w:lvl>
    <w:lvl w:ilvl="8" w:tplc="D0084F96">
      <w:numFmt w:val="decimal"/>
      <w:lvlText w:val=""/>
      <w:lvlJc w:val="left"/>
    </w:lvl>
  </w:abstractNum>
  <w:abstractNum w:abstractNumId="1" w15:restartNumberingAfterBreak="0">
    <w:nsid w:val="17013A4E"/>
    <w:multiLevelType w:val="hybridMultilevel"/>
    <w:tmpl w:val="FFFFFFFF"/>
    <w:lvl w:ilvl="0" w:tplc="19C2869E">
      <w:start w:val="1"/>
      <w:numFmt w:val="bullet"/>
      <w:lvlText w:val=""/>
      <w:lvlJc w:val="left"/>
      <w:pPr>
        <w:tabs>
          <w:tab w:val="num" w:pos="900"/>
        </w:tabs>
        <w:ind w:left="540" w:hanging="360"/>
      </w:pPr>
      <w:rPr>
        <w:rFonts w:ascii="Symbol" w:hAnsi="Symbol" w:hint="default"/>
      </w:rPr>
    </w:lvl>
    <w:lvl w:ilvl="1" w:tplc="BAD04C46">
      <w:numFmt w:val="decimal"/>
      <w:lvlText w:val=""/>
      <w:lvlJc w:val="left"/>
    </w:lvl>
    <w:lvl w:ilvl="2" w:tplc="8D62607E">
      <w:numFmt w:val="decimal"/>
      <w:lvlText w:val=""/>
      <w:lvlJc w:val="left"/>
    </w:lvl>
    <w:lvl w:ilvl="3" w:tplc="18B42BFC">
      <w:numFmt w:val="decimal"/>
      <w:lvlText w:val=""/>
      <w:lvlJc w:val="left"/>
    </w:lvl>
    <w:lvl w:ilvl="4" w:tplc="A734EDEC">
      <w:numFmt w:val="decimal"/>
      <w:lvlText w:val=""/>
      <w:lvlJc w:val="left"/>
    </w:lvl>
    <w:lvl w:ilvl="5" w:tplc="014283AC">
      <w:numFmt w:val="decimal"/>
      <w:lvlText w:val=""/>
      <w:lvlJc w:val="left"/>
    </w:lvl>
    <w:lvl w:ilvl="6" w:tplc="04B27E30">
      <w:numFmt w:val="decimal"/>
      <w:lvlText w:val=""/>
      <w:lvlJc w:val="left"/>
    </w:lvl>
    <w:lvl w:ilvl="7" w:tplc="887EAB8E">
      <w:numFmt w:val="decimal"/>
      <w:lvlText w:val=""/>
      <w:lvlJc w:val="left"/>
    </w:lvl>
    <w:lvl w:ilvl="8" w:tplc="F768E93E">
      <w:numFmt w:val="decimal"/>
      <w:lvlText w:val=""/>
      <w:lvlJc w:val="left"/>
    </w:lvl>
  </w:abstractNum>
  <w:abstractNum w:abstractNumId="2" w15:restartNumberingAfterBreak="0">
    <w:nsid w:val="195F0955"/>
    <w:multiLevelType w:val="hybridMultilevel"/>
    <w:tmpl w:val="FFFFFFFF"/>
    <w:lvl w:ilvl="0" w:tplc="4C224078">
      <w:start w:val="1"/>
      <w:numFmt w:val="decimal"/>
      <w:lvlText w:val="%1."/>
      <w:lvlJc w:val="left"/>
      <w:pPr>
        <w:tabs>
          <w:tab w:val="num" w:pos="900"/>
        </w:tabs>
        <w:ind w:left="540" w:hanging="360"/>
      </w:pPr>
    </w:lvl>
    <w:lvl w:ilvl="1" w:tplc="9DCAD412">
      <w:numFmt w:val="decimal"/>
      <w:lvlText w:val=""/>
      <w:lvlJc w:val="left"/>
    </w:lvl>
    <w:lvl w:ilvl="2" w:tplc="3D9262E4">
      <w:numFmt w:val="decimal"/>
      <w:lvlText w:val=""/>
      <w:lvlJc w:val="left"/>
    </w:lvl>
    <w:lvl w:ilvl="3" w:tplc="342243A0">
      <w:numFmt w:val="decimal"/>
      <w:lvlText w:val=""/>
      <w:lvlJc w:val="left"/>
    </w:lvl>
    <w:lvl w:ilvl="4" w:tplc="BFE681D4">
      <w:numFmt w:val="decimal"/>
      <w:lvlText w:val=""/>
      <w:lvlJc w:val="left"/>
    </w:lvl>
    <w:lvl w:ilvl="5" w:tplc="0D967E10">
      <w:numFmt w:val="decimal"/>
      <w:lvlText w:val=""/>
      <w:lvlJc w:val="left"/>
    </w:lvl>
    <w:lvl w:ilvl="6" w:tplc="BD3C1C40">
      <w:numFmt w:val="decimal"/>
      <w:lvlText w:val=""/>
      <w:lvlJc w:val="left"/>
    </w:lvl>
    <w:lvl w:ilvl="7" w:tplc="21E495EA">
      <w:numFmt w:val="decimal"/>
      <w:lvlText w:val=""/>
      <w:lvlJc w:val="left"/>
    </w:lvl>
    <w:lvl w:ilvl="8" w:tplc="D48EF9CE">
      <w:numFmt w:val="decimal"/>
      <w:lvlText w:val=""/>
      <w:lvlJc w:val="left"/>
    </w:lvl>
  </w:abstractNum>
  <w:abstractNum w:abstractNumId="3" w15:restartNumberingAfterBreak="0">
    <w:nsid w:val="250914FB"/>
    <w:multiLevelType w:val="hybridMultilevel"/>
    <w:tmpl w:val="FFFFFFFF"/>
    <w:lvl w:ilvl="0" w:tplc="1C48444C">
      <w:start w:val="1"/>
      <w:numFmt w:val="bullet"/>
      <w:lvlText w:val=""/>
      <w:lvlJc w:val="left"/>
      <w:pPr>
        <w:tabs>
          <w:tab w:val="num" w:pos="900"/>
        </w:tabs>
        <w:ind w:left="540" w:hanging="360"/>
      </w:pPr>
      <w:rPr>
        <w:rFonts w:ascii="Symbol" w:hAnsi="Symbol" w:hint="default"/>
      </w:rPr>
    </w:lvl>
    <w:lvl w:ilvl="1" w:tplc="7C787AF0">
      <w:numFmt w:val="decimal"/>
      <w:lvlText w:val=""/>
      <w:lvlJc w:val="left"/>
    </w:lvl>
    <w:lvl w:ilvl="2" w:tplc="EAEE2E70">
      <w:numFmt w:val="decimal"/>
      <w:lvlText w:val=""/>
      <w:lvlJc w:val="left"/>
    </w:lvl>
    <w:lvl w:ilvl="3" w:tplc="0C707972">
      <w:numFmt w:val="decimal"/>
      <w:lvlText w:val=""/>
      <w:lvlJc w:val="left"/>
    </w:lvl>
    <w:lvl w:ilvl="4" w:tplc="78A6F4F0">
      <w:numFmt w:val="decimal"/>
      <w:lvlText w:val=""/>
      <w:lvlJc w:val="left"/>
    </w:lvl>
    <w:lvl w:ilvl="5" w:tplc="312CB1BA">
      <w:numFmt w:val="decimal"/>
      <w:lvlText w:val=""/>
      <w:lvlJc w:val="left"/>
    </w:lvl>
    <w:lvl w:ilvl="6" w:tplc="BFBE7884">
      <w:numFmt w:val="decimal"/>
      <w:lvlText w:val=""/>
      <w:lvlJc w:val="left"/>
    </w:lvl>
    <w:lvl w:ilvl="7" w:tplc="DB44753E">
      <w:numFmt w:val="decimal"/>
      <w:lvlText w:val=""/>
      <w:lvlJc w:val="left"/>
    </w:lvl>
    <w:lvl w:ilvl="8" w:tplc="63B4842C">
      <w:numFmt w:val="decimal"/>
      <w:lvlText w:val=""/>
      <w:lvlJc w:val="left"/>
    </w:lvl>
  </w:abstractNum>
  <w:abstractNum w:abstractNumId="4" w15:restartNumberingAfterBreak="0">
    <w:nsid w:val="2E8445CA"/>
    <w:multiLevelType w:val="hybridMultilevel"/>
    <w:tmpl w:val="FFFFFFFF"/>
    <w:lvl w:ilvl="0" w:tplc="19BEDE5C">
      <w:start w:val="1"/>
      <w:numFmt w:val="decimal"/>
      <w:lvlText w:val="%1."/>
      <w:lvlJc w:val="left"/>
      <w:pPr>
        <w:tabs>
          <w:tab w:val="num" w:pos="900"/>
        </w:tabs>
        <w:ind w:left="540" w:hanging="360"/>
      </w:pPr>
    </w:lvl>
    <w:lvl w:ilvl="1" w:tplc="2C46F794">
      <w:numFmt w:val="decimal"/>
      <w:lvlText w:val=""/>
      <w:lvlJc w:val="left"/>
    </w:lvl>
    <w:lvl w:ilvl="2" w:tplc="B09CE33E">
      <w:numFmt w:val="decimal"/>
      <w:lvlText w:val=""/>
      <w:lvlJc w:val="left"/>
    </w:lvl>
    <w:lvl w:ilvl="3" w:tplc="7B328B5A">
      <w:numFmt w:val="decimal"/>
      <w:lvlText w:val=""/>
      <w:lvlJc w:val="left"/>
    </w:lvl>
    <w:lvl w:ilvl="4" w:tplc="5FBE7EA0">
      <w:numFmt w:val="decimal"/>
      <w:lvlText w:val=""/>
      <w:lvlJc w:val="left"/>
    </w:lvl>
    <w:lvl w:ilvl="5" w:tplc="6494D92E">
      <w:numFmt w:val="decimal"/>
      <w:lvlText w:val=""/>
      <w:lvlJc w:val="left"/>
    </w:lvl>
    <w:lvl w:ilvl="6" w:tplc="40B6145C">
      <w:numFmt w:val="decimal"/>
      <w:lvlText w:val=""/>
      <w:lvlJc w:val="left"/>
    </w:lvl>
    <w:lvl w:ilvl="7" w:tplc="6F86D302">
      <w:numFmt w:val="decimal"/>
      <w:lvlText w:val=""/>
      <w:lvlJc w:val="left"/>
    </w:lvl>
    <w:lvl w:ilvl="8" w:tplc="75607696">
      <w:numFmt w:val="decimal"/>
      <w:lvlText w:val=""/>
      <w:lvlJc w:val="left"/>
    </w:lvl>
  </w:abstractNum>
  <w:abstractNum w:abstractNumId="5" w15:restartNumberingAfterBreak="0">
    <w:nsid w:val="35717746"/>
    <w:multiLevelType w:val="hybridMultilevel"/>
    <w:tmpl w:val="FFFFFFFF"/>
    <w:lvl w:ilvl="0" w:tplc="2512A41E">
      <w:start w:val="1"/>
      <w:numFmt w:val="decimal"/>
      <w:lvlText w:val="%1."/>
      <w:lvlJc w:val="left"/>
      <w:pPr>
        <w:tabs>
          <w:tab w:val="num" w:pos="900"/>
        </w:tabs>
        <w:ind w:left="540" w:hanging="360"/>
      </w:pPr>
    </w:lvl>
    <w:lvl w:ilvl="1" w:tplc="AC6C2B34">
      <w:numFmt w:val="decimal"/>
      <w:lvlText w:val=""/>
      <w:lvlJc w:val="left"/>
    </w:lvl>
    <w:lvl w:ilvl="2" w:tplc="F1481364">
      <w:numFmt w:val="decimal"/>
      <w:lvlText w:val=""/>
      <w:lvlJc w:val="left"/>
    </w:lvl>
    <w:lvl w:ilvl="3" w:tplc="3EF4A560">
      <w:numFmt w:val="decimal"/>
      <w:lvlText w:val=""/>
      <w:lvlJc w:val="left"/>
    </w:lvl>
    <w:lvl w:ilvl="4" w:tplc="E33AC2EA">
      <w:numFmt w:val="decimal"/>
      <w:lvlText w:val=""/>
      <w:lvlJc w:val="left"/>
    </w:lvl>
    <w:lvl w:ilvl="5" w:tplc="007CE630">
      <w:numFmt w:val="decimal"/>
      <w:lvlText w:val=""/>
      <w:lvlJc w:val="left"/>
    </w:lvl>
    <w:lvl w:ilvl="6" w:tplc="7A4C1854">
      <w:numFmt w:val="decimal"/>
      <w:lvlText w:val=""/>
      <w:lvlJc w:val="left"/>
    </w:lvl>
    <w:lvl w:ilvl="7" w:tplc="B0DA1AD4">
      <w:numFmt w:val="decimal"/>
      <w:lvlText w:val=""/>
      <w:lvlJc w:val="left"/>
    </w:lvl>
    <w:lvl w:ilvl="8" w:tplc="9356C814">
      <w:numFmt w:val="decimal"/>
      <w:lvlText w:val=""/>
      <w:lvlJc w:val="left"/>
    </w:lvl>
  </w:abstractNum>
  <w:abstractNum w:abstractNumId="6" w15:restartNumberingAfterBreak="0">
    <w:nsid w:val="3BEB5CE7"/>
    <w:multiLevelType w:val="hybridMultilevel"/>
    <w:tmpl w:val="FFFFFFFF"/>
    <w:lvl w:ilvl="0" w:tplc="B21C7D16">
      <w:start w:val="1"/>
      <w:numFmt w:val="decimal"/>
      <w:lvlText w:val="%1."/>
      <w:lvlJc w:val="left"/>
      <w:pPr>
        <w:tabs>
          <w:tab w:val="num" w:pos="900"/>
        </w:tabs>
        <w:ind w:left="540" w:hanging="360"/>
      </w:pPr>
    </w:lvl>
    <w:lvl w:ilvl="1" w:tplc="312CBFC8">
      <w:numFmt w:val="decimal"/>
      <w:lvlText w:val=""/>
      <w:lvlJc w:val="left"/>
    </w:lvl>
    <w:lvl w:ilvl="2" w:tplc="03A297E0">
      <w:numFmt w:val="decimal"/>
      <w:lvlText w:val=""/>
      <w:lvlJc w:val="left"/>
    </w:lvl>
    <w:lvl w:ilvl="3" w:tplc="F266BEB6">
      <w:numFmt w:val="decimal"/>
      <w:lvlText w:val=""/>
      <w:lvlJc w:val="left"/>
    </w:lvl>
    <w:lvl w:ilvl="4" w:tplc="DFE27790">
      <w:numFmt w:val="decimal"/>
      <w:lvlText w:val=""/>
      <w:lvlJc w:val="left"/>
    </w:lvl>
    <w:lvl w:ilvl="5" w:tplc="3DFA1276">
      <w:numFmt w:val="decimal"/>
      <w:lvlText w:val=""/>
      <w:lvlJc w:val="left"/>
    </w:lvl>
    <w:lvl w:ilvl="6" w:tplc="BF1E9A30">
      <w:numFmt w:val="decimal"/>
      <w:lvlText w:val=""/>
      <w:lvlJc w:val="left"/>
    </w:lvl>
    <w:lvl w:ilvl="7" w:tplc="C8A2983C">
      <w:numFmt w:val="decimal"/>
      <w:lvlText w:val=""/>
      <w:lvlJc w:val="left"/>
    </w:lvl>
    <w:lvl w:ilvl="8" w:tplc="AE56BF10">
      <w:numFmt w:val="decimal"/>
      <w:lvlText w:val=""/>
      <w:lvlJc w:val="left"/>
    </w:lvl>
  </w:abstractNum>
  <w:abstractNum w:abstractNumId="7" w15:restartNumberingAfterBreak="0">
    <w:nsid w:val="46380C6C"/>
    <w:multiLevelType w:val="hybridMultilevel"/>
    <w:tmpl w:val="FFFFFFFF"/>
    <w:lvl w:ilvl="0" w:tplc="923A3B34">
      <w:start w:val="1"/>
      <w:numFmt w:val="decimal"/>
      <w:lvlText w:val="%1."/>
      <w:lvlJc w:val="left"/>
      <w:pPr>
        <w:tabs>
          <w:tab w:val="num" w:pos="900"/>
        </w:tabs>
        <w:ind w:left="540" w:hanging="360"/>
      </w:pPr>
    </w:lvl>
    <w:lvl w:ilvl="1" w:tplc="C43CD610">
      <w:numFmt w:val="decimal"/>
      <w:lvlText w:val=""/>
      <w:lvlJc w:val="left"/>
    </w:lvl>
    <w:lvl w:ilvl="2" w:tplc="D4D0DF7E">
      <w:numFmt w:val="decimal"/>
      <w:lvlText w:val=""/>
      <w:lvlJc w:val="left"/>
    </w:lvl>
    <w:lvl w:ilvl="3" w:tplc="A9F0DCFA">
      <w:numFmt w:val="decimal"/>
      <w:lvlText w:val=""/>
      <w:lvlJc w:val="left"/>
    </w:lvl>
    <w:lvl w:ilvl="4" w:tplc="DC8A22D2">
      <w:numFmt w:val="decimal"/>
      <w:lvlText w:val=""/>
      <w:lvlJc w:val="left"/>
    </w:lvl>
    <w:lvl w:ilvl="5" w:tplc="265AB5EE">
      <w:numFmt w:val="decimal"/>
      <w:lvlText w:val=""/>
      <w:lvlJc w:val="left"/>
    </w:lvl>
    <w:lvl w:ilvl="6" w:tplc="EC64794E">
      <w:numFmt w:val="decimal"/>
      <w:lvlText w:val=""/>
      <w:lvlJc w:val="left"/>
    </w:lvl>
    <w:lvl w:ilvl="7" w:tplc="47448002">
      <w:numFmt w:val="decimal"/>
      <w:lvlText w:val=""/>
      <w:lvlJc w:val="left"/>
    </w:lvl>
    <w:lvl w:ilvl="8" w:tplc="491E6F34">
      <w:numFmt w:val="decimal"/>
      <w:lvlText w:val=""/>
      <w:lvlJc w:val="left"/>
    </w:lvl>
  </w:abstractNum>
  <w:abstractNum w:abstractNumId="8" w15:restartNumberingAfterBreak="0">
    <w:nsid w:val="5234692F"/>
    <w:multiLevelType w:val="hybridMultilevel"/>
    <w:tmpl w:val="FFFFFFFF"/>
    <w:lvl w:ilvl="0" w:tplc="FD0C8048">
      <w:start w:val="1"/>
      <w:numFmt w:val="bullet"/>
      <w:lvlText w:val=""/>
      <w:lvlJc w:val="left"/>
      <w:pPr>
        <w:tabs>
          <w:tab w:val="num" w:pos="900"/>
        </w:tabs>
        <w:ind w:left="540" w:hanging="360"/>
      </w:pPr>
      <w:rPr>
        <w:rFonts w:ascii="Symbol" w:hAnsi="Symbol" w:hint="default"/>
      </w:rPr>
    </w:lvl>
    <w:lvl w:ilvl="1" w:tplc="D6120C1C">
      <w:numFmt w:val="decimal"/>
      <w:lvlText w:val=""/>
      <w:lvlJc w:val="left"/>
    </w:lvl>
    <w:lvl w:ilvl="2" w:tplc="D7440E74">
      <w:numFmt w:val="decimal"/>
      <w:lvlText w:val=""/>
      <w:lvlJc w:val="left"/>
    </w:lvl>
    <w:lvl w:ilvl="3" w:tplc="D8C21BB2">
      <w:numFmt w:val="decimal"/>
      <w:lvlText w:val=""/>
      <w:lvlJc w:val="left"/>
    </w:lvl>
    <w:lvl w:ilvl="4" w:tplc="D40667EA">
      <w:numFmt w:val="decimal"/>
      <w:lvlText w:val=""/>
      <w:lvlJc w:val="left"/>
    </w:lvl>
    <w:lvl w:ilvl="5" w:tplc="FFBC6C3C">
      <w:numFmt w:val="decimal"/>
      <w:lvlText w:val=""/>
      <w:lvlJc w:val="left"/>
    </w:lvl>
    <w:lvl w:ilvl="6" w:tplc="C136D4C2">
      <w:numFmt w:val="decimal"/>
      <w:lvlText w:val=""/>
      <w:lvlJc w:val="left"/>
    </w:lvl>
    <w:lvl w:ilvl="7" w:tplc="9E84D410">
      <w:numFmt w:val="decimal"/>
      <w:lvlText w:val=""/>
      <w:lvlJc w:val="left"/>
    </w:lvl>
    <w:lvl w:ilvl="8" w:tplc="1AFC9B8C">
      <w:numFmt w:val="decimal"/>
      <w:lvlText w:val=""/>
      <w:lvlJc w:val="left"/>
    </w:lvl>
  </w:abstractNum>
  <w:abstractNum w:abstractNumId="9" w15:restartNumberingAfterBreak="0">
    <w:nsid w:val="54395335"/>
    <w:multiLevelType w:val="hybridMultilevel"/>
    <w:tmpl w:val="FFFFFFFF"/>
    <w:lvl w:ilvl="0" w:tplc="BFB87E2E">
      <w:start w:val="1"/>
      <w:numFmt w:val="bullet"/>
      <w:lvlText w:val=""/>
      <w:lvlJc w:val="left"/>
      <w:pPr>
        <w:tabs>
          <w:tab w:val="num" w:pos="900"/>
        </w:tabs>
        <w:ind w:left="540" w:hanging="360"/>
      </w:pPr>
      <w:rPr>
        <w:rFonts w:ascii="Symbol" w:hAnsi="Symbol" w:hint="default"/>
      </w:rPr>
    </w:lvl>
    <w:lvl w:ilvl="1" w:tplc="1564EE88">
      <w:numFmt w:val="decimal"/>
      <w:lvlText w:val=""/>
      <w:lvlJc w:val="left"/>
    </w:lvl>
    <w:lvl w:ilvl="2" w:tplc="7B2E236A">
      <w:numFmt w:val="decimal"/>
      <w:lvlText w:val=""/>
      <w:lvlJc w:val="left"/>
    </w:lvl>
    <w:lvl w:ilvl="3" w:tplc="DEF272AE">
      <w:numFmt w:val="decimal"/>
      <w:lvlText w:val=""/>
      <w:lvlJc w:val="left"/>
    </w:lvl>
    <w:lvl w:ilvl="4" w:tplc="D9A0518A">
      <w:numFmt w:val="decimal"/>
      <w:lvlText w:val=""/>
      <w:lvlJc w:val="left"/>
    </w:lvl>
    <w:lvl w:ilvl="5" w:tplc="A6C69318">
      <w:numFmt w:val="decimal"/>
      <w:lvlText w:val=""/>
      <w:lvlJc w:val="left"/>
    </w:lvl>
    <w:lvl w:ilvl="6" w:tplc="6C6A85A2">
      <w:numFmt w:val="decimal"/>
      <w:lvlText w:val=""/>
      <w:lvlJc w:val="left"/>
    </w:lvl>
    <w:lvl w:ilvl="7" w:tplc="2E362662">
      <w:numFmt w:val="decimal"/>
      <w:lvlText w:val=""/>
      <w:lvlJc w:val="left"/>
    </w:lvl>
    <w:lvl w:ilvl="8" w:tplc="E152C0DE">
      <w:numFmt w:val="decimal"/>
      <w:lvlText w:val=""/>
      <w:lvlJc w:val="left"/>
    </w:lvl>
  </w:abstractNum>
  <w:abstractNum w:abstractNumId="10" w15:restartNumberingAfterBreak="0">
    <w:nsid w:val="60AF7029"/>
    <w:multiLevelType w:val="hybridMultilevel"/>
    <w:tmpl w:val="FFFFFFFF"/>
    <w:lvl w:ilvl="0" w:tplc="3D1A610A">
      <w:start w:val="1"/>
      <w:numFmt w:val="decimal"/>
      <w:lvlText w:val="%1."/>
      <w:lvlJc w:val="left"/>
      <w:pPr>
        <w:tabs>
          <w:tab w:val="num" w:pos="900"/>
        </w:tabs>
        <w:ind w:left="540" w:hanging="360"/>
      </w:pPr>
    </w:lvl>
    <w:lvl w:ilvl="1" w:tplc="18D876CE">
      <w:numFmt w:val="decimal"/>
      <w:lvlText w:val=""/>
      <w:lvlJc w:val="left"/>
    </w:lvl>
    <w:lvl w:ilvl="2" w:tplc="5D003858">
      <w:numFmt w:val="decimal"/>
      <w:lvlText w:val=""/>
      <w:lvlJc w:val="left"/>
    </w:lvl>
    <w:lvl w:ilvl="3" w:tplc="11844748">
      <w:numFmt w:val="decimal"/>
      <w:lvlText w:val=""/>
      <w:lvlJc w:val="left"/>
    </w:lvl>
    <w:lvl w:ilvl="4" w:tplc="2AEA97AC">
      <w:numFmt w:val="decimal"/>
      <w:lvlText w:val=""/>
      <w:lvlJc w:val="left"/>
    </w:lvl>
    <w:lvl w:ilvl="5" w:tplc="504C0154">
      <w:numFmt w:val="decimal"/>
      <w:lvlText w:val=""/>
      <w:lvlJc w:val="left"/>
    </w:lvl>
    <w:lvl w:ilvl="6" w:tplc="49500D80">
      <w:numFmt w:val="decimal"/>
      <w:lvlText w:val=""/>
      <w:lvlJc w:val="left"/>
    </w:lvl>
    <w:lvl w:ilvl="7" w:tplc="2D58D2C4">
      <w:numFmt w:val="decimal"/>
      <w:lvlText w:val=""/>
      <w:lvlJc w:val="left"/>
    </w:lvl>
    <w:lvl w:ilvl="8" w:tplc="3D68474C">
      <w:numFmt w:val="decimal"/>
      <w:lvlText w:val=""/>
      <w:lvlJc w:val="left"/>
    </w:lvl>
  </w:abstractNum>
  <w:abstractNum w:abstractNumId="11" w15:restartNumberingAfterBreak="0">
    <w:nsid w:val="643B75A5"/>
    <w:multiLevelType w:val="hybridMultilevel"/>
    <w:tmpl w:val="FFFFFFFF"/>
    <w:lvl w:ilvl="0" w:tplc="2EBE76C2">
      <w:start w:val="1"/>
      <w:numFmt w:val="decimal"/>
      <w:lvlText w:val="%1."/>
      <w:lvlJc w:val="left"/>
      <w:pPr>
        <w:tabs>
          <w:tab w:val="num" w:pos="900"/>
        </w:tabs>
        <w:ind w:left="540" w:hanging="360"/>
      </w:pPr>
    </w:lvl>
    <w:lvl w:ilvl="1" w:tplc="8EB8A7B8">
      <w:numFmt w:val="decimal"/>
      <w:lvlText w:val=""/>
      <w:lvlJc w:val="left"/>
    </w:lvl>
    <w:lvl w:ilvl="2" w:tplc="DA36FF84">
      <w:numFmt w:val="decimal"/>
      <w:lvlText w:val=""/>
      <w:lvlJc w:val="left"/>
    </w:lvl>
    <w:lvl w:ilvl="3" w:tplc="F43A0A94">
      <w:numFmt w:val="decimal"/>
      <w:lvlText w:val=""/>
      <w:lvlJc w:val="left"/>
    </w:lvl>
    <w:lvl w:ilvl="4" w:tplc="09C66014">
      <w:numFmt w:val="decimal"/>
      <w:lvlText w:val=""/>
      <w:lvlJc w:val="left"/>
    </w:lvl>
    <w:lvl w:ilvl="5" w:tplc="42029138">
      <w:numFmt w:val="decimal"/>
      <w:lvlText w:val=""/>
      <w:lvlJc w:val="left"/>
    </w:lvl>
    <w:lvl w:ilvl="6" w:tplc="861C617C">
      <w:numFmt w:val="decimal"/>
      <w:lvlText w:val=""/>
      <w:lvlJc w:val="left"/>
    </w:lvl>
    <w:lvl w:ilvl="7" w:tplc="2BA01E76">
      <w:numFmt w:val="decimal"/>
      <w:lvlText w:val=""/>
      <w:lvlJc w:val="left"/>
    </w:lvl>
    <w:lvl w:ilvl="8" w:tplc="F7E49D04">
      <w:numFmt w:val="decimal"/>
      <w:lvlText w:val=""/>
      <w:lvlJc w:val="left"/>
    </w:lvl>
  </w:abstractNum>
  <w:abstractNum w:abstractNumId="12" w15:restartNumberingAfterBreak="0">
    <w:nsid w:val="6C1666AE"/>
    <w:multiLevelType w:val="hybridMultilevel"/>
    <w:tmpl w:val="FFFFFFFF"/>
    <w:lvl w:ilvl="0" w:tplc="F5F8EBD0">
      <w:start w:val="1"/>
      <w:numFmt w:val="decimal"/>
      <w:lvlText w:val="%1."/>
      <w:lvlJc w:val="left"/>
      <w:pPr>
        <w:tabs>
          <w:tab w:val="num" w:pos="900"/>
        </w:tabs>
        <w:ind w:left="540" w:hanging="360"/>
      </w:pPr>
    </w:lvl>
    <w:lvl w:ilvl="1" w:tplc="089C816A">
      <w:numFmt w:val="decimal"/>
      <w:lvlText w:val=""/>
      <w:lvlJc w:val="left"/>
    </w:lvl>
    <w:lvl w:ilvl="2" w:tplc="5E289DB8">
      <w:numFmt w:val="decimal"/>
      <w:lvlText w:val=""/>
      <w:lvlJc w:val="left"/>
    </w:lvl>
    <w:lvl w:ilvl="3" w:tplc="41E68216">
      <w:numFmt w:val="decimal"/>
      <w:lvlText w:val=""/>
      <w:lvlJc w:val="left"/>
    </w:lvl>
    <w:lvl w:ilvl="4" w:tplc="1A4C5CCA">
      <w:numFmt w:val="decimal"/>
      <w:lvlText w:val=""/>
      <w:lvlJc w:val="left"/>
    </w:lvl>
    <w:lvl w:ilvl="5" w:tplc="29A4FB06">
      <w:numFmt w:val="decimal"/>
      <w:lvlText w:val=""/>
      <w:lvlJc w:val="left"/>
    </w:lvl>
    <w:lvl w:ilvl="6" w:tplc="9B3853F4">
      <w:numFmt w:val="decimal"/>
      <w:lvlText w:val=""/>
      <w:lvlJc w:val="left"/>
    </w:lvl>
    <w:lvl w:ilvl="7" w:tplc="10DE50C6">
      <w:numFmt w:val="decimal"/>
      <w:lvlText w:val=""/>
      <w:lvlJc w:val="left"/>
    </w:lvl>
    <w:lvl w:ilvl="8" w:tplc="2DAA57CC">
      <w:numFmt w:val="decimal"/>
      <w:lvlText w:val=""/>
      <w:lvlJc w:val="left"/>
    </w:lvl>
  </w:abstractNum>
  <w:abstractNum w:abstractNumId="13" w15:restartNumberingAfterBreak="0">
    <w:nsid w:val="6F6F40CE"/>
    <w:multiLevelType w:val="hybridMultilevel"/>
    <w:tmpl w:val="FFFFFFFF"/>
    <w:lvl w:ilvl="0" w:tplc="D304DCA2">
      <w:start w:val="1"/>
      <w:numFmt w:val="bullet"/>
      <w:lvlText w:val=""/>
      <w:lvlJc w:val="left"/>
      <w:pPr>
        <w:tabs>
          <w:tab w:val="num" w:pos="900"/>
        </w:tabs>
        <w:ind w:left="540" w:hanging="360"/>
      </w:pPr>
      <w:rPr>
        <w:rFonts w:ascii="Symbol" w:hAnsi="Symbol" w:hint="default"/>
      </w:rPr>
    </w:lvl>
    <w:lvl w:ilvl="1" w:tplc="B26A0DD4">
      <w:numFmt w:val="decimal"/>
      <w:lvlText w:val=""/>
      <w:lvlJc w:val="left"/>
    </w:lvl>
    <w:lvl w:ilvl="2" w:tplc="D1CE79C4">
      <w:numFmt w:val="decimal"/>
      <w:lvlText w:val=""/>
      <w:lvlJc w:val="left"/>
    </w:lvl>
    <w:lvl w:ilvl="3" w:tplc="EAF67EBE">
      <w:numFmt w:val="decimal"/>
      <w:lvlText w:val=""/>
      <w:lvlJc w:val="left"/>
    </w:lvl>
    <w:lvl w:ilvl="4" w:tplc="C9F078BC">
      <w:numFmt w:val="decimal"/>
      <w:lvlText w:val=""/>
      <w:lvlJc w:val="left"/>
    </w:lvl>
    <w:lvl w:ilvl="5" w:tplc="508C6754">
      <w:numFmt w:val="decimal"/>
      <w:lvlText w:val=""/>
      <w:lvlJc w:val="left"/>
    </w:lvl>
    <w:lvl w:ilvl="6" w:tplc="5A169B9C">
      <w:numFmt w:val="decimal"/>
      <w:lvlText w:val=""/>
      <w:lvlJc w:val="left"/>
    </w:lvl>
    <w:lvl w:ilvl="7" w:tplc="4148D620">
      <w:numFmt w:val="decimal"/>
      <w:lvlText w:val=""/>
      <w:lvlJc w:val="left"/>
    </w:lvl>
    <w:lvl w:ilvl="8" w:tplc="32D46886">
      <w:numFmt w:val="decimal"/>
      <w:lvlText w:val=""/>
      <w:lvlJc w:val="left"/>
    </w:lvl>
  </w:abstractNum>
  <w:abstractNum w:abstractNumId="14" w15:restartNumberingAfterBreak="0">
    <w:nsid w:val="75BF780F"/>
    <w:multiLevelType w:val="hybridMultilevel"/>
    <w:tmpl w:val="FFFFFFFF"/>
    <w:lvl w:ilvl="0" w:tplc="3DBE09A6">
      <w:start w:val="1"/>
      <w:numFmt w:val="decimal"/>
      <w:lvlText w:val="%1."/>
      <w:lvlJc w:val="left"/>
      <w:pPr>
        <w:tabs>
          <w:tab w:val="num" w:pos="900"/>
        </w:tabs>
        <w:ind w:left="540" w:hanging="360"/>
      </w:pPr>
    </w:lvl>
    <w:lvl w:ilvl="1" w:tplc="685046F8">
      <w:numFmt w:val="decimal"/>
      <w:lvlText w:val=""/>
      <w:lvlJc w:val="left"/>
    </w:lvl>
    <w:lvl w:ilvl="2" w:tplc="162E2528">
      <w:numFmt w:val="decimal"/>
      <w:lvlText w:val=""/>
      <w:lvlJc w:val="left"/>
    </w:lvl>
    <w:lvl w:ilvl="3" w:tplc="FD06913A">
      <w:numFmt w:val="decimal"/>
      <w:lvlText w:val=""/>
      <w:lvlJc w:val="left"/>
    </w:lvl>
    <w:lvl w:ilvl="4" w:tplc="FC32B4CA">
      <w:numFmt w:val="decimal"/>
      <w:lvlText w:val=""/>
      <w:lvlJc w:val="left"/>
    </w:lvl>
    <w:lvl w:ilvl="5" w:tplc="21C29458">
      <w:numFmt w:val="decimal"/>
      <w:lvlText w:val=""/>
      <w:lvlJc w:val="left"/>
    </w:lvl>
    <w:lvl w:ilvl="6" w:tplc="9B0A74DE">
      <w:numFmt w:val="decimal"/>
      <w:lvlText w:val=""/>
      <w:lvlJc w:val="left"/>
    </w:lvl>
    <w:lvl w:ilvl="7" w:tplc="FAA67EBE">
      <w:numFmt w:val="decimal"/>
      <w:lvlText w:val=""/>
      <w:lvlJc w:val="left"/>
    </w:lvl>
    <w:lvl w:ilvl="8" w:tplc="C95A3F36">
      <w:numFmt w:val="decimal"/>
      <w:lvlText w:val=""/>
      <w:lvlJc w:val="left"/>
    </w:lvl>
  </w:abstractNum>
  <w:abstractNum w:abstractNumId="15" w15:restartNumberingAfterBreak="0">
    <w:nsid w:val="796272B8"/>
    <w:multiLevelType w:val="hybridMultilevel"/>
    <w:tmpl w:val="FFFFFFFF"/>
    <w:lvl w:ilvl="0" w:tplc="A634A63C">
      <w:start w:val="1"/>
      <w:numFmt w:val="bullet"/>
      <w:lvlText w:val=""/>
      <w:lvlJc w:val="left"/>
      <w:pPr>
        <w:tabs>
          <w:tab w:val="num" w:pos="900"/>
        </w:tabs>
        <w:ind w:left="540" w:hanging="360"/>
      </w:pPr>
      <w:rPr>
        <w:rFonts w:ascii="Symbol" w:hAnsi="Symbol" w:hint="default"/>
      </w:rPr>
    </w:lvl>
    <w:lvl w:ilvl="1" w:tplc="CDCEFE5C">
      <w:numFmt w:val="decimal"/>
      <w:lvlText w:val=""/>
      <w:lvlJc w:val="left"/>
    </w:lvl>
    <w:lvl w:ilvl="2" w:tplc="C70A572A">
      <w:numFmt w:val="decimal"/>
      <w:lvlText w:val=""/>
      <w:lvlJc w:val="left"/>
    </w:lvl>
    <w:lvl w:ilvl="3" w:tplc="7BBA13CA">
      <w:numFmt w:val="decimal"/>
      <w:lvlText w:val=""/>
      <w:lvlJc w:val="left"/>
    </w:lvl>
    <w:lvl w:ilvl="4" w:tplc="878EB894">
      <w:numFmt w:val="decimal"/>
      <w:lvlText w:val=""/>
      <w:lvlJc w:val="left"/>
    </w:lvl>
    <w:lvl w:ilvl="5" w:tplc="A0927062">
      <w:numFmt w:val="decimal"/>
      <w:lvlText w:val=""/>
      <w:lvlJc w:val="left"/>
    </w:lvl>
    <w:lvl w:ilvl="6" w:tplc="C54CAB2A">
      <w:numFmt w:val="decimal"/>
      <w:lvlText w:val=""/>
      <w:lvlJc w:val="left"/>
    </w:lvl>
    <w:lvl w:ilvl="7" w:tplc="F392B85A">
      <w:numFmt w:val="decimal"/>
      <w:lvlText w:val=""/>
      <w:lvlJc w:val="left"/>
    </w:lvl>
    <w:lvl w:ilvl="8" w:tplc="CE7CEF96">
      <w:numFmt w:val="decimal"/>
      <w:lvlText w:val=""/>
      <w:lvlJc w:val="left"/>
    </w:lvl>
  </w:abstractNum>
  <w:abstractNum w:abstractNumId="16" w15:restartNumberingAfterBreak="0">
    <w:nsid w:val="7C970D2B"/>
    <w:multiLevelType w:val="hybridMultilevel"/>
    <w:tmpl w:val="FFFFFFFF"/>
    <w:lvl w:ilvl="0" w:tplc="9E4AF84C">
      <w:start w:val="1"/>
      <w:numFmt w:val="bullet"/>
      <w:lvlText w:val=""/>
      <w:lvlJc w:val="left"/>
      <w:pPr>
        <w:tabs>
          <w:tab w:val="num" w:pos="900"/>
        </w:tabs>
        <w:ind w:left="540" w:hanging="360"/>
      </w:pPr>
      <w:rPr>
        <w:rFonts w:ascii="Symbol" w:hAnsi="Symbol" w:hint="default"/>
      </w:rPr>
    </w:lvl>
    <w:lvl w:ilvl="1" w:tplc="FF900378">
      <w:numFmt w:val="decimal"/>
      <w:lvlText w:val=""/>
      <w:lvlJc w:val="left"/>
    </w:lvl>
    <w:lvl w:ilvl="2" w:tplc="91202500">
      <w:numFmt w:val="decimal"/>
      <w:lvlText w:val=""/>
      <w:lvlJc w:val="left"/>
    </w:lvl>
    <w:lvl w:ilvl="3" w:tplc="CD6E6DFC">
      <w:numFmt w:val="decimal"/>
      <w:lvlText w:val=""/>
      <w:lvlJc w:val="left"/>
    </w:lvl>
    <w:lvl w:ilvl="4" w:tplc="DF4E70A6">
      <w:numFmt w:val="decimal"/>
      <w:lvlText w:val=""/>
      <w:lvlJc w:val="left"/>
    </w:lvl>
    <w:lvl w:ilvl="5" w:tplc="EB3C04B8">
      <w:numFmt w:val="decimal"/>
      <w:lvlText w:val=""/>
      <w:lvlJc w:val="left"/>
    </w:lvl>
    <w:lvl w:ilvl="6" w:tplc="73725E28">
      <w:numFmt w:val="decimal"/>
      <w:lvlText w:val=""/>
      <w:lvlJc w:val="left"/>
    </w:lvl>
    <w:lvl w:ilvl="7" w:tplc="B06473E4">
      <w:numFmt w:val="decimal"/>
      <w:lvlText w:val=""/>
      <w:lvlJc w:val="left"/>
    </w:lvl>
    <w:lvl w:ilvl="8" w:tplc="5A282274">
      <w:numFmt w:val="decimal"/>
      <w:lvlText w:val=""/>
      <w:lvlJc w:val="left"/>
    </w:lvl>
  </w:abstractNum>
  <w:num w:numId="1" w16cid:durableId="1937127992">
    <w:abstractNumId w:val="10"/>
  </w:num>
  <w:num w:numId="2" w16cid:durableId="950863635">
    <w:abstractNumId w:val="9"/>
  </w:num>
  <w:num w:numId="3" w16cid:durableId="2140799984">
    <w:abstractNumId w:val="11"/>
  </w:num>
  <w:num w:numId="4" w16cid:durableId="225997622">
    <w:abstractNumId w:val="3"/>
  </w:num>
  <w:num w:numId="5" w16cid:durableId="130291203">
    <w:abstractNumId w:val="2"/>
  </w:num>
  <w:num w:numId="6" w16cid:durableId="147090560">
    <w:abstractNumId w:val="1"/>
  </w:num>
  <w:num w:numId="7" w16cid:durableId="381099046">
    <w:abstractNumId w:val="16"/>
  </w:num>
  <w:num w:numId="8" w16cid:durableId="1978221854">
    <w:abstractNumId w:val="6"/>
  </w:num>
  <w:num w:numId="9" w16cid:durableId="1561557867">
    <w:abstractNumId w:val="8"/>
  </w:num>
  <w:num w:numId="10" w16cid:durableId="1226532155">
    <w:abstractNumId w:val="12"/>
  </w:num>
  <w:num w:numId="11" w16cid:durableId="515655963">
    <w:abstractNumId w:val="13"/>
  </w:num>
  <w:num w:numId="12" w16cid:durableId="1723796769">
    <w:abstractNumId w:val="7"/>
  </w:num>
  <w:num w:numId="13" w16cid:durableId="1965306822">
    <w:abstractNumId w:val="15"/>
  </w:num>
  <w:num w:numId="14" w16cid:durableId="967127737">
    <w:abstractNumId w:val="5"/>
  </w:num>
  <w:num w:numId="15" w16cid:durableId="1156841708">
    <w:abstractNumId w:val="4"/>
  </w:num>
  <w:num w:numId="16" w16cid:durableId="1764833237">
    <w:abstractNumId w:val="0"/>
  </w:num>
  <w:num w:numId="17" w16cid:durableId="1044231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201"/>
    <w:rsid w:val="00136201"/>
    <w:rsid w:val="001A19AD"/>
    <w:rsid w:val="002E5429"/>
    <w:rsid w:val="003A0564"/>
    <w:rsid w:val="003A1609"/>
    <w:rsid w:val="004C0C62"/>
    <w:rsid w:val="004C0F83"/>
    <w:rsid w:val="00512407"/>
    <w:rsid w:val="00955640"/>
    <w:rsid w:val="009E770A"/>
    <w:rsid w:val="00AB091C"/>
    <w:rsid w:val="00AE297B"/>
    <w:rsid w:val="00B0387A"/>
    <w:rsid w:val="00BA192A"/>
    <w:rsid w:val="00E54264"/>
    <w:rsid w:val="00EB65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3358"/>
  <w15:docId w15:val="{E7B3859D-75D6-8941-8F0B-5605EC19E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ar-SA" w:eastAsia="en-US" w:bidi="ar-SA"/>
      </w:rPr>
    </w:rPrDefault>
    <w:pPrDefault>
      <w:pPr>
        <w:bidi/>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a1"/>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zaraapsychology.com/articles/alansan-byn-alkhoarzmy-oalohy" TargetMode="External" /><Relationship Id="rId13" Type="http://schemas.openxmlformats.org/officeDocument/2006/relationships/hyperlink" Target="https://www.nature.com/articles/s41598-025-90984-3" TargetMode="External" /><Relationship Id="rId3" Type="http://schemas.openxmlformats.org/officeDocument/2006/relationships/settings" Target="settings.xml" /><Relationship Id="rId7" Type="http://schemas.openxmlformats.org/officeDocument/2006/relationships/hyperlink" Target="http://zaraapsychology.com" TargetMode="External" /><Relationship Id="rId12" Type="http://schemas.openxmlformats.org/officeDocument/2006/relationships/hyperlink" Target="https://www.who.int/news-room/fact-sheets/detail/depression"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hyperlink" Target="https://zaraapsychology.com/bibliotheque/algzaa-althany-althdy-alrahn-tfkyk-rasmaly-almrakb-fy-doaa-alnmothg-alnfsy-alastkhlafy" TargetMode="External" /><Relationship Id="rId11" Type="http://schemas.openxmlformats.org/officeDocument/2006/relationships/hyperlink" Target="https://www.who.int/health-topics/depression" TargetMode="External" /><Relationship Id="rId5" Type="http://schemas.openxmlformats.org/officeDocument/2006/relationships/hyperlink" Target="http://zaraapsychology.com" TargetMode="External" /><Relationship Id="rId15" Type="http://schemas.openxmlformats.org/officeDocument/2006/relationships/fontTable" Target="fontTable.xml" /><Relationship Id="rId10" Type="http://schemas.openxmlformats.org/officeDocument/2006/relationships/hyperlink" Target="https://www.uio.no/studier/emner/matnat/ifi/IN5390/h22/readings/couldry---mejias-" TargetMode="External" /><Relationship Id="rId4" Type="http://schemas.openxmlformats.org/officeDocument/2006/relationships/webSettings" Target="webSettings.xml" /><Relationship Id="rId9" Type="http://schemas.openxmlformats.org/officeDocument/2006/relationships/hyperlink" Target="https://academic.oup.com/sf/article-abstract/99/1/e6/5781190" TargetMode="External" /><Relationship Id="rId14" Type="http://schemas.openxmlformats.org/officeDocument/2006/relationships/hyperlink" Target="https://www.rti.org/publication/the-effects-of-social-media-restriction-meta-analytic-evidence-fr"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6886</Words>
  <Characters>39251</Characters>
  <Application>Microsoft Office Word</Application>
  <DocSecurity>0</DocSecurity>
  <Lines>327</Lines>
  <Paragraphs>92</Paragraphs>
  <ScaleCrop>false</ScaleCrop>
  <Company/>
  <LinksUpToDate>false</LinksUpToDate>
  <CharactersWithSpaces>46045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zaraaabdesslem@gmail.com</cp:lastModifiedBy>
  <cp:revision>14</cp:revision>
  <dcterms:created xsi:type="dcterms:W3CDTF">2026-10-15T16:43:00Z</dcterms:created>
  <dcterms:modified xsi:type="dcterms:W3CDTF">2026-10-16T17:08:00Z</dcterms:modified>
</cp:coreProperties>
</file>