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2906F" w14:textId="77777777" w:rsidR="0016098E" w:rsidRDefault="00DD623A">
      <w:pPr>
        <w:spacing w:before="800" w:after="100"/>
        <w:jc w:val="center"/>
        <w:rPr>
          <w:rFonts w:cs="Arial"/>
        </w:rPr>
      </w:pPr>
      <w:r>
        <w:rPr>
          <w:b/>
          <w:bCs/>
          <w:color w:val="B8860B"/>
          <w:sz w:val="22"/>
          <w:szCs w:val="22"/>
        </w:rPr>
        <w:t>علم النفس الاستخلافي</w:t>
      </w:r>
    </w:p>
    <w:p w14:paraId="0D5BEDE2" w14:textId="77777777" w:rsidR="0016098E" w:rsidRDefault="00DD623A">
      <w:pPr>
        <w:pBdr>
          <w:bottom w:val="single" w:sz="8" w:space="10" w:color="B8860B"/>
        </w:pBdr>
        <w:spacing w:after="400"/>
        <w:jc w:val="center"/>
        <w:rPr>
          <w:rFonts w:cs="Arial"/>
        </w:rPr>
      </w:pPr>
      <w:r>
        <w:rPr>
          <w:color w:val="20242C"/>
          <w:sz w:val="4"/>
          <w:szCs w:val="4"/>
        </w:rPr>
        <w:t xml:space="preserve"> </w:t>
      </w:r>
    </w:p>
    <w:p w14:paraId="1AC1BECF" w14:textId="77777777" w:rsidR="0016098E" w:rsidRDefault="00DD623A">
      <w:pPr>
        <w:spacing w:after="300"/>
        <w:jc w:val="center"/>
        <w:rPr>
          <w:rFonts w:cs="Arial"/>
        </w:rPr>
      </w:pPr>
      <w:r>
        <w:rPr>
          <w:b/>
          <w:bCs/>
          <w:color w:val="1B2A4A"/>
          <w:sz w:val="40"/>
          <w:szCs w:val="40"/>
        </w:rPr>
        <w:t>بين "تأليه الوسائط" و"توحيد المرجعية": دراسة موسّعة في أنطولوجيا "رضاء الوالدين" بين "الاستخلاف" و"الفصام الأخلاقي" في علم النفس الاستخلافي</w:t>
      </w:r>
    </w:p>
    <w:p w14:paraId="15C1DE86" w14:textId="77777777" w:rsidR="0016098E" w:rsidRDefault="00DD623A">
      <w:pPr>
        <w:spacing w:after="600"/>
        <w:jc w:val="center"/>
        <w:rPr>
          <w:i/>
          <w:iCs/>
          <w:color w:val="11605C"/>
          <w:sz w:val="26"/>
          <w:szCs w:val="26"/>
        </w:rPr>
      </w:pPr>
      <w:r>
        <w:rPr>
          <w:i/>
          <w:iCs/>
          <w:color w:val="11605C"/>
          <w:sz w:val="26"/>
          <w:szCs w:val="26"/>
        </w:rPr>
        <w:t>قراءة تأصيلية موسّعة في ضوء النموذج الهرمي القرآني، والأضلاع الثمانية، وبروتوكول TLRT</w:t>
      </w:r>
    </w:p>
    <w:p w14:paraId="06F1E99C" w14:textId="6A1EB59C" w:rsidR="000E0470" w:rsidRDefault="000E0470">
      <w:pPr>
        <w:spacing w:after="600"/>
        <w:jc w:val="center"/>
        <w:rPr>
          <w:rFonts w:cs="Arial"/>
        </w:rPr>
      </w:pPr>
      <w:r>
        <w:rPr>
          <w:rFonts w:cs="Arial" w:hint="cs"/>
          <w:i/>
          <w:iCs/>
          <w:color w:val="11605C"/>
          <w:sz w:val="26"/>
          <w:szCs w:val="26"/>
        </w:rPr>
        <w:t xml:space="preserve">بقلم </w:t>
      </w:r>
      <w:r w:rsidR="00BB44A5">
        <w:rPr>
          <w:rFonts w:cs="Arial" w:hint="cs"/>
          <w:i/>
          <w:iCs/>
          <w:color w:val="11605C"/>
          <w:sz w:val="26"/>
          <w:szCs w:val="26"/>
        </w:rPr>
        <w:t xml:space="preserve">:عبد السلام الزراع </w:t>
      </w:r>
    </w:p>
    <w:tbl>
      <w:tblPr>
        <w:tblW w:w="8000" w:type="dxa"/>
        <w:jc w:val="center"/>
        <w:tblBorders>
          <w:top w:val="single" w:sz="18" w:space="0" w:color="B8860B"/>
          <w:left w:val="single" w:sz="18" w:space="0" w:color="B8860B"/>
          <w:bottom w:val="single" w:sz="18" w:space="0" w:color="B8860B"/>
          <w:right w:val="single" w:sz="18"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000"/>
      </w:tblGrid>
      <w:tr w:rsidR="0016098E" w14:paraId="5E354327" w14:textId="77777777">
        <w:trPr>
          <w:jc w:val="center"/>
        </w:trPr>
        <w:tc>
          <w:tcPr>
            <w:tcW w:w="8000" w:type="dxa"/>
            <w:shd w:val="clear" w:color="auto" w:fill="F4E9C9"/>
            <w:tcMar>
              <w:top w:w="220" w:type="dxa"/>
              <w:left w:w="300" w:type="dxa"/>
              <w:bottom w:w="220" w:type="dxa"/>
              <w:right w:w="300" w:type="dxa"/>
            </w:tcMar>
            <w:vAlign w:val="center"/>
          </w:tcPr>
          <w:p w14:paraId="49826D8E" w14:textId="77777777" w:rsidR="0016098E" w:rsidRDefault="00DD623A">
            <w:pPr>
              <w:spacing w:after="100"/>
              <w:jc w:val="center"/>
              <w:rPr>
                <w:rFonts w:cs="Arial"/>
              </w:rPr>
            </w:pPr>
            <w:r>
              <w:rPr>
                <w:b/>
                <w:bCs/>
                <w:color w:val="1B2A4A"/>
                <w:sz w:val="28"/>
                <w:szCs w:val="28"/>
              </w:rPr>
              <w:t>﴿وَوَصَّيْنَا الْإِنسَانَ بِوَالِدَيْهِ حُسْنًا﴾</w:t>
            </w:r>
          </w:p>
          <w:p w14:paraId="2BB1C73D" w14:textId="77777777" w:rsidR="0016098E" w:rsidRDefault="00DD623A">
            <w:pPr>
              <w:jc w:val="center"/>
              <w:rPr>
                <w:rFonts w:cs="Arial"/>
              </w:rPr>
            </w:pPr>
            <w:r>
              <w:rPr>
                <w:b/>
                <w:bCs/>
                <w:color w:val="11605C"/>
                <w:sz w:val="22"/>
                <w:szCs w:val="22"/>
              </w:rPr>
              <w:t>[العنكبوت: 8]</w:t>
            </w:r>
          </w:p>
        </w:tc>
      </w:tr>
    </w:tbl>
    <w:p w14:paraId="3C5E20C3" w14:textId="77777777" w:rsidR="0016098E" w:rsidRDefault="00DD623A">
      <w:pPr>
        <w:spacing w:before="800"/>
        <w:jc w:val="center"/>
        <w:rPr>
          <w:rFonts w:cs="Arial"/>
        </w:rPr>
      </w:pPr>
      <w:r>
        <w:rPr>
          <w:color w:val="20242C"/>
        </w:rPr>
        <w:t>دراسة أكاديمية موسّعة</w:t>
      </w:r>
    </w:p>
    <w:p w14:paraId="021B9A68" w14:textId="77777777" w:rsidR="0016098E" w:rsidRDefault="00DD623A">
      <w:pPr>
        <w:spacing w:after="200"/>
        <w:jc w:val="center"/>
        <w:rPr>
          <w:rFonts w:cs="Arial"/>
        </w:rPr>
      </w:pPr>
      <w:r>
        <w:rPr>
          <w:color w:val="20242C"/>
        </w:rPr>
        <w:t>2026</w:t>
      </w:r>
    </w:p>
    <w:p w14:paraId="77FF38C8" w14:textId="77777777" w:rsidR="0016098E" w:rsidRDefault="00DD623A">
      <w:pPr>
        <w:rPr>
          <w:rFonts w:cs="Arial"/>
        </w:rPr>
      </w:pPr>
      <w:r>
        <w:br w:type="page"/>
      </w:r>
    </w:p>
    <w:p w14:paraId="153248EC" w14:textId="77777777" w:rsidR="0016098E" w:rsidRDefault="00DD623A">
      <w:pPr>
        <w:pStyle w:val="1"/>
        <w:pBdr>
          <w:bottom w:val="single" w:sz="12" w:space="6" w:color="B8860B"/>
        </w:pBdr>
        <w:bidi/>
        <w:spacing w:before="480" w:after="220"/>
        <w:jc w:val="right"/>
        <w:rPr>
          <w:rFonts w:cs="Arial"/>
        </w:rPr>
      </w:pPr>
      <w:r>
        <w:rPr>
          <w:b/>
          <w:bCs/>
          <w:color w:val="1B2A4A"/>
        </w:rPr>
        <w:t>تمهيد: "بر الوالدين" بوصفه "مُختبراً وجودياً" – لماذا تُعد "الأسرة" "المَسرح الأول" لصراع "السيادة"؟</w:t>
      </w:r>
    </w:p>
    <w:p w14:paraId="45243E4E" w14:textId="77777777" w:rsidR="0016098E" w:rsidRDefault="00DD623A">
      <w:pPr>
        <w:spacing w:after="200" w:line="336" w:lineRule="auto"/>
        <w:jc w:val="both"/>
        <w:rPr>
          <w:rFonts w:cs="Arial"/>
        </w:rPr>
      </w:pPr>
      <w:r>
        <w:rPr>
          <w:color w:val="20242C"/>
        </w:rPr>
        <w:t xml:space="preserve">في "الوعي" "الديني" و"الثقافي" "العام"، "يُحتل" "بر الوالدين" و"رضاؤهما" "مكانة" "مركزية" </w:t>
      </w:r>
      <w:proofErr w:type="spellStart"/>
      <w:r>
        <w:rPr>
          <w:color w:val="20242C"/>
        </w:rPr>
        <w:t>و"مُقدسة</w:t>
      </w:r>
      <w:proofErr w:type="spellEnd"/>
      <w:r>
        <w:rPr>
          <w:color w:val="20242C"/>
        </w:rPr>
        <w:t xml:space="preserve">". "النصوص" "القرآنية" و"النبوية" "تُوجب" "الإحسان" إليهما، </w:t>
      </w:r>
      <w:proofErr w:type="spellStart"/>
      <w:r>
        <w:rPr>
          <w:color w:val="20242C"/>
        </w:rPr>
        <w:t>و"تُقرن</w:t>
      </w:r>
      <w:proofErr w:type="spellEnd"/>
      <w:r>
        <w:rPr>
          <w:color w:val="20242C"/>
        </w:rPr>
        <w:t xml:space="preserve">" "شكرهما" بـ "شكر الله"، </w:t>
      </w:r>
      <w:proofErr w:type="spellStart"/>
      <w:r>
        <w:rPr>
          <w:color w:val="20242C"/>
        </w:rPr>
        <w:t>و"تُحذر</w:t>
      </w:r>
      <w:proofErr w:type="spellEnd"/>
      <w:r>
        <w:rPr>
          <w:color w:val="20242C"/>
        </w:rPr>
        <w:t>" – في "أشد" "العبارات" – من "العقوق" و"الإيذاء". لكن "هذه المكانة" "الرفيعة" – كما "يُلاحظ" "الباحثون" – "قد تُؤدي" – في "بعض" "السياقات" "النفسية" و"الأسرية" – إلى "تشوهات" و"اختزالات" "خطيرة": "تَحويل" "الوالدين" من "وسيلة" "للتقرب" إلى "الله" إلى "غاية" في "ذاتهما"، و"تقديم" "رضاهما" – حتى "في معصية الله" – على "رضا" "الخالق"، و"تحويل" "العلاقة" "الأسرية" من "حضنة" "للعمران الأخلاقي" إلى "سجن" "</w:t>
      </w:r>
      <w:proofErr w:type="spellStart"/>
      <w:r>
        <w:rPr>
          <w:color w:val="20242C"/>
        </w:rPr>
        <w:t>للأنا</w:t>
      </w:r>
      <w:proofErr w:type="spellEnd"/>
      <w:r>
        <w:rPr>
          <w:color w:val="20242C"/>
        </w:rPr>
        <w:t xml:space="preserve"> الأعلى القاسي".</w:t>
      </w:r>
    </w:p>
    <w:p w14:paraId="1A77157F" w14:textId="77777777" w:rsidR="0016098E" w:rsidRDefault="00DD623A">
      <w:pPr>
        <w:spacing w:after="200" w:line="336" w:lineRule="auto"/>
        <w:jc w:val="both"/>
        <w:rPr>
          <w:rFonts w:cs="Arial"/>
        </w:rPr>
      </w:pPr>
      <w:r>
        <w:rPr>
          <w:color w:val="20242C"/>
        </w:rPr>
        <w:t xml:space="preserve">في "هذا السياق"، يقدم "علم النفس الاستخلافي" "تحليلاً" "مُغايراً" و"أكثر" "دقة" </w:t>
      </w:r>
      <w:proofErr w:type="spellStart"/>
      <w:r>
        <w:rPr>
          <w:color w:val="20242C"/>
        </w:rPr>
        <w:t>و"توازناً</w:t>
      </w:r>
      <w:proofErr w:type="spellEnd"/>
      <w:r>
        <w:rPr>
          <w:color w:val="20242C"/>
        </w:rPr>
        <w:t xml:space="preserve">" لهذه "القضية" "الحساسة". فهو لا "يُنكر" – "بالطبع" – "أهمية" "بر الوالدين" </w:t>
      </w:r>
      <w:proofErr w:type="spellStart"/>
      <w:r>
        <w:rPr>
          <w:color w:val="20242C"/>
        </w:rPr>
        <w:t>و"فضلَهما</w:t>
      </w:r>
      <w:proofErr w:type="spellEnd"/>
      <w:r>
        <w:rPr>
          <w:color w:val="20242C"/>
        </w:rPr>
        <w:t xml:space="preserve">"، ولا "يَدعو" إلى "التمرّد" أو "العقوق"، بل – على "العكس" – "يُؤكد" على أن "الإحسان" إليهما هو "أحد" "أهم" "التكاليف الاستخلافية". لكنه – في "الوقت" نفسه – "يُحذر" من "خطر" "تأليه الوسائط" و"تقديم" "المخلوق" على "الخالق"، </w:t>
      </w:r>
      <w:proofErr w:type="spellStart"/>
      <w:r>
        <w:rPr>
          <w:color w:val="20242C"/>
        </w:rPr>
        <w:t>و"يُقدم</w:t>
      </w:r>
      <w:proofErr w:type="spellEnd"/>
      <w:r>
        <w:rPr>
          <w:color w:val="20242C"/>
        </w:rPr>
        <w:t xml:space="preserve">" "معياراً" "واضحاً" </w:t>
      </w:r>
      <w:proofErr w:type="spellStart"/>
      <w:r>
        <w:rPr>
          <w:color w:val="20242C"/>
        </w:rPr>
        <w:t>و"حاسماً</w:t>
      </w:r>
      <w:proofErr w:type="spellEnd"/>
      <w:r>
        <w:rPr>
          <w:color w:val="20242C"/>
        </w:rPr>
        <w:t>" للتمييز بين "البر" "المشروع" و"الطاعة" "العمياء"، وبين "الحب" "الصحي" و"التماهي" "المرضي".</w:t>
      </w:r>
    </w:p>
    <w:p w14:paraId="658076D6" w14:textId="77777777" w:rsidR="0016098E" w:rsidRDefault="00DD623A">
      <w:pPr>
        <w:spacing w:after="200" w:line="336" w:lineRule="auto"/>
        <w:jc w:val="both"/>
        <w:rPr>
          <w:rFonts w:cs="Arial"/>
        </w:rPr>
      </w:pPr>
      <w:r>
        <w:rPr>
          <w:color w:val="20242C"/>
        </w:rPr>
        <w:t xml:space="preserve">هذه "الدراسة الموسعة" – التي تتجاوز "العرض" إلى "التحليل" و"التأصيل" – تسعى إلى "تفكيك" "قضية" "رضاء الوالدين" في ضوء "النموذج الهرمي القرآني" و"الأضلاع الثمانية" و"بروتوكول TLRT"، و"بيان" "مخاطر" "الانحراف" فيها، و"تقديم" "المسار" "العلاجي" لاستعادة "التوازن" و"التكامل". وقد ازدادت الحاجة إلى هذا التوسّع بعد أن كشفت المراجعات المنهجية المتكرّرة لهذا الحقل عن ضرورة تعميق الحوار مع تراثين متكاملين: تراث الفكر الغربي في </w:t>
      </w:r>
      <w:proofErr w:type="spellStart"/>
      <w:r>
        <w:rPr>
          <w:color w:val="20242C"/>
        </w:rPr>
        <w:t>سوسيولوجيا</w:t>
      </w:r>
      <w:proofErr w:type="spellEnd"/>
      <w:r>
        <w:rPr>
          <w:color w:val="20242C"/>
        </w:rPr>
        <w:t xml:space="preserve"> السلطة وفلسفة الأخلاق (فوكو، </w:t>
      </w:r>
      <w:proofErr w:type="spellStart"/>
      <w:r>
        <w:rPr>
          <w:color w:val="20242C"/>
        </w:rPr>
        <w:t>بورديو</w:t>
      </w:r>
      <w:proofErr w:type="spellEnd"/>
      <w:r>
        <w:rPr>
          <w:color w:val="20242C"/>
        </w:rPr>
        <w:t xml:space="preserve">، </w:t>
      </w:r>
      <w:proofErr w:type="spellStart"/>
      <w:r>
        <w:rPr>
          <w:color w:val="20242C"/>
        </w:rPr>
        <w:t>هابرماس</w:t>
      </w:r>
      <w:proofErr w:type="spellEnd"/>
      <w:r>
        <w:rPr>
          <w:color w:val="20242C"/>
        </w:rPr>
        <w:t xml:space="preserve">، </w:t>
      </w:r>
      <w:proofErr w:type="spellStart"/>
      <w:r>
        <w:rPr>
          <w:color w:val="20242C"/>
        </w:rPr>
        <w:t>ماكنتاير</w:t>
      </w:r>
      <w:proofErr w:type="spellEnd"/>
      <w:r>
        <w:rPr>
          <w:color w:val="20242C"/>
        </w:rPr>
        <w:t xml:space="preserve">، </w:t>
      </w:r>
      <w:proofErr w:type="spellStart"/>
      <w:r>
        <w:rPr>
          <w:color w:val="20242C"/>
        </w:rPr>
        <w:t>فرانكل</w:t>
      </w:r>
      <w:proofErr w:type="spellEnd"/>
      <w:r>
        <w:rPr>
          <w:color w:val="20242C"/>
        </w:rPr>
        <w:t xml:space="preserve">، </w:t>
      </w:r>
      <w:proofErr w:type="spellStart"/>
      <w:r>
        <w:rPr>
          <w:color w:val="20242C"/>
        </w:rPr>
        <w:t>زوبوف</w:t>
      </w:r>
      <w:proofErr w:type="spellEnd"/>
      <w:r>
        <w:rPr>
          <w:color w:val="20242C"/>
        </w:rPr>
        <w:t>، حلاق)، وتراث علم النفس الإسلامي الكلاسيكي في محاسبة النفس وتزكيتها (الغزالي، ابن القيم، المحاسبي، ابن خلدون)، بما يضع "قضية رضاء الوالدين" على أرضية معرفية أكثر صلابة ووضوحاً.</w:t>
      </w:r>
    </w:p>
    <w:p w14:paraId="0C5BD772" w14:textId="77777777" w:rsidR="0016098E" w:rsidRDefault="00DD623A">
      <w:pPr>
        <w:pStyle w:val="1"/>
        <w:pBdr>
          <w:bottom w:val="single" w:sz="12" w:space="6" w:color="B8860B"/>
        </w:pBdr>
        <w:bidi/>
        <w:spacing w:before="480" w:after="220"/>
        <w:jc w:val="right"/>
        <w:rPr>
          <w:rFonts w:cs="Arial"/>
        </w:rPr>
      </w:pPr>
      <w:r>
        <w:rPr>
          <w:b/>
          <w:bCs/>
          <w:color w:val="1B2A4A"/>
        </w:rPr>
        <w:t>الفصل الأول: "التراتبية الوجودية" – "الله" هو "المُستخلِف" و"الوالدان" "وسيلة" لا "غاية"</w:t>
      </w:r>
    </w:p>
    <w:p w14:paraId="3A64F2E0" w14:textId="77777777" w:rsidR="0016098E" w:rsidRDefault="00DD623A">
      <w:pPr>
        <w:pStyle w:val="2"/>
        <w:bidi/>
        <w:spacing w:before="320" w:after="220"/>
        <w:jc w:val="right"/>
        <w:rPr>
          <w:rFonts w:cs="Arial"/>
        </w:rPr>
      </w:pPr>
      <w:r>
        <w:rPr>
          <w:b/>
          <w:bCs/>
          <w:color w:val="11605C"/>
          <w:sz w:val="27"/>
          <w:szCs w:val="27"/>
        </w:rPr>
        <w:t>1.1 "الخلافة" و"السيادة": "من" "يَملك" "حق" "الطاعة المُطلقة"؟</w:t>
      </w:r>
    </w:p>
    <w:p w14:paraId="4DC659A2" w14:textId="77777777" w:rsidR="0016098E" w:rsidRDefault="00DD623A">
      <w:pPr>
        <w:spacing w:after="200" w:line="336" w:lineRule="auto"/>
        <w:jc w:val="both"/>
        <w:rPr>
          <w:rFonts w:cs="Arial"/>
        </w:rPr>
      </w:pPr>
      <w:r>
        <w:rPr>
          <w:color w:val="20242C"/>
        </w:rPr>
        <w:t xml:space="preserve">"يَنطلق" "النموذج الاستخلافي" من "مبدأ" "أنطولوجي" "أساسي" هو أن "الإنسان" – في "جوهره" – هو "خليفة" و"حامل أمانة"، وأن "الله" – سبحانه – هو "المُستخلِف" و"مصدر" "السيادة" و"التشريع" "الأول" </w:t>
      </w:r>
      <w:proofErr w:type="spellStart"/>
      <w:r>
        <w:rPr>
          <w:color w:val="20242C"/>
        </w:rPr>
        <w:t>و"المُطلق</w:t>
      </w:r>
      <w:proofErr w:type="spellEnd"/>
      <w:r>
        <w:rPr>
          <w:color w:val="20242C"/>
        </w:rPr>
        <w:t xml:space="preserve">" [1081، 1309]. "الوالدان" – في "هذا الإطار" – ليسا "مُستخلِفَين" "مُستقلَين"، بل هما – "بدورهما" – "خليفتان" </w:t>
      </w:r>
      <w:proofErr w:type="spellStart"/>
      <w:r>
        <w:rPr>
          <w:color w:val="20242C"/>
        </w:rPr>
        <w:t>و"مُكلّفان</w:t>
      </w:r>
      <w:proofErr w:type="spellEnd"/>
      <w:r>
        <w:rPr>
          <w:color w:val="20242C"/>
        </w:rPr>
        <w:t>" من "الله" بـ "مُهمة" "التربية" و"التنشئة". و"رضاؤهما" – بالتالي – ليس "غاية" في "ذاته"، بل هو "تكليف استخلافي" و"وسيلة" "للتقرب" إلى "الله" الذي "أمر" بـ "برهما" [1174، 1175].</w:t>
      </w:r>
    </w:p>
    <w:p w14:paraId="4D698906" w14:textId="77777777" w:rsidR="0016098E" w:rsidRDefault="00DD623A">
      <w:pPr>
        <w:pStyle w:val="2"/>
        <w:bidi/>
        <w:spacing w:before="320" w:after="220"/>
        <w:jc w:val="right"/>
        <w:rPr>
          <w:rFonts w:cs="Arial"/>
        </w:rPr>
      </w:pPr>
      <w:r>
        <w:rPr>
          <w:b/>
          <w:bCs/>
          <w:color w:val="11605C"/>
          <w:sz w:val="27"/>
          <w:szCs w:val="27"/>
        </w:rPr>
        <w:t>1.2 "انقلاب" "التراتبية": "تأليه" "الوسائط" و"عبادة" "غير الله"</w:t>
      </w:r>
    </w:p>
    <w:p w14:paraId="64BA779B" w14:textId="77777777" w:rsidR="0016098E" w:rsidRDefault="00DD623A">
      <w:pPr>
        <w:spacing w:after="200" w:line="336" w:lineRule="auto"/>
        <w:jc w:val="both"/>
        <w:rPr>
          <w:rFonts w:cs="Arial"/>
        </w:rPr>
      </w:pPr>
      <w:r>
        <w:rPr>
          <w:color w:val="20242C"/>
        </w:rPr>
        <w:t>"الخطر" "الأكبر" – كما "يُشخصه" "علم النفس الاستخلافي" – هو "أن" "تَحدُث" "انقلاب" في "هذه التراتبية الوجودية": أن "يَتحول" "الوالدان" – في "وعي" "الابن" أو "الابنة" – من "وسيلة" إلى "غاية"، ومن "مُكلفَين" إلى "مُشرعَين"، ومن "جسر" إلى "عائق". وهذا "الانقلاب" – كما "يُجادل" هذا النموذج – هو "جوهر" "الفصام الأخلاقي" و"الشرك الخفي": "تقديم" "رضاء المخلوق" (الوالد) على "رضاء الخالق" (الله)، و"نقل" "السيادة" من "المُتعالي" إلى "البشر". وهذا – في "النموذج الهرمي" – هو "تفعيل" لـ "الضلع الثالث" (شيطان ← أمارة) على "المستوى" "الأسري": "إغواء" "الابن" بـ "الخوف" من "غضب" "الوالدين" و"الرغبة" في "رضاهما" "ليَتنازل" عن "حريته" و"كرامته" و"إيمانه" [961، 1191، 1248].</w:t>
      </w:r>
    </w:p>
    <w:p w14:paraId="608B59A3" w14:textId="6881ED7F" w:rsidR="0016098E" w:rsidRDefault="00DD623A">
      <w:pPr>
        <w:pStyle w:val="2"/>
        <w:bidi/>
        <w:spacing w:before="320" w:after="220"/>
        <w:jc w:val="right"/>
        <w:rPr>
          <w:rFonts w:cs="Arial"/>
        </w:rPr>
      </w:pPr>
      <w:r>
        <w:rPr>
          <w:b/>
          <w:bCs/>
          <w:color w:val="11605C"/>
          <w:sz w:val="27"/>
          <w:szCs w:val="27"/>
        </w:rPr>
        <w:t xml:space="preserve">1.3 ابن خلدون والسلطة الأسرية: من "العصبية" إلى "الاستخلاف" </w:t>
      </w:r>
    </w:p>
    <w:p w14:paraId="5CFAA45F" w14:textId="77777777" w:rsidR="0016098E" w:rsidRDefault="00DD623A">
      <w:pPr>
        <w:spacing w:after="200" w:line="336" w:lineRule="auto"/>
        <w:jc w:val="both"/>
        <w:rPr>
          <w:rFonts w:cs="Arial"/>
        </w:rPr>
      </w:pPr>
      <w:r>
        <w:rPr>
          <w:color w:val="20242C"/>
        </w:rPr>
        <w:t xml:space="preserve">يقدّم ابن خلدون، في تحليله لنشأة السلطة داخل العصبية، مفهوماً يمكن توظيفه توظيفاً نقدياً في قراءة السلطة الوالدية: فالعصبية عنده قوة رابطة تُنتج تماسكاً اجتماعياً، لكنها – إذا لم تُهذَّب بمقصد أخلاقي متعالٍ – تنقلب إلى "غلبة" و"استبداد" لذاتيهما، لا لخدمة غاية أسمى (ابن خلدون، المقدمة). ويرى علم النفس الاستخلافي في هذا التمييز نظيراً دقيقاً لما يجري داخل الأسرة: فالسلطة الوالدية المشروعة هي "عصبية موجَّهة" نحو تربية الفطرة وتوصيلها إلى ميثاق الاستخلاف الأكبر، بينما تتحول هذه السلطة – حين تنقطع عن غايتها – إلى "عصبية مغلقة على ذاتها"، تطلب الطاعة لذات الطاعة، لا لأنها جسر نحو الله. بهذا المعنى، فإن "تأليه الوسائط" الذي تحدثنا عنه سابقاً هو، من زاوية </w:t>
      </w:r>
      <w:proofErr w:type="spellStart"/>
      <w:r>
        <w:rPr>
          <w:color w:val="20242C"/>
        </w:rPr>
        <w:t>خلدونية</w:t>
      </w:r>
      <w:proofErr w:type="spellEnd"/>
      <w:r>
        <w:rPr>
          <w:color w:val="20242C"/>
        </w:rPr>
        <w:t>، انحطاط للعصبية الوالدية من وظيفتها الاستخلافية التربوية إلى وظيفة الغلبة المجردة.</w:t>
      </w:r>
    </w:p>
    <w:p w14:paraId="1680A868" w14:textId="77777777" w:rsidR="0016098E" w:rsidRDefault="00DD623A">
      <w:pPr>
        <w:spacing w:after="200" w:line="336" w:lineRule="auto"/>
        <w:jc w:val="both"/>
        <w:rPr>
          <w:rFonts w:cs="Arial"/>
        </w:rPr>
      </w:pPr>
      <w:r>
        <w:rPr>
          <w:color w:val="20242C"/>
        </w:rPr>
        <w:t xml:space="preserve">هذا التوظيف لا يعني مطابقة كاملة بين مفهوم ابن خلدون التاريخي-الاجتماعي (الذي يفسّر قيام الدول وسقوطها) وبين علم النفس الأسري الفردي، بل هو استعارة تفسيرية تُبرز أن منطق "الغلبة بلا غاية متعالية" يتكرر على مستويات متعددة، من الدولة إلى الأسرة، وأن الضابط الوحيد الذي يمنع انقلاب أي سلطة – سياسية كانت أو أسرية – إلى استبداد هو ارتباطها الدائم بمرجعية فوق-بشرية تُقيّدها </w:t>
      </w:r>
      <w:proofErr w:type="spellStart"/>
      <w:r>
        <w:rPr>
          <w:color w:val="20242C"/>
        </w:rPr>
        <w:t>وتُسائلها</w:t>
      </w:r>
      <w:proofErr w:type="spellEnd"/>
      <w:r>
        <w:rPr>
          <w:color w:val="20242C"/>
        </w:rPr>
        <w:t>.</w:t>
      </w:r>
    </w:p>
    <w:p w14:paraId="60C953BA" w14:textId="695DE20F" w:rsidR="0016098E" w:rsidRDefault="00DD623A">
      <w:pPr>
        <w:pStyle w:val="2"/>
        <w:bidi/>
        <w:spacing w:before="320" w:after="220"/>
        <w:jc w:val="right"/>
        <w:rPr>
          <w:rFonts w:cs="Arial"/>
        </w:rPr>
      </w:pPr>
      <w:r>
        <w:rPr>
          <w:b/>
          <w:bCs/>
          <w:color w:val="11605C"/>
          <w:sz w:val="27"/>
          <w:szCs w:val="27"/>
        </w:rPr>
        <w:t xml:space="preserve">1.4 فوكو والانضباط الأسري: "السلطة الحيوية" داخل جدران البيت </w:t>
      </w:r>
    </w:p>
    <w:p w14:paraId="269DFE62" w14:textId="77777777" w:rsidR="0016098E" w:rsidRDefault="00DD623A">
      <w:pPr>
        <w:spacing w:after="200" w:line="336" w:lineRule="auto"/>
        <w:jc w:val="both"/>
        <w:rPr>
          <w:rFonts w:cs="Arial"/>
        </w:rPr>
      </w:pPr>
      <w:r>
        <w:rPr>
          <w:color w:val="20242C"/>
        </w:rPr>
        <w:t>يذهب ميشيل فوكو إلى أن السلطة الحديثة لا تعمل غالباً عبر القمع الصريح، بل عبر آليات دقيقة من "الانضباط" و"المراقبة" و"التطبيع" تُنتج ذواتاً خاضعة دون حاجة إلى قسر ظاهر (</w:t>
      </w:r>
      <w:proofErr w:type="spellStart"/>
      <w:r>
        <w:rPr>
          <w:color w:val="20242C"/>
        </w:rPr>
        <w:t>Foucault</w:t>
      </w:r>
      <w:proofErr w:type="spellEnd"/>
      <w:r>
        <w:rPr>
          <w:color w:val="20242C"/>
        </w:rPr>
        <w:t>, 1975). ويجد علم النفس الاستخلافي في هذا التحليل أداة تفسيرية نافعة لفهم كيف تتشكل "الطاعة العمياء" للوالدين لا عبر أمر صريح متكرر فحسب، بل عبر شبكة من النظرات، والمقارنات، والعقاب الرمزي (سحب الحب، إشعار الابن بالذنب)، التي تُنتج – مع الوقت – رقيباً داخلياً يراقب الذات نيابة عن الوالد حتى في غيابه. هذا "الرقيب الداخلي" هو ما يسميه النموذج الاستخلافي بـ"الأنا الأعلى السادي" حين ينفصل عن مقصده الأخلاقي ويتحول إلى آلية ضبط ذاتي بلا غاية متعالية.</w:t>
      </w:r>
    </w:p>
    <w:p w14:paraId="1634BA17" w14:textId="77777777" w:rsidR="0016098E" w:rsidRDefault="00DD623A">
      <w:pPr>
        <w:spacing w:after="200" w:line="336" w:lineRule="auto"/>
        <w:jc w:val="both"/>
        <w:rPr>
          <w:rFonts w:cs="Arial"/>
        </w:rPr>
      </w:pPr>
      <w:r>
        <w:rPr>
          <w:color w:val="20242C"/>
        </w:rPr>
        <w:t>غير أن التوظيف الاستخلافي لفوكو ليس تبنياً غير نقدي لفلسفته العدمية تجاه المعيار الأخلاقي المطلق؛ فحيث يميل فوكو إلى تفكيك كل سلطة باعتبارها بناءً تاريخياً محضاً بلا مرجعية ثابتة، يرى علم النفس الاستخلافي أن ثمة معياراً متعالياً (الوحي) يمكن أن يكون نقطة ارتكاز خارج شبكة السلطة نفسها، تُستخدم لمساءلة "الانضباط الأسري" دون الانزلاق إلى نسبية أخلاقية شاملة. بعبارة أخرى: تُستعار أداة فوكو التشخيصية (كيف تُنتَج الخضوع)، بينما يُستبدل حلّه (تفكيك كل معيار) بحلّ استخلافي (توحيد المرجعية في الله وحده، وتحرير الذات من سلطة الوسائط البشرية دون الوقوع في العدمية).</w:t>
      </w:r>
    </w:p>
    <w:p w14:paraId="7FD3B894" w14:textId="77777777" w:rsidR="0016098E" w:rsidRDefault="00DD623A">
      <w:pPr>
        <w:pStyle w:val="1"/>
        <w:pBdr>
          <w:bottom w:val="single" w:sz="12" w:space="6" w:color="B8860B"/>
        </w:pBdr>
        <w:bidi/>
        <w:spacing w:before="480" w:after="220"/>
        <w:jc w:val="right"/>
        <w:rPr>
          <w:rFonts w:cs="Arial"/>
        </w:rPr>
      </w:pPr>
      <w:r>
        <w:rPr>
          <w:b/>
          <w:bCs/>
          <w:color w:val="1B2A4A"/>
        </w:rPr>
        <w:t>الفصل الثاني: "الأسرة" و"الفطرة" – "مصنع" "صغير" للتوحيد أم "مسرح" للصراع؟</w:t>
      </w:r>
    </w:p>
    <w:p w14:paraId="785CF6C1" w14:textId="77777777" w:rsidR="0016098E" w:rsidRDefault="00DD623A">
      <w:pPr>
        <w:pStyle w:val="2"/>
        <w:bidi/>
        <w:spacing w:before="320" w:after="220"/>
        <w:jc w:val="right"/>
        <w:rPr>
          <w:rFonts w:cs="Arial"/>
        </w:rPr>
      </w:pPr>
      <w:r>
        <w:rPr>
          <w:b/>
          <w:bCs/>
          <w:color w:val="11605C"/>
          <w:sz w:val="27"/>
          <w:szCs w:val="27"/>
        </w:rPr>
        <w:t>2.1 "الأسرة" و"إيقاظ الفطرة": "جسر" نحو "الله"</w:t>
      </w:r>
    </w:p>
    <w:p w14:paraId="21734705" w14:textId="77777777" w:rsidR="0016098E" w:rsidRDefault="00DD623A">
      <w:pPr>
        <w:spacing w:after="200" w:line="336" w:lineRule="auto"/>
        <w:jc w:val="both"/>
        <w:rPr>
          <w:rFonts w:cs="Arial"/>
        </w:rPr>
      </w:pPr>
      <w:r>
        <w:rPr>
          <w:color w:val="20242C"/>
        </w:rPr>
        <w:t xml:space="preserve">"الأسرة" – في "التصور الاستخلافي" – ليست "مجرد" "وحدة اجتماعية" أو "اقتصادية"، بل هي – قبل ذلك – "ميثاق أزلي مصغر" و"مصنع صغير" "لإيقاظ الفطرة" و"ربط الأبناء" بـ "الله" [1360]. و"مهمة" "الوالدين" – "الأساسية" – هي أن "يكونَا" "جسراً" نحو "الخالق"، لا "عائقاً" دونه. "الحب" و"الرعاية" و"التوجيه" – التي "يُقدمونها" – "يَجِب" أن "تُوجه" "قلب" "الطفل" إلى "الله"، لا أن "تَأسره" </w:t>
      </w:r>
      <w:proofErr w:type="spellStart"/>
      <w:r>
        <w:rPr>
          <w:color w:val="20242C"/>
        </w:rPr>
        <w:t>و"تَستعبده</w:t>
      </w:r>
      <w:proofErr w:type="spellEnd"/>
      <w:r>
        <w:rPr>
          <w:color w:val="20242C"/>
        </w:rPr>
        <w:t>" [1361].</w:t>
      </w:r>
    </w:p>
    <w:p w14:paraId="5E785CDD" w14:textId="77777777" w:rsidR="0016098E" w:rsidRDefault="00DD623A">
      <w:pPr>
        <w:pStyle w:val="2"/>
        <w:bidi/>
        <w:spacing w:before="320" w:after="220"/>
        <w:jc w:val="right"/>
        <w:rPr>
          <w:rFonts w:cs="Arial"/>
        </w:rPr>
      </w:pPr>
      <w:r>
        <w:rPr>
          <w:b/>
          <w:bCs/>
          <w:color w:val="11605C"/>
          <w:sz w:val="27"/>
          <w:szCs w:val="27"/>
        </w:rPr>
        <w:t>2.2 "انحراف" "الأسرة": "مسرح" "للصراع" و"سجن" "</w:t>
      </w:r>
      <w:proofErr w:type="spellStart"/>
      <w:r>
        <w:rPr>
          <w:b/>
          <w:bCs/>
          <w:color w:val="11605C"/>
          <w:sz w:val="27"/>
          <w:szCs w:val="27"/>
        </w:rPr>
        <w:t>للأنا</w:t>
      </w:r>
      <w:proofErr w:type="spellEnd"/>
      <w:r>
        <w:rPr>
          <w:b/>
          <w:bCs/>
          <w:color w:val="11605C"/>
          <w:sz w:val="27"/>
          <w:szCs w:val="27"/>
        </w:rPr>
        <w:t xml:space="preserve"> الأعلى"</w:t>
      </w:r>
    </w:p>
    <w:p w14:paraId="4A8F6027" w14:textId="77777777" w:rsidR="0016098E" w:rsidRDefault="00DD623A">
      <w:pPr>
        <w:spacing w:after="200" w:line="336" w:lineRule="auto"/>
        <w:jc w:val="both"/>
        <w:rPr>
          <w:rFonts w:cs="Arial"/>
        </w:rPr>
      </w:pPr>
      <w:r>
        <w:rPr>
          <w:color w:val="20242C"/>
        </w:rPr>
        <w:t xml:space="preserve">لكن "الأسرة" – كما "يُحذر" علم النفس الاستخلافي – قد "تَنحرف" – "أيضاً" – عن "وظيفتها" "الفطرية"، </w:t>
      </w:r>
      <w:proofErr w:type="spellStart"/>
      <w:r>
        <w:rPr>
          <w:color w:val="20242C"/>
        </w:rPr>
        <w:t>و"تَتحول</w:t>
      </w:r>
      <w:proofErr w:type="spellEnd"/>
      <w:r>
        <w:rPr>
          <w:color w:val="20242C"/>
        </w:rPr>
        <w:t>" – "بفعل" "الجهل" أو "الاستبداد" أو "التسلط" – إلى "مسرح" "للصراع" و"سجن" "</w:t>
      </w:r>
      <w:proofErr w:type="spellStart"/>
      <w:r>
        <w:rPr>
          <w:color w:val="20242C"/>
        </w:rPr>
        <w:t>للأنا</w:t>
      </w:r>
      <w:proofErr w:type="spellEnd"/>
      <w:r>
        <w:rPr>
          <w:color w:val="20242C"/>
        </w:rPr>
        <w:t xml:space="preserve"> الأعلى القاسي". فـ "الوالدان" "المُتسلطان" – اللذان "يَطلبان" "الطاعة العمياء" </w:t>
      </w:r>
      <w:proofErr w:type="spellStart"/>
      <w:r>
        <w:rPr>
          <w:color w:val="20242C"/>
        </w:rPr>
        <w:t>و"يَرفضان</w:t>
      </w:r>
      <w:proofErr w:type="spellEnd"/>
      <w:r>
        <w:rPr>
          <w:color w:val="20242C"/>
        </w:rPr>
        <w:t xml:space="preserve">" "الحوار" </w:t>
      </w:r>
      <w:proofErr w:type="spellStart"/>
      <w:r>
        <w:rPr>
          <w:color w:val="20242C"/>
        </w:rPr>
        <w:t>و"يُعاقبان</w:t>
      </w:r>
      <w:proofErr w:type="spellEnd"/>
      <w:r>
        <w:rPr>
          <w:color w:val="20242C"/>
        </w:rPr>
        <w:t xml:space="preserve">" على "الاستقلال" – "يَزرعان" في "نفس" "الطفل" "بذور" "الخوف" و"الذنب" و"التبعية"، </w:t>
      </w:r>
      <w:proofErr w:type="spellStart"/>
      <w:r>
        <w:rPr>
          <w:color w:val="20242C"/>
        </w:rPr>
        <w:t>و"يُحولان</w:t>
      </w:r>
      <w:proofErr w:type="spellEnd"/>
      <w:r>
        <w:rPr>
          <w:color w:val="20242C"/>
        </w:rPr>
        <w:t>" "صورتهما" إلى "صنم" "يُعبد" من دون "الله". وهذا – كما "يُجادل" هذا النموذج – هو "أصل" "الكثير" من "الأمراض" "النفسية" و"الاضطرابات" "الشخصية" في "الكبر" [1221، 1369].</w:t>
      </w:r>
    </w:p>
    <w:p w14:paraId="79689826" w14:textId="77777777" w:rsidR="0016098E" w:rsidRDefault="00DD623A">
      <w:pPr>
        <w:pStyle w:val="2"/>
        <w:bidi/>
        <w:spacing w:before="320" w:after="220"/>
        <w:jc w:val="right"/>
        <w:rPr>
          <w:rFonts w:cs="Arial"/>
        </w:rPr>
      </w:pPr>
      <w:r>
        <w:rPr>
          <w:b/>
          <w:bCs/>
          <w:color w:val="11605C"/>
          <w:sz w:val="27"/>
          <w:szCs w:val="27"/>
        </w:rPr>
        <w:t>2.3 الغزالي وتربية الفطرة في "إحياء علوم الدين" (فصل جديد)</w:t>
      </w:r>
    </w:p>
    <w:p w14:paraId="3CA1DDCB" w14:textId="77777777" w:rsidR="0016098E" w:rsidRDefault="00DD623A">
      <w:pPr>
        <w:spacing w:after="200" w:line="336" w:lineRule="auto"/>
        <w:jc w:val="both"/>
        <w:rPr>
          <w:rFonts w:cs="Arial"/>
        </w:rPr>
      </w:pPr>
      <w:r>
        <w:rPr>
          <w:color w:val="20242C"/>
        </w:rPr>
        <w:t>يرى الغزالي أن الطفل يُولد على فطرة قابلة للخير والشر معاً، وأن الأبوين هما أول من يطبع في هذه الفطرة صورتها الأولى، حتى إنه يشبّه قلب الطفل بـ"الجوهر النفيس الخالي من كل نقش وصورة"، القابل لكل ما يُنقش فيه، فإن عُوِّد الخير نشأ عليه، وإن عُوِّد الشر شقي وهلك، وكان الوزر في رقبة القيّم عليه (الغزالي، إحياء علوم الدين). ويجد علم النفس الاستخلافي في هذا النص الغزالي تأصيلاً كلاسيكياً مبكراً لفكرة "الأسرة كجسر" لا "كغاية": فالأبوان مؤتمنان على هذا الجوهر النفيس بوصفهما وكيلَين عن الله في تشكيله، لا مالكَين له.</w:t>
      </w:r>
    </w:p>
    <w:p w14:paraId="28C6957B" w14:textId="77777777" w:rsidR="0016098E" w:rsidRDefault="00DD623A">
      <w:pPr>
        <w:spacing w:after="200" w:line="336" w:lineRule="auto"/>
        <w:jc w:val="both"/>
        <w:rPr>
          <w:rFonts w:cs="Arial"/>
        </w:rPr>
      </w:pPr>
      <w:r>
        <w:rPr>
          <w:color w:val="20242C"/>
        </w:rPr>
        <w:t>هذا التأصيل الغزالي يمنح النموذج الاستخلافي سنداً معرفياً من صميم التراث، لا من الاستعارة الغربية فقط، فيُظهر أن التمييز بين "التربية الوسائطية الموجِّهة إلى الله" و"التربية التملّكية الحاجبة عن الله" ليس ابتكاراً معاصراً، بل امتداد لخط تأصيلي عريق في علم النفس التربوي الإسلامي، وهو ما يعزز – كما تكرر في أدبيات هذا الحقل – موقع علم النفس الاستخلافي بوصفه بناءً مستأنِفاً لا مستورداً.</w:t>
      </w:r>
    </w:p>
    <w:p w14:paraId="65615644" w14:textId="77777777" w:rsidR="0016098E" w:rsidRDefault="00DD623A">
      <w:pPr>
        <w:pStyle w:val="2"/>
        <w:bidi/>
        <w:spacing w:before="320" w:after="220"/>
        <w:jc w:val="right"/>
        <w:rPr>
          <w:rFonts w:cs="Arial"/>
        </w:rPr>
      </w:pPr>
      <w:r>
        <w:rPr>
          <w:b/>
          <w:bCs/>
          <w:color w:val="11605C"/>
          <w:sz w:val="27"/>
          <w:szCs w:val="27"/>
        </w:rPr>
        <w:t xml:space="preserve">2.4 </w:t>
      </w:r>
      <w:proofErr w:type="spellStart"/>
      <w:r>
        <w:rPr>
          <w:b/>
          <w:bCs/>
          <w:color w:val="11605C"/>
          <w:sz w:val="27"/>
          <w:szCs w:val="27"/>
        </w:rPr>
        <w:t>فرانكل</w:t>
      </w:r>
      <w:proofErr w:type="spellEnd"/>
      <w:r>
        <w:rPr>
          <w:b/>
          <w:bCs/>
          <w:color w:val="11605C"/>
          <w:sz w:val="27"/>
          <w:szCs w:val="27"/>
        </w:rPr>
        <w:t xml:space="preserve"> والأسرة كمصدر للمعنى: بين "الحرية" و"القيد" (فصل جديد)</w:t>
      </w:r>
    </w:p>
    <w:p w14:paraId="62374C96" w14:textId="77777777" w:rsidR="0016098E" w:rsidRDefault="00DD623A">
      <w:pPr>
        <w:spacing w:after="200" w:line="336" w:lineRule="auto"/>
        <w:jc w:val="both"/>
        <w:rPr>
          <w:rFonts w:cs="Arial"/>
        </w:rPr>
      </w:pPr>
      <w:r>
        <w:rPr>
          <w:color w:val="20242C"/>
        </w:rPr>
        <w:t xml:space="preserve">يؤكد فيكتور </w:t>
      </w:r>
      <w:proofErr w:type="spellStart"/>
      <w:r>
        <w:rPr>
          <w:color w:val="20242C"/>
        </w:rPr>
        <w:t>فرانكل</w:t>
      </w:r>
      <w:proofErr w:type="spellEnd"/>
      <w:r>
        <w:rPr>
          <w:color w:val="20242C"/>
        </w:rPr>
        <w:t xml:space="preserve">، مؤسس </w:t>
      </w:r>
      <w:proofErr w:type="spellStart"/>
      <w:r>
        <w:rPr>
          <w:color w:val="20242C"/>
        </w:rPr>
        <w:t>اللوغوثيرابيا</w:t>
      </w:r>
      <w:proofErr w:type="spellEnd"/>
      <w:r>
        <w:rPr>
          <w:color w:val="20242C"/>
        </w:rPr>
        <w:t>، أن الإنسان لا يُشبع حاجته الأعمق باللذة أو بالقوة، بل بـ"إرادة المعنى"، وأن أعمق صور المعاناة النفسية تنشأ من "فراغ وجودي" حين يُحرم الإنسان من حريته في اختيار موقفه من الظروف المحيطة به (</w:t>
      </w:r>
      <w:proofErr w:type="spellStart"/>
      <w:r>
        <w:rPr>
          <w:color w:val="20242C"/>
        </w:rPr>
        <w:t>Frankl</w:t>
      </w:r>
      <w:proofErr w:type="spellEnd"/>
      <w:r>
        <w:rPr>
          <w:color w:val="20242C"/>
        </w:rPr>
        <w:t>, 1946). ويستثمر علم النفس الاستخلافي هذا المفهوم في قراءة الأسرة المتسلطة بوصفها بيئة تُنتج "فراغاً وجودياً" من نوع خاص: فراغاً ينشأ لا من غياب المعنى، بل من مصادرته، حين تُلغى إرادة الابن في اختيار موقفه، وتُستبدل بموقف الوالد مباشرة، دون وساطة الاختيار الحر.</w:t>
      </w:r>
    </w:p>
    <w:p w14:paraId="7E82072E" w14:textId="77777777" w:rsidR="0016098E" w:rsidRDefault="00DD623A">
      <w:pPr>
        <w:spacing w:after="200" w:line="336" w:lineRule="auto"/>
        <w:jc w:val="both"/>
        <w:rPr>
          <w:rFonts w:cs="Arial"/>
        </w:rPr>
      </w:pPr>
      <w:r>
        <w:rPr>
          <w:color w:val="20242C"/>
        </w:rPr>
        <w:t xml:space="preserve">لكن الفارق الجوهري بين </w:t>
      </w:r>
      <w:proofErr w:type="spellStart"/>
      <w:r>
        <w:rPr>
          <w:color w:val="20242C"/>
        </w:rPr>
        <w:t>اللوغوثيرابيا</w:t>
      </w:r>
      <w:proofErr w:type="spellEnd"/>
      <w:r>
        <w:rPr>
          <w:color w:val="20242C"/>
        </w:rPr>
        <w:t xml:space="preserve"> </w:t>
      </w:r>
      <w:proofErr w:type="spellStart"/>
      <w:r>
        <w:rPr>
          <w:color w:val="20242C"/>
        </w:rPr>
        <w:t>الفرانكلية</w:t>
      </w:r>
      <w:proofErr w:type="spellEnd"/>
      <w:r>
        <w:rPr>
          <w:color w:val="20242C"/>
        </w:rPr>
        <w:t xml:space="preserve"> والنموذج الاستخلافي هو مصدر المعنى ذاته: فمعنى </w:t>
      </w:r>
      <w:proofErr w:type="spellStart"/>
      <w:r>
        <w:rPr>
          <w:color w:val="20242C"/>
        </w:rPr>
        <w:t>فرانكل</w:t>
      </w:r>
      <w:proofErr w:type="spellEnd"/>
      <w:r>
        <w:rPr>
          <w:color w:val="20242C"/>
        </w:rPr>
        <w:t xml:space="preserve"> قابل للتشكل من مصادر متعددة (العمل، الحب، المعاناة المُتحمَّلة بكرامة)، بينما يرى علم النفس الاستخلافي أن المعنى النهائي والمستقر لا يتحقق تحققاً تاماً إلا في أفق العبودية لله </w:t>
      </w:r>
      <w:proofErr w:type="spellStart"/>
      <w:r>
        <w:rPr>
          <w:color w:val="20242C"/>
        </w:rPr>
        <w:t>والاستخلاف</w:t>
      </w:r>
      <w:proofErr w:type="spellEnd"/>
      <w:r>
        <w:rPr>
          <w:color w:val="20242C"/>
        </w:rPr>
        <w:t xml:space="preserve"> عنه؛ فالحرية التي تمنحها الأسرة السوية لأبنائها ليست حرية بلا غاية، بل حرية موجَّهة نحو هذا الأفق المتعالي، وهو ما يميز "الجسر" السوي عن "الفراغ" الوجودي الذي يحذر منه </w:t>
      </w:r>
      <w:proofErr w:type="spellStart"/>
      <w:r>
        <w:rPr>
          <w:color w:val="20242C"/>
        </w:rPr>
        <w:t>فرانكل</w:t>
      </w:r>
      <w:proofErr w:type="spellEnd"/>
      <w:r>
        <w:rPr>
          <w:color w:val="20242C"/>
        </w:rPr>
        <w:t>.</w:t>
      </w:r>
    </w:p>
    <w:p w14:paraId="5D5A771B" w14:textId="77777777" w:rsidR="0016098E" w:rsidRDefault="00DD623A">
      <w:pPr>
        <w:pStyle w:val="1"/>
        <w:pBdr>
          <w:bottom w:val="single" w:sz="12" w:space="6" w:color="B8860B"/>
        </w:pBdr>
        <w:bidi/>
        <w:spacing w:before="480" w:after="220"/>
        <w:jc w:val="right"/>
        <w:rPr>
          <w:rFonts w:cs="Arial"/>
        </w:rPr>
      </w:pPr>
      <w:r>
        <w:rPr>
          <w:b/>
          <w:bCs/>
          <w:color w:val="1B2A4A"/>
        </w:rPr>
        <w:t>الفصل الثالث: "الفصام الأخلاقي" و"الديون الوهمية" – "ثمن" "تقديم" "المخلوق" على "الخالق"</w:t>
      </w:r>
    </w:p>
    <w:p w14:paraId="72982956" w14:textId="77777777" w:rsidR="0016098E" w:rsidRDefault="00DD623A">
      <w:pPr>
        <w:pStyle w:val="2"/>
        <w:bidi/>
        <w:spacing w:before="320" w:after="220"/>
        <w:jc w:val="right"/>
        <w:rPr>
          <w:rFonts w:cs="Arial"/>
        </w:rPr>
      </w:pPr>
      <w:r>
        <w:rPr>
          <w:b/>
          <w:bCs/>
          <w:color w:val="11605C"/>
          <w:sz w:val="27"/>
          <w:szCs w:val="27"/>
        </w:rPr>
        <w:t>3.1 "الفصام الأخلاقي": "تمزق" "النفس" بين "نداءين"</w:t>
      </w:r>
    </w:p>
    <w:p w14:paraId="5276C2F9" w14:textId="77777777" w:rsidR="0016098E" w:rsidRDefault="00DD623A">
      <w:pPr>
        <w:spacing w:after="200" w:line="336" w:lineRule="auto"/>
        <w:jc w:val="both"/>
        <w:rPr>
          <w:rFonts w:cs="Arial"/>
        </w:rPr>
      </w:pPr>
      <w:r>
        <w:rPr>
          <w:color w:val="20242C"/>
        </w:rPr>
        <w:t>"الإنسان" الذي "يُفضل" "رضاء والديه" على "رضاء الله" – كما "يُشخص" علم النفس الاستخلافي – "يَعيش" "حالة" من "الفصام الأخلاقي" (</w:t>
      </w:r>
      <w:proofErr w:type="spellStart"/>
      <w:r>
        <w:rPr>
          <w:color w:val="20242C"/>
        </w:rPr>
        <w:t>Moral</w:t>
      </w:r>
      <w:proofErr w:type="spellEnd"/>
      <w:r>
        <w:rPr>
          <w:color w:val="20242C"/>
        </w:rPr>
        <w:t xml:space="preserve"> </w:t>
      </w:r>
      <w:proofErr w:type="spellStart"/>
      <w:r>
        <w:rPr>
          <w:color w:val="20242C"/>
        </w:rPr>
        <w:t>Schizophrenia</w:t>
      </w:r>
      <w:proofErr w:type="spellEnd"/>
      <w:r>
        <w:rPr>
          <w:color w:val="20242C"/>
        </w:rPr>
        <w:t xml:space="preserve">) "الحاد": "تمزق" "النفس" بين "نداءين" "مُتناقضين": "نداء" "الفطرة" (التي "تشتاق" إلى "الله" </w:t>
      </w:r>
      <w:proofErr w:type="spellStart"/>
      <w:r>
        <w:rPr>
          <w:color w:val="20242C"/>
        </w:rPr>
        <w:t>و"تَبحث</w:t>
      </w:r>
      <w:proofErr w:type="spellEnd"/>
      <w:r>
        <w:rPr>
          <w:color w:val="20242C"/>
        </w:rPr>
        <w:t>" عن "الحق" و"الاستقلال")، و"نداء" "الأنا الأعلى" (الذي "</w:t>
      </w:r>
      <w:proofErr w:type="spellStart"/>
      <w:r>
        <w:rPr>
          <w:color w:val="20242C"/>
        </w:rPr>
        <w:t>استدمج</w:t>
      </w:r>
      <w:proofErr w:type="spellEnd"/>
      <w:r>
        <w:rPr>
          <w:color w:val="20242C"/>
        </w:rPr>
        <w:t xml:space="preserve">" "صوت" "الوالدين" و"أوامرهما" </w:t>
      </w:r>
      <w:proofErr w:type="spellStart"/>
      <w:r>
        <w:rPr>
          <w:color w:val="20242C"/>
        </w:rPr>
        <w:t>و"تَهديداتهما</w:t>
      </w:r>
      <w:proofErr w:type="spellEnd"/>
      <w:r>
        <w:rPr>
          <w:color w:val="20242C"/>
        </w:rPr>
        <w:t xml:space="preserve">"). وهذا "التمزق" – كما "يُؤكد" هذا النموذج – "يُولد" "قلقاً" "مُزمناً" </w:t>
      </w:r>
      <w:proofErr w:type="spellStart"/>
      <w:r>
        <w:rPr>
          <w:color w:val="20242C"/>
        </w:rPr>
        <w:t>و"شعوراً</w:t>
      </w:r>
      <w:proofErr w:type="spellEnd"/>
      <w:r>
        <w:rPr>
          <w:color w:val="20242C"/>
        </w:rPr>
        <w:t xml:space="preserve">" "بالتيه" و"الضياع"، </w:t>
      </w:r>
      <w:proofErr w:type="spellStart"/>
      <w:r>
        <w:rPr>
          <w:color w:val="20242C"/>
        </w:rPr>
        <w:t>و"يَقود</w:t>
      </w:r>
      <w:proofErr w:type="spellEnd"/>
      <w:r>
        <w:rPr>
          <w:color w:val="20242C"/>
        </w:rPr>
        <w:t>" – في "النهاية" – إلى "الاكتئاب" و"فقدان المعنى" [772، 932، 1191].</w:t>
      </w:r>
    </w:p>
    <w:p w14:paraId="3122B887" w14:textId="77777777" w:rsidR="0016098E" w:rsidRDefault="00DD623A">
      <w:pPr>
        <w:pStyle w:val="2"/>
        <w:bidi/>
        <w:spacing w:before="320" w:after="220"/>
        <w:jc w:val="right"/>
        <w:rPr>
          <w:rFonts w:cs="Arial"/>
        </w:rPr>
      </w:pPr>
      <w:r>
        <w:rPr>
          <w:b/>
          <w:bCs/>
          <w:color w:val="11605C"/>
          <w:sz w:val="27"/>
          <w:szCs w:val="27"/>
        </w:rPr>
        <w:t>3.2 "الديون النفسية الوهمية": "مطالب" "مُستحيلة" و"ذنب" "دائم"</w:t>
      </w:r>
    </w:p>
    <w:p w14:paraId="1C0DE65E" w14:textId="77777777" w:rsidR="0016098E" w:rsidRDefault="00DD623A">
      <w:pPr>
        <w:spacing w:after="200" w:line="336" w:lineRule="auto"/>
        <w:jc w:val="both"/>
        <w:rPr>
          <w:rFonts w:cs="Arial"/>
        </w:rPr>
      </w:pPr>
      <w:r>
        <w:rPr>
          <w:color w:val="20242C"/>
        </w:rPr>
        <w:t>"بروتوكول TLRT" – كما "يُطبقه" علم النفس الاستخلافي – "يُساعد" "المريض" على "اكتشاف" أن "سعيه" "المَرضي" "لإرضاء" "والديه" "أياً كان الثمن" هو – في "الحقيقة" – "نتاج" لـ "ديون نفسية وهمية" "زرعها" "الوالدان" فيه منذ "الصغر": "أنت مدين لنا بحياتك، بكل شيء، ويجب أن تطيعنا دون نقاش". وهذه "الديون" – كما "يُجادل" – هي "مُستحيلة" "السداد"، لأن "رضاء البشر" – كما "يُعبر" – هو "غاية لا تُدرك"، بينما "رضاء الله" هو "ميسور بالتوبة" [1012، 1194].</w:t>
      </w:r>
    </w:p>
    <w:p w14:paraId="5C4B5706" w14:textId="77777777" w:rsidR="0016098E" w:rsidRDefault="00DD623A">
      <w:pPr>
        <w:pStyle w:val="2"/>
        <w:bidi/>
        <w:spacing w:before="320" w:after="220"/>
        <w:jc w:val="right"/>
        <w:rPr>
          <w:rFonts w:cs="Arial"/>
        </w:rPr>
      </w:pPr>
      <w:r>
        <w:rPr>
          <w:b/>
          <w:bCs/>
          <w:color w:val="11605C"/>
          <w:sz w:val="27"/>
          <w:szCs w:val="27"/>
        </w:rPr>
        <w:t xml:space="preserve">3.3 </w:t>
      </w:r>
      <w:proofErr w:type="spellStart"/>
      <w:r>
        <w:rPr>
          <w:b/>
          <w:bCs/>
          <w:color w:val="11605C"/>
          <w:sz w:val="27"/>
          <w:szCs w:val="27"/>
        </w:rPr>
        <w:t>ماكنتاير</w:t>
      </w:r>
      <w:proofErr w:type="spellEnd"/>
      <w:r>
        <w:rPr>
          <w:b/>
          <w:bCs/>
          <w:color w:val="11605C"/>
          <w:sz w:val="27"/>
          <w:szCs w:val="27"/>
        </w:rPr>
        <w:t xml:space="preserve"> وتشظّي الفضيلة: حين تتصارع "السرديات الأخلاقية" داخل الأسرة (فصل جديد)</w:t>
      </w:r>
    </w:p>
    <w:p w14:paraId="515667D5" w14:textId="77777777" w:rsidR="0016098E" w:rsidRDefault="00DD623A">
      <w:pPr>
        <w:spacing w:after="200" w:line="336" w:lineRule="auto"/>
        <w:jc w:val="both"/>
        <w:rPr>
          <w:rFonts w:cs="Arial"/>
        </w:rPr>
      </w:pPr>
      <w:r>
        <w:rPr>
          <w:color w:val="20242C"/>
        </w:rPr>
        <w:t xml:space="preserve">يذهب أليستر </w:t>
      </w:r>
      <w:proofErr w:type="spellStart"/>
      <w:r>
        <w:rPr>
          <w:color w:val="20242C"/>
        </w:rPr>
        <w:t>ماكنتاير</w:t>
      </w:r>
      <w:proofErr w:type="spellEnd"/>
      <w:r>
        <w:rPr>
          <w:color w:val="20242C"/>
        </w:rPr>
        <w:t xml:space="preserve"> في نقده للحداثة الأخلاقية إلى أن الإنسان المعاصر يرث شذرات متناثرة من نسق أخلاقي فقد سياقه التاريخي المتماسك (تقاليد الفضيلة </w:t>
      </w:r>
      <w:proofErr w:type="spellStart"/>
      <w:r>
        <w:rPr>
          <w:color w:val="20242C"/>
        </w:rPr>
        <w:t>الأرسطية</w:t>
      </w:r>
      <w:proofErr w:type="spellEnd"/>
      <w:r>
        <w:rPr>
          <w:color w:val="20242C"/>
        </w:rPr>
        <w:t>)، فينتج عن ذلك تعدد لغات أخلاقية متنافسة لا يمكن الفصل بينها عقلانياً بمعيار واحد (</w:t>
      </w:r>
      <w:proofErr w:type="spellStart"/>
      <w:r>
        <w:rPr>
          <w:color w:val="20242C"/>
        </w:rPr>
        <w:t>MacIntyre</w:t>
      </w:r>
      <w:proofErr w:type="spellEnd"/>
      <w:r>
        <w:rPr>
          <w:color w:val="20242C"/>
        </w:rPr>
        <w:t>, 1981). ويرى علم النفس الاستخلافي في هذا التشخيص تفسيراً دقيقاً لما يعيشه كثير من الأبناء داخل أسر تتنازعها مرجعيات متعددة غير متجانسة: مرجعية دينية معلنة، ومرجعية اجتماعية-عرفية ضمنية (السمعة، "ماذا سيقول الناس")، ومرجعية نفسية سلطوية (رغبة الوالد الشخصية)، تتقنّع أحياناً بلغة الدين لتُكسب نفسها شرعية لا تستحقها.</w:t>
      </w:r>
    </w:p>
    <w:p w14:paraId="7ADA2A5F" w14:textId="77777777" w:rsidR="0016098E" w:rsidRDefault="00DD623A">
      <w:pPr>
        <w:spacing w:after="200" w:line="336" w:lineRule="auto"/>
        <w:jc w:val="both"/>
        <w:rPr>
          <w:rFonts w:cs="Arial"/>
        </w:rPr>
      </w:pPr>
      <w:r>
        <w:rPr>
          <w:color w:val="20242C"/>
        </w:rPr>
        <w:t xml:space="preserve">هذا التشظي، في رأي علم النفس الاستخلافي، هو ما يجعل "الفصام الأخلاقي" أعمق من مجرد صراع بين نداءين (الفطرة </w:t>
      </w:r>
      <w:proofErr w:type="spellStart"/>
      <w:r>
        <w:rPr>
          <w:color w:val="20242C"/>
        </w:rPr>
        <w:t>والأنا</w:t>
      </w:r>
      <w:proofErr w:type="spellEnd"/>
      <w:r>
        <w:rPr>
          <w:color w:val="20242C"/>
        </w:rPr>
        <w:t xml:space="preserve"> الأعلى)، بل صراعاً بين عدة سرديات أخلاقية متنازعة يتقمص الأنا الأعلى إحداها ويقدمها للابن على أنها "صوت الله" ذاته. والحل الاستخلافي هنا يلتقي جزئياً مع دعوة </w:t>
      </w:r>
      <w:proofErr w:type="spellStart"/>
      <w:r>
        <w:rPr>
          <w:color w:val="20242C"/>
        </w:rPr>
        <w:t>ماكنتاير</w:t>
      </w:r>
      <w:proofErr w:type="spellEnd"/>
      <w:r>
        <w:rPr>
          <w:color w:val="20242C"/>
        </w:rPr>
        <w:t xml:space="preserve"> إلى استعادة تماسك سردي واحد، لكنه يحدد هذا التماسك بدقة أكبر: ليس العودة إلى تقليد أرسطي أو عرفي، بل توحيد المرجعية في مصدر واحد متعالٍ (الوحي) يُخضع كل السرديات الفرعية (الاجتماعية، النفسية، العرفية) لمساءلته، بدل أن يتساوى معها في مرتبة واحدة.</w:t>
      </w:r>
    </w:p>
    <w:p w14:paraId="1E98701B" w14:textId="77777777" w:rsidR="0016098E" w:rsidRDefault="00DD623A">
      <w:pPr>
        <w:pStyle w:val="2"/>
        <w:bidi/>
        <w:spacing w:before="320" w:after="220"/>
        <w:jc w:val="right"/>
        <w:rPr>
          <w:rFonts w:cs="Arial"/>
        </w:rPr>
      </w:pPr>
      <w:r>
        <w:rPr>
          <w:b/>
          <w:bCs/>
          <w:color w:val="11605C"/>
          <w:sz w:val="27"/>
          <w:szCs w:val="27"/>
        </w:rPr>
        <w:t xml:space="preserve">3.4 </w:t>
      </w:r>
      <w:proofErr w:type="spellStart"/>
      <w:r>
        <w:rPr>
          <w:b/>
          <w:bCs/>
          <w:color w:val="11605C"/>
          <w:sz w:val="27"/>
          <w:szCs w:val="27"/>
        </w:rPr>
        <w:t>هابرماس</w:t>
      </w:r>
      <w:proofErr w:type="spellEnd"/>
      <w:r>
        <w:rPr>
          <w:b/>
          <w:bCs/>
          <w:color w:val="11605C"/>
          <w:sz w:val="27"/>
          <w:szCs w:val="27"/>
        </w:rPr>
        <w:t>: "الفعل التواصلي" مقابل "الفعل الاستراتيجي" في الخطاب الأسري (فصل جديد)</w:t>
      </w:r>
    </w:p>
    <w:p w14:paraId="59117D5F" w14:textId="77777777" w:rsidR="0016098E" w:rsidRDefault="00DD623A">
      <w:pPr>
        <w:spacing w:after="200" w:line="336" w:lineRule="auto"/>
        <w:jc w:val="both"/>
        <w:rPr>
          <w:rFonts w:cs="Arial"/>
        </w:rPr>
      </w:pPr>
      <w:r>
        <w:rPr>
          <w:color w:val="20242C"/>
        </w:rPr>
        <w:t xml:space="preserve">يميّز </w:t>
      </w:r>
      <w:proofErr w:type="spellStart"/>
      <w:r>
        <w:rPr>
          <w:color w:val="20242C"/>
        </w:rPr>
        <w:t>يورغن</w:t>
      </w:r>
      <w:proofErr w:type="spellEnd"/>
      <w:r>
        <w:rPr>
          <w:color w:val="20242C"/>
        </w:rPr>
        <w:t xml:space="preserve"> </w:t>
      </w:r>
      <w:proofErr w:type="spellStart"/>
      <w:r>
        <w:rPr>
          <w:color w:val="20242C"/>
        </w:rPr>
        <w:t>هابرماس</w:t>
      </w:r>
      <w:proofErr w:type="spellEnd"/>
      <w:r>
        <w:rPr>
          <w:color w:val="20242C"/>
        </w:rPr>
        <w:t xml:space="preserve"> بين نمطين من الفعل الاجتماعي: "الفعل التواصلي" القائم على تفاهم متبادل يسعى فيه المتحاورون إلى تحقيق إجماع عقلاني حر من الإكراه، و"الفعل الاستراتيجي" الذي يوظَّف فيه الخطاب أداةً لتحقيق غاية أحادية الجانب دون اعتبار حقيقي لموقف الطرف الآخر (</w:t>
      </w:r>
      <w:proofErr w:type="spellStart"/>
      <w:r>
        <w:rPr>
          <w:color w:val="20242C"/>
        </w:rPr>
        <w:t>Habermas</w:t>
      </w:r>
      <w:proofErr w:type="spellEnd"/>
      <w:r>
        <w:rPr>
          <w:color w:val="20242C"/>
        </w:rPr>
        <w:t>, 1981). ويستعير علم النفس الاستخلافي هذا التمييز ليصف بدقة الفارق بين "الحوار الأسري السوي" الذي يفتح مجالاً لفهم متبادل، وبين "الخطاب الأسري المتسلط" الذي يتقنّع أحياناً بمظهر الحوار (طرح الأسئلة، الاستماع الشكلي) بينما يظل جوهره استراتيجياً: الوصول إلى إذعان الابن مسبقاً المقرَّر.</w:t>
      </w:r>
    </w:p>
    <w:p w14:paraId="0F037CE2" w14:textId="77777777" w:rsidR="0016098E" w:rsidRDefault="00DD623A">
      <w:pPr>
        <w:spacing w:after="200" w:line="336" w:lineRule="auto"/>
        <w:jc w:val="both"/>
        <w:rPr>
          <w:rFonts w:cs="Arial"/>
        </w:rPr>
      </w:pPr>
      <w:r>
        <w:rPr>
          <w:color w:val="20242C"/>
        </w:rPr>
        <w:t xml:space="preserve">وتكمن أهمية هذا التمييز إكلينيكياً في أن كثيراً من الأسر "المتسلطة" لا تبدو كذلك ظاهرياً؛ فهي تستخدم لغة الحوار والنصيحة والمحبة، بينما تُخفي بنية استراتيجية هدفها الوحيد ضمان الطاعة. وبروتوكول TLRT، حين يعمل على "تفكيك" هذا الخطاب، إنما يسعى في جوهره إلى كشف اللحظة التي ينقلب فيها "التواصل الظاهري" إلى "استراتيجية مقنّعة"، تمهيداً لإعادة بناء علاقة تقوم على فعل تواصلي حقيقي، منضبط في الوقت نفسه بمرجعية الوحي لا بمعيار الإجماع الإجرائي المحض الذي يكتفي به </w:t>
      </w:r>
      <w:proofErr w:type="spellStart"/>
      <w:r>
        <w:rPr>
          <w:color w:val="20242C"/>
        </w:rPr>
        <w:t>هابرماس</w:t>
      </w:r>
      <w:proofErr w:type="spellEnd"/>
      <w:r>
        <w:rPr>
          <w:color w:val="20242C"/>
        </w:rPr>
        <w:t>.</w:t>
      </w:r>
    </w:p>
    <w:p w14:paraId="13DA95A3" w14:textId="77777777" w:rsidR="0016098E" w:rsidRDefault="00DD623A">
      <w:pPr>
        <w:pStyle w:val="1"/>
        <w:pBdr>
          <w:bottom w:val="single" w:sz="12" w:space="6" w:color="B8860B"/>
        </w:pBdr>
        <w:bidi/>
        <w:spacing w:before="480" w:after="220"/>
        <w:jc w:val="right"/>
        <w:rPr>
          <w:rFonts w:cs="Arial"/>
        </w:rPr>
      </w:pPr>
      <w:r>
        <w:rPr>
          <w:b/>
          <w:bCs/>
          <w:color w:val="1B2A4A"/>
        </w:rPr>
        <w:t>الفصل الرابع: "تفكيك" "الأنا الأعلى السادي" و"تمييز" "الصوت الإلهي" عن "صوت المربي"</w:t>
      </w:r>
    </w:p>
    <w:p w14:paraId="43AB5625" w14:textId="77777777" w:rsidR="0016098E" w:rsidRDefault="00DD623A">
      <w:pPr>
        <w:pStyle w:val="2"/>
        <w:bidi/>
        <w:spacing w:before="320" w:after="220"/>
        <w:jc w:val="right"/>
        <w:rPr>
          <w:rFonts w:cs="Arial"/>
        </w:rPr>
      </w:pPr>
      <w:r>
        <w:rPr>
          <w:b/>
          <w:bCs/>
          <w:color w:val="11605C"/>
          <w:sz w:val="27"/>
          <w:szCs w:val="27"/>
        </w:rPr>
        <w:t>4.1 "الوالد" و"صورة الله": "الإسقاط" و"التشوه"</w:t>
      </w:r>
    </w:p>
    <w:p w14:paraId="1F14B1AB" w14:textId="77777777" w:rsidR="0016098E" w:rsidRDefault="00DD623A">
      <w:pPr>
        <w:spacing w:after="200" w:line="336" w:lineRule="auto"/>
        <w:jc w:val="both"/>
        <w:rPr>
          <w:rFonts w:cs="Arial"/>
        </w:rPr>
      </w:pPr>
      <w:r>
        <w:rPr>
          <w:color w:val="20242C"/>
        </w:rPr>
        <w:t xml:space="preserve">"كثيراً" ما "يُسقط" "المريض" – كما "يُلاحظ" علم النفس الاستخلافي – "صورة والده المُتسلط" على "صورة الله"، "فَيرى" "الله" "قاضياً قاسياً" </w:t>
      </w:r>
      <w:proofErr w:type="spellStart"/>
      <w:r>
        <w:rPr>
          <w:color w:val="20242C"/>
        </w:rPr>
        <w:t>و"مُراقباً</w:t>
      </w:r>
      <w:proofErr w:type="spellEnd"/>
      <w:r>
        <w:rPr>
          <w:color w:val="20242C"/>
        </w:rPr>
        <w:t xml:space="preserve"> مُتطفلاً" </w:t>
      </w:r>
      <w:proofErr w:type="spellStart"/>
      <w:r>
        <w:rPr>
          <w:color w:val="20242C"/>
        </w:rPr>
        <w:t>و"مُطالباً</w:t>
      </w:r>
      <w:proofErr w:type="spellEnd"/>
      <w:r>
        <w:rPr>
          <w:color w:val="20242C"/>
        </w:rPr>
        <w:t xml:space="preserve"> بالمُستحيل"، تماماً كما كان "والده". وهذا "الإسقاط" – كما "يُجادل" – هو "أصل" "الكثير" من "العُصابات" و"الوساوس" "الدينية" [1343، 1346].</w:t>
      </w:r>
    </w:p>
    <w:p w14:paraId="77F0B9FF" w14:textId="77777777" w:rsidR="0016098E" w:rsidRDefault="00DD623A">
      <w:pPr>
        <w:pStyle w:val="2"/>
        <w:bidi/>
        <w:spacing w:before="320" w:after="220"/>
        <w:jc w:val="right"/>
        <w:rPr>
          <w:rFonts w:cs="Arial"/>
        </w:rPr>
      </w:pPr>
      <w:r>
        <w:rPr>
          <w:b/>
          <w:bCs/>
          <w:color w:val="11605C"/>
          <w:sz w:val="27"/>
          <w:szCs w:val="27"/>
        </w:rPr>
        <w:t>4.2 "العلاج" و"التمييز": "استعادة" "الصورة الحقيقية" لله</w:t>
      </w:r>
    </w:p>
    <w:p w14:paraId="691C5369" w14:textId="77777777" w:rsidR="0016098E" w:rsidRDefault="00DD623A">
      <w:pPr>
        <w:spacing w:after="200" w:line="336" w:lineRule="auto"/>
        <w:jc w:val="both"/>
        <w:rPr>
          <w:rFonts w:cs="Arial"/>
        </w:rPr>
      </w:pPr>
      <w:r>
        <w:rPr>
          <w:color w:val="20242C"/>
        </w:rPr>
        <w:t xml:space="preserve">"العلاج" – في "بروتوكول TLRT" – "يَهدف" إلى "تفكيك" هذا "الإسقاط" و"تمييز" "الصوت الإلهي" عن "صوت المربي". فـ "صوت الله" – كما "يُؤكد" علم النفس الاستخلافي – "يَدعو" إلى "العدل" و"الإحسان" و"الحرية المسؤولة" ("وإن جاهداك على أن تشرك بي... فلا تطعهما وصاحبهما في الدنيا معروفاً")، بينما "صوت الأنا الأعلى" (الوالد </w:t>
      </w:r>
      <w:proofErr w:type="spellStart"/>
      <w:r>
        <w:rPr>
          <w:color w:val="20242C"/>
        </w:rPr>
        <w:t>المُستدمج</w:t>
      </w:r>
      <w:proofErr w:type="spellEnd"/>
      <w:r>
        <w:rPr>
          <w:color w:val="20242C"/>
        </w:rPr>
        <w:t xml:space="preserve"> داخلياً) "قد يَطلب" "إلغاء الذات" و"التبعية المُطلقة" [1345، 1352].</w:t>
      </w:r>
    </w:p>
    <w:p w14:paraId="7EB8D302" w14:textId="77777777" w:rsidR="0016098E" w:rsidRDefault="00DD623A">
      <w:pPr>
        <w:pStyle w:val="2"/>
        <w:bidi/>
        <w:spacing w:before="320" w:after="220"/>
        <w:jc w:val="right"/>
        <w:rPr>
          <w:rFonts w:cs="Arial"/>
        </w:rPr>
      </w:pPr>
      <w:r>
        <w:rPr>
          <w:b/>
          <w:bCs/>
          <w:color w:val="11605C"/>
          <w:sz w:val="27"/>
          <w:szCs w:val="27"/>
        </w:rPr>
        <w:t xml:space="preserve">4.3 فرويد </w:t>
      </w:r>
      <w:proofErr w:type="spellStart"/>
      <w:r>
        <w:rPr>
          <w:b/>
          <w:bCs/>
          <w:color w:val="11605C"/>
          <w:sz w:val="27"/>
          <w:szCs w:val="27"/>
        </w:rPr>
        <w:t>والأنا</w:t>
      </w:r>
      <w:proofErr w:type="spellEnd"/>
      <w:r>
        <w:rPr>
          <w:b/>
          <w:bCs/>
          <w:color w:val="11605C"/>
          <w:sz w:val="27"/>
          <w:szCs w:val="27"/>
        </w:rPr>
        <w:t xml:space="preserve"> الأعلى: من "</w:t>
      </w:r>
      <w:proofErr w:type="spellStart"/>
      <w:r>
        <w:rPr>
          <w:b/>
          <w:bCs/>
          <w:color w:val="11605C"/>
          <w:sz w:val="27"/>
          <w:szCs w:val="27"/>
        </w:rPr>
        <w:t>الطوطم</w:t>
      </w:r>
      <w:proofErr w:type="spellEnd"/>
      <w:r>
        <w:rPr>
          <w:b/>
          <w:bCs/>
          <w:color w:val="11605C"/>
          <w:sz w:val="27"/>
          <w:szCs w:val="27"/>
        </w:rPr>
        <w:t xml:space="preserve"> </w:t>
      </w:r>
      <w:proofErr w:type="spellStart"/>
      <w:r>
        <w:rPr>
          <w:b/>
          <w:bCs/>
          <w:color w:val="11605C"/>
          <w:sz w:val="27"/>
          <w:szCs w:val="27"/>
        </w:rPr>
        <w:t>والتابو</w:t>
      </w:r>
      <w:proofErr w:type="spellEnd"/>
      <w:r>
        <w:rPr>
          <w:b/>
          <w:bCs/>
          <w:color w:val="11605C"/>
          <w:sz w:val="27"/>
          <w:szCs w:val="27"/>
        </w:rPr>
        <w:t>" إلى القسوة الداخلية (فصل جديد)</w:t>
      </w:r>
    </w:p>
    <w:p w14:paraId="1383FB33" w14:textId="77777777" w:rsidR="0016098E" w:rsidRDefault="00DD623A">
      <w:pPr>
        <w:spacing w:after="200" w:line="336" w:lineRule="auto"/>
        <w:jc w:val="both"/>
        <w:rPr>
          <w:rFonts w:cs="Arial"/>
        </w:rPr>
      </w:pPr>
      <w:r>
        <w:rPr>
          <w:color w:val="20242C"/>
        </w:rPr>
        <w:t xml:space="preserve">يرى فرويد أن الأنا الأعلى ينشأ من </w:t>
      </w:r>
      <w:proofErr w:type="spellStart"/>
      <w:r>
        <w:rPr>
          <w:color w:val="20242C"/>
        </w:rPr>
        <w:t>استدماج</w:t>
      </w:r>
      <w:proofErr w:type="spellEnd"/>
      <w:r>
        <w:rPr>
          <w:color w:val="20242C"/>
        </w:rPr>
        <w:t xml:space="preserve"> سلطة الأب، ويحمل في تكوينه بذرة عدوانية قد تنقلب على الذات نفسها إن لم تُصرَّف عدوانية الطفل الأصلية نحو الأب تصريفاً سوياً، فتتحول إلى قسوة داخلية موجَّهة ضد الأنا (</w:t>
      </w:r>
      <w:proofErr w:type="spellStart"/>
      <w:r>
        <w:rPr>
          <w:color w:val="20242C"/>
        </w:rPr>
        <w:t>Freud</w:t>
      </w:r>
      <w:proofErr w:type="spellEnd"/>
      <w:r>
        <w:rPr>
          <w:color w:val="20242C"/>
        </w:rPr>
        <w:t xml:space="preserve">, 1913). وهذا التوصيف </w:t>
      </w:r>
      <w:proofErr w:type="spellStart"/>
      <w:r>
        <w:rPr>
          <w:color w:val="20242C"/>
        </w:rPr>
        <w:t>الفرويدي</w:t>
      </w:r>
      <w:proofErr w:type="spellEnd"/>
      <w:r>
        <w:rPr>
          <w:color w:val="20242C"/>
        </w:rPr>
        <w:t>، رغم اختلاف الإطار الميتافيزيقي جذرياً عن الإطار الاستخلافي، يقدّم لعلم النفس الاستخلافي أداة تشخيصية دقيقة لوصف آلية تكوّن "الأنا الأعلى السادي": فهو ليس مجرد "صوت داخلي ناقد"، بل بنية نفسية تحمل شحنة عدوانية أصلها الأب/الوالد ذاته، أُعيد توجيهها نحو الذات.</w:t>
      </w:r>
    </w:p>
    <w:p w14:paraId="49489697" w14:textId="77777777" w:rsidR="0016098E" w:rsidRDefault="00DD623A">
      <w:pPr>
        <w:spacing w:after="200" w:line="336" w:lineRule="auto"/>
        <w:jc w:val="both"/>
        <w:rPr>
          <w:rFonts w:cs="Arial"/>
        </w:rPr>
      </w:pPr>
      <w:r>
        <w:rPr>
          <w:color w:val="20242C"/>
        </w:rPr>
        <w:t xml:space="preserve">الفارق الحاسم بين التوظيفين هو الأفق التفسيري: فرويد يفسّر نشأة الأنا الأعلى تفسيراً غرائزياً بحتاً (تصريف </w:t>
      </w:r>
      <w:proofErr w:type="spellStart"/>
      <w:r>
        <w:rPr>
          <w:color w:val="20242C"/>
        </w:rPr>
        <w:t>الليبيدو</w:t>
      </w:r>
      <w:proofErr w:type="spellEnd"/>
      <w:r>
        <w:rPr>
          <w:color w:val="20242C"/>
        </w:rPr>
        <w:t xml:space="preserve"> والعدوان)، بينما يضيف علم النفس الاستخلافي بعداً أنطولوجياً-تكليفياً: الأنا الأعلى السوي هو صدى لمعيار متعالٍ حقيقي (الفطرة المرتبطة بالوحي)، أما الأنا الأعلى "السادي" فهو انحراف عن هذا الأصل نتيجة استبدال المرجعية الإلهية بمرجعية بشرية استبدادية. وبهذا يُستأنَف مفهوم فرويد ضمن أفق تفسيري أوسع لا يختزل النفس في الغريزة وحدها.</w:t>
      </w:r>
    </w:p>
    <w:p w14:paraId="00C5E824" w14:textId="77777777" w:rsidR="0016098E" w:rsidRDefault="00DD623A">
      <w:pPr>
        <w:pStyle w:val="2"/>
        <w:bidi/>
        <w:spacing w:before="320" w:after="220"/>
        <w:jc w:val="right"/>
        <w:rPr>
          <w:rFonts w:cs="Arial"/>
        </w:rPr>
      </w:pPr>
      <w:r>
        <w:rPr>
          <w:b/>
          <w:bCs/>
          <w:color w:val="11605C"/>
          <w:sz w:val="27"/>
          <w:szCs w:val="27"/>
        </w:rPr>
        <w:t>4.4 المحاسبي وابن القيم: "المحاسبة الشرعية" مقابل "جلد الذات المرضي" (فصل جديد)</w:t>
      </w:r>
    </w:p>
    <w:p w14:paraId="436752EB" w14:textId="77777777" w:rsidR="0016098E" w:rsidRDefault="00DD623A">
      <w:pPr>
        <w:spacing w:after="200" w:line="336" w:lineRule="auto"/>
        <w:jc w:val="both"/>
        <w:rPr>
          <w:rFonts w:cs="Arial"/>
        </w:rPr>
      </w:pPr>
      <w:r>
        <w:rPr>
          <w:color w:val="20242C"/>
        </w:rPr>
        <w:t>يفرّق الحارث المحاسبي في كتابه "الرعاية لحقوق الله" بين محاسبة النفس المشروعة التي تهدف إلى تقويم السلوك واستمرار الصلة بالله، وبين وسوسة النفس وتعذيبها بما لا طائل تحته، مؤكداً أن المحاسبة الصحيحة تصدر عن محبة وخوف متوازنين لا عن قسوة عمياء. ويوازيه ابن القيم في "مدارج السالكين" حين يميّز بين "لوم" النفس الأمّارة الذي هو مقام من مقامات السالكين، وبين انزلاق هذا اللوم إلى ما يشبه العقوبة الذاتية المستمرة التي تُطفئ الرجاء وتقطع الأمل في رحمة الله (ابن القيم، مدارج السالكين).</w:t>
      </w:r>
    </w:p>
    <w:p w14:paraId="6DE4D0CB" w14:textId="77777777" w:rsidR="0016098E" w:rsidRDefault="00DD623A">
      <w:pPr>
        <w:spacing w:after="200" w:line="336" w:lineRule="auto"/>
        <w:jc w:val="both"/>
        <w:rPr>
          <w:rFonts w:cs="Arial"/>
        </w:rPr>
      </w:pPr>
      <w:r>
        <w:rPr>
          <w:color w:val="20242C"/>
        </w:rPr>
        <w:t xml:space="preserve">يستثمر علم النفس الاستخلافي هذا التمييز التراثي الدقيق ليضع معياراً إكلينيكياً واضحاً: "المحاسبة الشرعية" علامتها الرجاء والتوبة والعودة إلى العمل الصالح، أما "جلد الذات المرضي" الناتج عن الأنا الأعلى السادي </w:t>
      </w:r>
      <w:proofErr w:type="spellStart"/>
      <w:r>
        <w:rPr>
          <w:color w:val="20242C"/>
        </w:rPr>
        <w:t>المستدمَج</w:t>
      </w:r>
      <w:proofErr w:type="spellEnd"/>
      <w:r>
        <w:rPr>
          <w:color w:val="20242C"/>
        </w:rPr>
        <w:t xml:space="preserve"> من صورة الوالد فعلامته اليأس والتكرار العقيم والشعور بالدين الذي لا يُسدَّد أبداً. وهذا التمييز هو بعينه ما يسعى بروتوكول TLRT إلى ترسيخه في وعي المريض: أن الله – خلافاً للوالد المتسلط – "يفرح بتوبة عبده" ولا يطلب سداداً مستحيلاً.</w:t>
      </w:r>
    </w:p>
    <w:p w14:paraId="7E2AF5BA" w14:textId="77777777" w:rsidR="0016098E" w:rsidRDefault="00DD623A">
      <w:pPr>
        <w:pStyle w:val="1"/>
        <w:pBdr>
          <w:bottom w:val="single" w:sz="12" w:space="6" w:color="B8860B"/>
        </w:pBdr>
        <w:bidi/>
        <w:spacing w:before="480" w:after="220"/>
        <w:jc w:val="right"/>
        <w:rPr>
          <w:rFonts w:cs="Arial"/>
        </w:rPr>
      </w:pPr>
      <w:r>
        <w:rPr>
          <w:b/>
          <w:bCs/>
          <w:color w:val="1B2A4A"/>
        </w:rPr>
        <w:t>الفصل الخامس: "الكينتسوغي النفسي" و"الجسر السلوكي" – "ترميم" "العلاقة" بـ "ذهب" "الإحسان"</w:t>
      </w:r>
    </w:p>
    <w:p w14:paraId="5121D5AF" w14:textId="77777777" w:rsidR="0016098E" w:rsidRDefault="00DD623A">
      <w:pPr>
        <w:pStyle w:val="2"/>
        <w:bidi/>
        <w:spacing w:before="320" w:after="220"/>
        <w:jc w:val="right"/>
        <w:rPr>
          <w:rFonts w:cs="Arial"/>
        </w:rPr>
      </w:pPr>
      <w:r>
        <w:rPr>
          <w:b/>
          <w:bCs/>
          <w:color w:val="11605C"/>
          <w:sz w:val="27"/>
          <w:szCs w:val="27"/>
        </w:rPr>
        <w:t>5.1 "الخيارات" "الثلاثة" أمام "العلاقة" "المجروحة"</w:t>
      </w:r>
    </w:p>
    <w:p w14:paraId="1A0F70D2" w14:textId="77777777" w:rsidR="0016098E" w:rsidRDefault="00DD623A">
      <w:pPr>
        <w:spacing w:after="200" w:line="336" w:lineRule="auto"/>
        <w:jc w:val="both"/>
        <w:rPr>
          <w:rFonts w:cs="Arial"/>
        </w:rPr>
      </w:pPr>
      <w:r>
        <w:rPr>
          <w:color w:val="20242C"/>
        </w:rPr>
        <w:t>أمام "علاقة" "مُضطربة" مع "الوالدين" – كما "يُحلل" علم النفس الاستخلافي – "يقف" "الإنسان" أمام "ثلاثة" "خيارات":</w:t>
      </w:r>
    </w:p>
    <w:p w14:paraId="5D67DE63" w14:textId="77777777" w:rsidR="0016098E" w:rsidRDefault="00DD623A">
      <w:pPr>
        <w:spacing w:after="140" w:line="336" w:lineRule="auto"/>
        <w:ind w:right="400"/>
        <w:jc w:val="both"/>
        <w:rPr>
          <w:rFonts w:cs="Arial"/>
        </w:rPr>
      </w:pPr>
      <w:r>
        <w:rPr>
          <w:color w:val="20242C"/>
        </w:rPr>
        <w:t xml:space="preserve">• "القطيعة": "قطع" "العلاقة" "نهائياً"، وهو – غالباً – "حل" "مُؤقت" </w:t>
      </w:r>
      <w:proofErr w:type="spellStart"/>
      <w:r>
        <w:rPr>
          <w:color w:val="20242C"/>
        </w:rPr>
        <w:t>و"مُؤلم</w:t>
      </w:r>
      <w:proofErr w:type="spellEnd"/>
      <w:r>
        <w:rPr>
          <w:color w:val="20242C"/>
        </w:rPr>
        <w:t>" و"غير مُستدام".</w:t>
      </w:r>
    </w:p>
    <w:p w14:paraId="74CB5B58" w14:textId="77777777" w:rsidR="0016098E" w:rsidRDefault="00DD623A">
      <w:pPr>
        <w:spacing w:after="140" w:line="336" w:lineRule="auto"/>
        <w:ind w:right="400"/>
        <w:jc w:val="both"/>
        <w:rPr>
          <w:rFonts w:cs="Arial"/>
        </w:rPr>
      </w:pPr>
      <w:r>
        <w:rPr>
          <w:color w:val="20242C"/>
        </w:rPr>
        <w:t>• "التماهي المرضي": "الذوبان" في "الوالدين" و"فقدان" "الذات"، وهو "حل" "مُدمر" "للشخصية".</w:t>
      </w:r>
    </w:p>
    <w:p w14:paraId="387C47F0" w14:textId="77777777" w:rsidR="0016098E" w:rsidRDefault="00DD623A">
      <w:pPr>
        <w:spacing w:after="140" w:line="336" w:lineRule="auto"/>
        <w:ind w:right="400"/>
        <w:jc w:val="both"/>
        <w:rPr>
          <w:rFonts w:cs="Arial"/>
        </w:rPr>
      </w:pPr>
      <w:r>
        <w:rPr>
          <w:color w:val="20242C"/>
        </w:rPr>
        <w:t>• "الكينتسوغي النفسي": "ترميم" "العلاقة" و"تحويلها" – عبر "الجسر السلوكي" – من "مصدر" "للألم" إلى "فرصة" "للنمو" و"الإحسان" [844، 1294].</w:t>
      </w:r>
    </w:p>
    <w:p w14:paraId="12E09D87" w14:textId="77777777" w:rsidR="0016098E" w:rsidRDefault="00DD623A">
      <w:pPr>
        <w:pStyle w:val="2"/>
        <w:bidi/>
        <w:spacing w:before="320" w:after="220"/>
        <w:jc w:val="right"/>
        <w:rPr>
          <w:rFonts w:cs="Arial"/>
        </w:rPr>
      </w:pPr>
      <w:r>
        <w:rPr>
          <w:b/>
          <w:bCs/>
          <w:color w:val="11605C"/>
          <w:sz w:val="27"/>
          <w:szCs w:val="27"/>
        </w:rPr>
        <w:t>5.2 "الجسر السلوكي" و"الإحسان" "الحر"</w:t>
      </w:r>
    </w:p>
    <w:p w14:paraId="4E0807A1" w14:textId="77777777" w:rsidR="0016098E" w:rsidRDefault="00DD623A">
      <w:pPr>
        <w:spacing w:after="200" w:line="336" w:lineRule="auto"/>
        <w:jc w:val="both"/>
        <w:rPr>
          <w:rFonts w:cs="Arial"/>
        </w:rPr>
      </w:pPr>
      <w:r>
        <w:rPr>
          <w:color w:val="20242C"/>
        </w:rPr>
        <w:t xml:space="preserve">"العلاج" – في TLRT – "لا يَدعو" إلى "القطيعة" ولا إلى "الخضوع"، بل "يَدعو" إلى "الإحسان الحر": "أن تَبر" "والديك" </w:t>
      </w:r>
      <w:proofErr w:type="spellStart"/>
      <w:r>
        <w:rPr>
          <w:color w:val="20242C"/>
        </w:rPr>
        <w:t>و"تُحسن</w:t>
      </w:r>
      <w:proofErr w:type="spellEnd"/>
      <w:r>
        <w:rPr>
          <w:color w:val="20242C"/>
        </w:rPr>
        <w:t xml:space="preserve">" إليهما – ليس "خوفاً" من "غضبهما" أو "طمعاً" في "رضاهما" – بل "لأن الله" "أمرك" بذلك </w:t>
      </w:r>
      <w:proofErr w:type="spellStart"/>
      <w:r>
        <w:rPr>
          <w:color w:val="20242C"/>
        </w:rPr>
        <w:t>و"يُحب</w:t>
      </w:r>
      <w:proofErr w:type="spellEnd"/>
      <w:r>
        <w:rPr>
          <w:color w:val="20242C"/>
        </w:rPr>
        <w:t>" "المُحسنين". وهذا – كما "يُعبر" عنه – هو "التحرر" "الحقيقي": "أن تَتحول" "العلاقة" من "عبء" إلى "عبادة"، ومن "قيد" إلى "انطلاق" [982، 1148].</w:t>
      </w:r>
    </w:p>
    <w:p w14:paraId="25197F2F" w14:textId="77777777" w:rsidR="0016098E" w:rsidRDefault="00DD623A">
      <w:pPr>
        <w:pStyle w:val="2"/>
        <w:bidi/>
        <w:spacing w:before="320" w:after="220"/>
        <w:jc w:val="right"/>
        <w:rPr>
          <w:rFonts w:cs="Arial"/>
        </w:rPr>
      </w:pPr>
      <w:r>
        <w:rPr>
          <w:b/>
          <w:bCs/>
          <w:color w:val="11605C"/>
          <w:sz w:val="27"/>
          <w:szCs w:val="27"/>
        </w:rPr>
        <w:t xml:space="preserve">5.3 </w:t>
      </w:r>
      <w:proofErr w:type="spellStart"/>
      <w:r>
        <w:rPr>
          <w:b/>
          <w:bCs/>
          <w:color w:val="11605C"/>
          <w:sz w:val="27"/>
          <w:szCs w:val="27"/>
        </w:rPr>
        <w:t>زوبوف</w:t>
      </w:r>
      <w:proofErr w:type="spellEnd"/>
      <w:r>
        <w:rPr>
          <w:b/>
          <w:bCs/>
          <w:color w:val="11605C"/>
          <w:sz w:val="27"/>
          <w:szCs w:val="27"/>
        </w:rPr>
        <w:t xml:space="preserve"> ورأسمالية المراقبة: تمثيل استعاري للسيطرة الأسرية غير المشروعة (فصل جديد)</w:t>
      </w:r>
    </w:p>
    <w:p w14:paraId="5E3103CA" w14:textId="77777777" w:rsidR="0016098E" w:rsidRDefault="00DD623A">
      <w:pPr>
        <w:spacing w:after="200" w:line="336" w:lineRule="auto"/>
        <w:jc w:val="both"/>
        <w:rPr>
          <w:rFonts w:cs="Arial"/>
        </w:rPr>
      </w:pPr>
      <w:r>
        <w:rPr>
          <w:color w:val="20242C"/>
        </w:rPr>
        <w:t xml:space="preserve">تصف شوشانا </w:t>
      </w:r>
      <w:proofErr w:type="spellStart"/>
      <w:r>
        <w:rPr>
          <w:color w:val="20242C"/>
        </w:rPr>
        <w:t>زوبوف</w:t>
      </w:r>
      <w:proofErr w:type="spellEnd"/>
      <w:r>
        <w:rPr>
          <w:color w:val="20242C"/>
        </w:rPr>
        <w:t xml:space="preserve"> "رأسمالية المراقبة" بأنها نظام يستولي فيه طرف قوي على "الفائض السلوكي" لطرف أضعف دون رضاه الحقيقي، محوّلاً تفاصيل حياته الحميمة إلى أداة تنبؤ وتحكم (</w:t>
      </w:r>
      <w:proofErr w:type="spellStart"/>
      <w:r>
        <w:rPr>
          <w:color w:val="20242C"/>
        </w:rPr>
        <w:t>Zuboff</w:t>
      </w:r>
      <w:proofErr w:type="spellEnd"/>
      <w:r>
        <w:rPr>
          <w:color w:val="20242C"/>
        </w:rPr>
        <w:t>, 2019). ويرى علم النفس الاستخلافي في هذه الاستعارة أداة تفسيرية معاصرة صالحة لوصف بعض أنماط الرقابة الوالدية المفرطة (تتبّع تحركات الابن، مراقبة رسائله ومشاعره، استخدام المعلومات الحميمة أداة ضغط لاحقاً)، والتي تتحول فيها الأسرة إلى "منظومة استخراج" لخصوصية الابن بدل أن تكون فضاءً آمناً لنموه.</w:t>
      </w:r>
    </w:p>
    <w:p w14:paraId="196B54CC" w14:textId="77777777" w:rsidR="0016098E" w:rsidRDefault="00DD623A">
      <w:pPr>
        <w:spacing w:after="200" w:line="336" w:lineRule="auto"/>
        <w:jc w:val="both"/>
        <w:rPr>
          <w:rFonts w:cs="Times New Roman"/>
        </w:rPr>
      </w:pPr>
      <w:r>
        <w:rPr>
          <w:color w:val="20242C"/>
        </w:rPr>
        <w:t>هذه الاستعارة، مع كونها معاصرة تماماً، تخدم غرضاً تأصيلياً: فهي تُظهر أن "منطق الاستحواذ على الآخر ومصادرة استقلاله" ليس حكراً على السياق الرقمي، بل هو نمط بنيوي يتكرر في أي علاقة سلطة غير مقيّدة بمرجعية أخلاقية، بما في ذلك العلاقة الوالدية. والعلاج الاستخلافي، حين يدعو إلى "الجسر السلوكي" بدل "المراقبة المطلقة"، إنما يستعيد للابن حقه في "فائضه السلوكي" الخاص: مساحته الداخلية التي لا يملك حتى الوالد حق مصادرتها، لأنها ملك لله وحده بوصفه المستخلِف الأول.</w:t>
      </w:r>
    </w:p>
    <w:p w14:paraId="45A0C59D" w14:textId="77777777" w:rsidR="0016098E" w:rsidRDefault="00DD623A">
      <w:pPr>
        <w:pStyle w:val="2"/>
        <w:bidi/>
        <w:spacing w:before="320" w:after="220"/>
        <w:jc w:val="right"/>
        <w:rPr>
          <w:rFonts w:cs="Times New Roman"/>
        </w:rPr>
      </w:pPr>
      <w:r>
        <w:rPr>
          <w:b/>
          <w:bCs/>
          <w:color w:val="11605C"/>
          <w:sz w:val="27"/>
          <w:szCs w:val="27"/>
        </w:rPr>
        <w:t>5.4 حلاق ونقد الحداثة: نحو مرجعية أخلاقية مستقلة للعلاقة الوالدية (فصل جديد)</w:t>
      </w:r>
    </w:p>
    <w:p w14:paraId="43C9F805" w14:textId="77777777" w:rsidR="0016098E" w:rsidRDefault="00DD623A">
      <w:pPr>
        <w:spacing w:after="200" w:line="336" w:lineRule="auto"/>
        <w:jc w:val="both"/>
        <w:rPr>
          <w:rFonts w:cs="Times New Roman"/>
        </w:rPr>
      </w:pPr>
      <w:r>
        <w:rPr>
          <w:color w:val="20242C"/>
        </w:rPr>
        <w:t>يجادل وائل حلاق بأن "الدولة الحديثة" أفرغت الأخلاق الإسلامية التقليدية من غايتها التكوينية (تشكيل الذات الأخلاقية الفاضلة) واختزلتها في مجرد قواعد إجرائية قابلة للتطبيق البيروقراطي، الأمر الذي يستدعي استعادة مشروع أخلاقي-معرفي مستقل لا يقبل الذوبان الكامل في المقولات الحداثية الغربية (</w:t>
      </w:r>
      <w:proofErr w:type="spellStart"/>
      <w:r>
        <w:rPr>
          <w:color w:val="20242C"/>
        </w:rPr>
        <w:t>Hallaq</w:t>
      </w:r>
      <w:proofErr w:type="spellEnd"/>
      <w:r>
        <w:rPr>
          <w:color w:val="20242C"/>
        </w:rPr>
        <w:t>, 2013). ويستثمر علم النفس الاستخلافي هذا النقد على مستوى العلاقة الوالدية تحديداً: فهو يرفض اختزال "بر الوالدين" في قاعدة إجرائية جامدة ("الطاعة المطلقة مهما كانت")، كما يرفض في الوقت نفسه ذوبان هذه القيمة كلياً في مفاهيم غربية حديثة كـ"الاستقلالية الفردية المطلقة" التي قد تبرر العقوق باسم التحرر النفسي.</w:t>
      </w:r>
    </w:p>
    <w:p w14:paraId="363CA571" w14:textId="77777777" w:rsidR="0016098E" w:rsidRDefault="00DD623A">
      <w:pPr>
        <w:spacing w:after="200" w:line="336" w:lineRule="auto"/>
        <w:jc w:val="both"/>
        <w:rPr>
          <w:rFonts w:cs="Times New Roman"/>
        </w:rPr>
      </w:pPr>
      <w:r>
        <w:rPr>
          <w:color w:val="20242C"/>
        </w:rPr>
        <w:t xml:space="preserve">وهذا هو بالضبط الموقع الذي </w:t>
      </w:r>
      <w:proofErr w:type="spellStart"/>
      <w:r>
        <w:rPr>
          <w:color w:val="20242C"/>
        </w:rPr>
        <w:t>يتموضع</w:t>
      </w:r>
      <w:proofErr w:type="spellEnd"/>
      <w:r>
        <w:rPr>
          <w:color w:val="20242C"/>
        </w:rPr>
        <w:t xml:space="preserve"> فيه علم النفس الاستخلافي: مشروع معرفي مستقل يتحاور مع التراثين (الإسلامي الكلاسيكي والغربي المعاصر) من موقع الندّية لا التبعية، مستعيراً أدواتهما التشخيصية دون التنازل عن غايته التكوينية الخاصة: تخليص العلاقة الوالدية من كل تسلط بشري، وردّها إلى أفقها الأصلي بوصفها وسيلة للتقرب إلى الله لا غاية في ذاتها.</w:t>
      </w:r>
    </w:p>
    <w:p w14:paraId="4FA3C0C8" w14:textId="77777777" w:rsidR="0016098E" w:rsidRDefault="00DD623A">
      <w:pPr>
        <w:pStyle w:val="1"/>
        <w:pBdr>
          <w:bottom w:val="single" w:sz="12" w:space="6" w:color="B8860B"/>
        </w:pBdr>
        <w:bidi/>
        <w:spacing w:before="480" w:after="220"/>
        <w:jc w:val="right"/>
        <w:rPr>
          <w:rFonts w:cs="Times New Roman"/>
        </w:rPr>
      </w:pPr>
      <w:r>
        <w:rPr>
          <w:b/>
          <w:bCs/>
          <w:color w:val="1B2A4A"/>
        </w:rPr>
        <w:t>الفصل السادس: نقد ذاتي علمي – حدود النموذج ومخاطر التوظيف (فصل جديد)</w:t>
      </w:r>
    </w:p>
    <w:p w14:paraId="5827A59A" w14:textId="77777777" w:rsidR="0016098E" w:rsidRDefault="00DD623A">
      <w:pPr>
        <w:pStyle w:val="2"/>
        <w:bidi/>
        <w:spacing w:before="320" w:after="220"/>
        <w:jc w:val="right"/>
        <w:rPr>
          <w:rFonts w:cs="Times New Roman"/>
        </w:rPr>
      </w:pPr>
      <w:r>
        <w:rPr>
          <w:b/>
          <w:bCs/>
          <w:color w:val="11605C"/>
          <w:sz w:val="27"/>
          <w:szCs w:val="27"/>
        </w:rPr>
        <w:t>6.1 خطر التبرير: هل يفتح النموذج باباً للعقوق؟</w:t>
      </w:r>
    </w:p>
    <w:p w14:paraId="0408E2D6" w14:textId="77777777" w:rsidR="0016098E" w:rsidRDefault="00DD623A">
      <w:pPr>
        <w:spacing w:after="200" w:line="336" w:lineRule="auto"/>
        <w:jc w:val="both"/>
        <w:rPr>
          <w:rFonts w:cs="Times New Roman"/>
        </w:rPr>
      </w:pPr>
      <w:r>
        <w:rPr>
          <w:color w:val="20242C"/>
        </w:rPr>
        <w:t>من الأمانة العلمية أن يُواجه هذا النموذج سؤالاً نقدياً جوهرياً: أليس في التمييز بين "البر المشروط بعدم المعصية" و"الطاعة العمياء" خطرٌ من أن يستغله بعض المرضى أو الأبناء تبريراً للعقوق أو التهرب من واجبات حقيقية تجاه والديهم؟ هذا الاحتمال حقيقي ولا ينبغي التقليل منه؛ فأي إطار تفسيري نفسي قابل للتوظيف الدفاعي من قبل الأنا حين تريد تبرير سلوك مسبق. والاعتراف بهذا الخطر شرط ضروري لمصداقية النموذج، لا انتقاصاً منه.</w:t>
      </w:r>
    </w:p>
    <w:p w14:paraId="63F2CFB5" w14:textId="77777777" w:rsidR="0016098E" w:rsidRDefault="00DD623A">
      <w:pPr>
        <w:spacing w:after="200" w:line="336" w:lineRule="auto"/>
        <w:jc w:val="both"/>
        <w:rPr>
          <w:rFonts w:cs="Times New Roman"/>
        </w:rPr>
      </w:pPr>
      <w:r>
        <w:rPr>
          <w:color w:val="20242C"/>
        </w:rPr>
        <w:t>الضمانة المنهجية التي يقدمها علم النفس الاستخلافي هنا مزدوجة: أولاً، أن حدود "معصية الله" التي تُسقط وجوب الطاعة محددة شرعاً بدقة (الشرك، وترك الفرائض القطعية، والمعاصي الصريحة)، لا بمجرد "عدم رغبة الابن" أو "شعوره بالضيق"؛ فليس كل توجيه والدي مزعج هو "معصية" تبرر رفضه. وثانياً، أن جوهر النموذج – كما تكرر في هذه الدراسة – ليس دعوة إلى تقليل البر، بل إلى تخليصه من شوائب الخوف والذنب ليصبح "إحساناً حراً"، وهو مطلب أعلى من الطاعة القسرية لا أدنى منها.</w:t>
      </w:r>
    </w:p>
    <w:p w14:paraId="751733C8" w14:textId="77777777" w:rsidR="0016098E" w:rsidRDefault="00DD623A">
      <w:pPr>
        <w:pStyle w:val="2"/>
        <w:bidi/>
        <w:spacing w:before="320" w:after="220"/>
        <w:jc w:val="right"/>
        <w:rPr>
          <w:rFonts w:cs="Times New Roman"/>
        </w:rPr>
      </w:pPr>
      <w:r>
        <w:rPr>
          <w:b/>
          <w:bCs/>
          <w:color w:val="11605C"/>
          <w:sz w:val="27"/>
          <w:szCs w:val="27"/>
        </w:rPr>
        <w:t>6.2 حدود الاستعارة الغربية وسؤال التوفيق القسري</w:t>
      </w:r>
    </w:p>
    <w:p w14:paraId="162A887A" w14:textId="77777777" w:rsidR="0016098E" w:rsidRDefault="00DD623A">
      <w:pPr>
        <w:spacing w:after="200" w:line="336" w:lineRule="auto"/>
        <w:jc w:val="both"/>
        <w:rPr>
          <w:rFonts w:cs="Times New Roman"/>
        </w:rPr>
      </w:pPr>
      <w:r>
        <w:rPr>
          <w:color w:val="20242C"/>
        </w:rPr>
        <w:t xml:space="preserve">التوسع في استدعاء فوكو </w:t>
      </w:r>
      <w:proofErr w:type="spellStart"/>
      <w:r>
        <w:rPr>
          <w:color w:val="20242C"/>
        </w:rPr>
        <w:t>وهابرماس</w:t>
      </w:r>
      <w:proofErr w:type="spellEnd"/>
      <w:r>
        <w:rPr>
          <w:color w:val="20242C"/>
        </w:rPr>
        <w:t xml:space="preserve"> </w:t>
      </w:r>
      <w:proofErr w:type="spellStart"/>
      <w:r>
        <w:rPr>
          <w:color w:val="20242C"/>
        </w:rPr>
        <w:t>وماكنتاير</w:t>
      </w:r>
      <w:proofErr w:type="spellEnd"/>
      <w:r>
        <w:rPr>
          <w:color w:val="20242C"/>
        </w:rPr>
        <w:t xml:space="preserve"> </w:t>
      </w:r>
      <w:proofErr w:type="spellStart"/>
      <w:r>
        <w:rPr>
          <w:color w:val="20242C"/>
        </w:rPr>
        <w:t>وزوبوف</w:t>
      </w:r>
      <w:proofErr w:type="spellEnd"/>
      <w:r>
        <w:rPr>
          <w:color w:val="20242C"/>
        </w:rPr>
        <w:t xml:space="preserve"> </w:t>
      </w:r>
      <w:proofErr w:type="spellStart"/>
      <w:r>
        <w:rPr>
          <w:color w:val="20242C"/>
        </w:rPr>
        <w:t>وفرويد</w:t>
      </w:r>
      <w:proofErr w:type="spellEnd"/>
      <w:r>
        <w:rPr>
          <w:color w:val="20242C"/>
        </w:rPr>
        <w:t xml:space="preserve"> </w:t>
      </w:r>
      <w:proofErr w:type="spellStart"/>
      <w:r>
        <w:rPr>
          <w:color w:val="20242C"/>
        </w:rPr>
        <w:t>وفرانكل</w:t>
      </w:r>
      <w:proofErr w:type="spellEnd"/>
      <w:r>
        <w:rPr>
          <w:color w:val="20242C"/>
        </w:rPr>
        <w:t xml:space="preserve"> وحلاق في هذه الدراسة يثير سؤالاً منهجياً لا بد من مواجهته: هل هذا التوظيف توفيق قسري (</w:t>
      </w:r>
      <w:proofErr w:type="spellStart"/>
      <w:r>
        <w:rPr>
          <w:color w:val="20242C"/>
        </w:rPr>
        <w:t>Eclecticism</w:t>
      </w:r>
      <w:proofErr w:type="spellEnd"/>
      <w:r>
        <w:rPr>
          <w:color w:val="20242C"/>
        </w:rPr>
        <w:t xml:space="preserve">) يخلط أطراً فلسفية متباينة الأصول والغايات دون مراعاة </w:t>
      </w:r>
      <w:proofErr w:type="spellStart"/>
      <w:r>
        <w:rPr>
          <w:color w:val="20242C"/>
        </w:rPr>
        <w:t>تعارضاتها</w:t>
      </w:r>
      <w:proofErr w:type="spellEnd"/>
      <w:r>
        <w:rPr>
          <w:color w:val="20242C"/>
        </w:rPr>
        <w:t xml:space="preserve"> الداخلية؟ الإجابة الأمينة هي أن هذه المفاهيم تُستدعى بوصفها أدوات تشخيصية جزئية (كيف تنشأ السلطة، كيف يتشكل الأنا الأعلى، كيف يتصارع الخطاب) لا بوصفها </w:t>
      </w:r>
      <w:proofErr w:type="spellStart"/>
      <w:r>
        <w:rPr>
          <w:color w:val="20242C"/>
        </w:rPr>
        <w:t>أنساقاً</w:t>
      </w:r>
      <w:proofErr w:type="spellEnd"/>
      <w:r>
        <w:rPr>
          <w:color w:val="20242C"/>
        </w:rPr>
        <w:t xml:space="preserve"> ميتافيزيقية متكاملة يُراد تبنّيها بكليتها؛ فحين يُستعار مفهوم فوكو عن الانضباط، يُترك خلفه إطاره العدمي الرافض لأي معيار أخلاقي مطلق، ويُستبدل بمعيار الوحي.</w:t>
      </w:r>
    </w:p>
    <w:p w14:paraId="78C27DB8" w14:textId="77777777" w:rsidR="0016098E" w:rsidRDefault="00DD623A">
      <w:pPr>
        <w:spacing w:after="200" w:line="336" w:lineRule="auto"/>
        <w:jc w:val="both"/>
        <w:rPr>
          <w:rFonts w:cs="Times New Roman"/>
        </w:rPr>
      </w:pPr>
      <w:r>
        <w:rPr>
          <w:color w:val="20242C"/>
        </w:rPr>
        <w:t>ومع ذلك، يبقى هذا النمط من التوظيف الانتقائي عرضة لخطر إضعاف الاتساق الداخلي للنموذج إن لم يُمارَس بانضباط صارم؛ ولذلك فإن هذه الدراسة تقترح، كخط بحثي مستقبلي، تطوير معيار منهجي صريح لضبط "الاستعارة المفهومية عبر الأطر" في علم النفس الاستخلافي، بحيث يُعلن دائماً ما يُستعار من كل مصدر وما يُستبعد منه وسبب ذلك، على النحو الذي حاولت هذه الدراسة الالتزام به في كل فصل من فصولها الجديدة.</w:t>
      </w:r>
    </w:p>
    <w:p w14:paraId="585DEE09" w14:textId="77777777" w:rsidR="0016098E" w:rsidRDefault="00DD623A">
      <w:pPr>
        <w:pStyle w:val="2"/>
        <w:bidi/>
        <w:spacing w:before="320" w:after="220"/>
        <w:jc w:val="right"/>
        <w:rPr>
          <w:rFonts w:cs="Times New Roman"/>
        </w:rPr>
      </w:pPr>
      <w:r>
        <w:rPr>
          <w:b/>
          <w:bCs/>
          <w:color w:val="11605C"/>
          <w:sz w:val="27"/>
          <w:szCs w:val="27"/>
        </w:rPr>
        <w:t>6.3 نحو ضوابط إكلينيكية للتمييز بين "البر المشروط" و"سوء التوظيف"</w:t>
      </w:r>
    </w:p>
    <w:p w14:paraId="2681A238" w14:textId="77777777" w:rsidR="0016098E" w:rsidRDefault="00DD623A">
      <w:pPr>
        <w:spacing w:after="200" w:line="336" w:lineRule="auto"/>
        <w:jc w:val="both"/>
        <w:rPr>
          <w:rFonts w:cs="Times New Roman"/>
        </w:rPr>
      </w:pPr>
      <w:r>
        <w:rPr>
          <w:color w:val="20242C"/>
        </w:rPr>
        <w:t>استكمالاً لما سبق، تقترح هذه الدراسة الموسعة ثلاثة ضوابط إكلينيكية عملية يستعين بها المعالج المتدرب على بروتوكول TLRT للتمييز بين حالة يحتاج فيها المريض إلى تحرر حقيقي من طاعة قهرية، وحالة أخرى يسعى فيها المريض – بوعي أو بغير وعي – إلى تبرير تقصير حقيقي:</w:t>
      </w:r>
    </w:p>
    <w:p w14:paraId="5638F4BE" w14:textId="77777777" w:rsidR="0016098E" w:rsidRDefault="00DD623A">
      <w:pPr>
        <w:spacing w:after="140" w:line="336" w:lineRule="auto"/>
        <w:ind w:right="400"/>
        <w:jc w:val="both"/>
        <w:rPr>
          <w:rFonts w:cs="Times New Roman"/>
        </w:rPr>
      </w:pPr>
      <w:r>
        <w:rPr>
          <w:color w:val="20242C"/>
        </w:rPr>
        <w:t>1. معيار الاتساق: هل يطلب المريض التحرر من "طاعة" محددة صريحة تخالف أمراً إلهياً قطعياً، أم يطلب تبريراً عاماً فضفاضاً لتجاهل الوالدين بالجملة؟</w:t>
      </w:r>
    </w:p>
    <w:p w14:paraId="6211F1EA" w14:textId="77777777" w:rsidR="0016098E" w:rsidRDefault="00DD623A">
      <w:pPr>
        <w:spacing w:after="140" w:line="336" w:lineRule="auto"/>
        <w:ind w:right="400"/>
        <w:jc w:val="both"/>
        <w:rPr>
          <w:rFonts w:cs="Times New Roman"/>
        </w:rPr>
      </w:pPr>
      <w:r>
        <w:rPr>
          <w:color w:val="20242C"/>
        </w:rPr>
        <w:t>2. معيار الثمرة: هل يقود العلاج المريض نحو مزيد من الإحسان الحر بعد التحرر من الخوف، أم نحو تبرد وجداني وقطيعة متزايدة؟</w:t>
      </w:r>
    </w:p>
    <w:p w14:paraId="657A967E" w14:textId="77777777" w:rsidR="0016098E" w:rsidRDefault="00DD623A">
      <w:pPr>
        <w:spacing w:after="140" w:line="336" w:lineRule="auto"/>
        <w:ind w:right="400"/>
        <w:jc w:val="both"/>
        <w:rPr>
          <w:rFonts w:cs="Times New Roman"/>
        </w:rPr>
      </w:pPr>
      <w:r>
        <w:rPr>
          <w:color w:val="20242C"/>
        </w:rPr>
        <w:t>3. معيار المرجعية: هل يستند تبرير المريض إلى نص شرعي واضح أم إلى مجرد شعوره الذاتي بالانزعاج؟</w:t>
      </w:r>
    </w:p>
    <w:p w14:paraId="2AEC3C9C" w14:textId="77777777" w:rsidR="0016098E" w:rsidRDefault="00DD623A">
      <w:pPr>
        <w:spacing w:after="200" w:line="336" w:lineRule="auto"/>
        <w:jc w:val="both"/>
        <w:rPr>
          <w:rFonts w:cs="Times New Roman"/>
        </w:rPr>
      </w:pPr>
      <w:r>
        <w:rPr>
          <w:color w:val="20242C"/>
        </w:rPr>
        <w:t>هذه الضوابط، وإن لم تُغلق الباب كلياً أمام إمكان سوء التوظيف، تمنح المعالج أداة تفريق عملية تحافظ على جوهر النموذج الاستخلافي: تحرير الإنسان من عبودية الوسائط دون الانزلاق إلى تبرير التفريط في حق حقيقي واجب.</w:t>
      </w:r>
    </w:p>
    <w:p w14:paraId="43DE0889" w14:textId="77777777" w:rsidR="0016098E" w:rsidRDefault="00DD623A">
      <w:pPr>
        <w:pStyle w:val="1"/>
        <w:pBdr>
          <w:bottom w:val="single" w:sz="12" w:space="6" w:color="B8860B"/>
        </w:pBdr>
        <w:bidi/>
        <w:spacing w:before="480" w:after="220"/>
        <w:jc w:val="right"/>
        <w:rPr>
          <w:rFonts w:cs="Times New Roman"/>
        </w:rPr>
      </w:pPr>
      <w:r>
        <w:rPr>
          <w:b/>
          <w:bCs/>
          <w:color w:val="1B2A4A"/>
        </w:rPr>
        <w:t>الفصل السابع: نحو تطبيق إكلينيكي – بروتوكول TLRT في جلسات "العلاقة الوالدية" (فصل جديد)</w:t>
      </w:r>
    </w:p>
    <w:p w14:paraId="37FA3DC5" w14:textId="77777777" w:rsidR="0016098E" w:rsidRDefault="00DD623A">
      <w:pPr>
        <w:pStyle w:val="2"/>
        <w:bidi/>
        <w:spacing w:before="320" w:after="220"/>
        <w:jc w:val="right"/>
        <w:rPr>
          <w:rFonts w:cs="Times New Roman"/>
        </w:rPr>
      </w:pPr>
      <w:r>
        <w:rPr>
          <w:b/>
          <w:bCs/>
          <w:color w:val="11605C"/>
          <w:sz w:val="27"/>
          <w:szCs w:val="27"/>
        </w:rPr>
        <w:t>7.1 مراحل التشخيص</w:t>
      </w:r>
    </w:p>
    <w:p w14:paraId="16208BC8" w14:textId="77777777" w:rsidR="0016098E" w:rsidRDefault="00DD623A">
      <w:pPr>
        <w:spacing w:after="200" w:line="336" w:lineRule="auto"/>
        <w:jc w:val="both"/>
        <w:rPr>
          <w:rFonts w:cs="Times New Roman"/>
        </w:rPr>
      </w:pPr>
      <w:r>
        <w:rPr>
          <w:color w:val="20242C"/>
        </w:rPr>
        <w:t>يبدأ التطبيق الإكلينيكي لبروتوكول TLRT في قضايا العلاقة الوالدية بمرحلة تشخيصية تسعى إلى رسم "خريطة الديون النفسية الوهمية" التي يحملها المريض، عبر استكشاف الجمل التوكيدية (</w:t>
      </w:r>
      <w:proofErr w:type="spellStart"/>
      <w:r>
        <w:rPr>
          <w:color w:val="20242C"/>
        </w:rPr>
        <w:t>Injunctions</w:t>
      </w:r>
      <w:proofErr w:type="spellEnd"/>
      <w:r>
        <w:rPr>
          <w:color w:val="20242C"/>
        </w:rPr>
        <w:t xml:space="preserve">) التي </w:t>
      </w:r>
      <w:proofErr w:type="spellStart"/>
      <w:r>
        <w:rPr>
          <w:color w:val="20242C"/>
        </w:rPr>
        <w:t>استدمجها</w:t>
      </w:r>
      <w:proofErr w:type="spellEnd"/>
      <w:r>
        <w:rPr>
          <w:color w:val="20242C"/>
        </w:rPr>
        <w:t xml:space="preserve"> من والديه ("لن ترضيني أبداً"، "أنت مدين لي بحياتك")، وتحديد مدى تسربها إلى تصوره عن الله ذاته، من خلال أسئلة موجَّهة تكشف ما إذا كانت صورة "الله" في وعي المريض أقرب إلى صورة "القاضي القاسي" الموروثة من الوالد أم إلى الصورة القرآنية للرحمن الرحيم الغفور الودود.</w:t>
      </w:r>
    </w:p>
    <w:p w14:paraId="799F29A1" w14:textId="77777777" w:rsidR="0016098E" w:rsidRDefault="00DD623A">
      <w:pPr>
        <w:pStyle w:val="2"/>
        <w:bidi/>
        <w:spacing w:before="320" w:after="220"/>
        <w:jc w:val="right"/>
        <w:rPr>
          <w:rFonts w:cs="Times New Roman"/>
        </w:rPr>
      </w:pPr>
      <w:r>
        <w:rPr>
          <w:b/>
          <w:bCs/>
          <w:color w:val="11605C"/>
          <w:sz w:val="27"/>
          <w:szCs w:val="27"/>
        </w:rPr>
        <w:t>7.2 أدوات التدخل</w:t>
      </w:r>
    </w:p>
    <w:p w14:paraId="6A0D0B9C" w14:textId="77777777" w:rsidR="0016098E" w:rsidRDefault="00DD623A">
      <w:pPr>
        <w:spacing w:after="200" w:line="336" w:lineRule="auto"/>
        <w:jc w:val="both"/>
        <w:rPr>
          <w:rFonts w:cs="Times New Roman"/>
        </w:rPr>
      </w:pPr>
      <w:r>
        <w:rPr>
          <w:color w:val="20242C"/>
        </w:rPr>
        <w:t xml:space="preserve">يعتمد التدخل العلاجي على مسارين متوازيين: مسار معرفي-إيماني يهدف إلى "تفكيك الإسقاط" عبر مقارنة صريحة ومنهجية بين صفات الله كما وردت في النصوص وبين الصورة </w:t>
      </w:r>
      <w:proofErr w:type="spellStart"/>
      <w:r>
        <w:rPr>
          <w:color w:val="20242C"/>
        </w:rPr>
        <w:t>المستدمَجة</w:t>
      </w:r>
      <w:proofErr w:type="spellEnd"/>
      <w:r>
        <w:rPr>
          <w:color w:val="20242C"/>
        </w:rPr>
        <w:t xml:space="preserve"> عن الوالد، ومسار سلوكي يُعرف بـ"الجسر السلوكي"، وفيه يُدرَّب المريض تدريجياً على ممارسة أفعال إحسان محددة تجاه والديه (زيارة، اتصال، خدمة) مصحوبة بنية داخلية واضحة ("أفعل هذا لله لا خوفاً من غضبك")، بحيث يُعاد ربط الفعل السلوكي الظاهر بدافع داخلي متجدد ومختلف جذرياً عن الدافع القديم القائم على الخوف والذنب.</w:t>
      </w:r>
    </w:p>
    <w:p w14:paraId="11833EC2" w14:textId="77777777" w:rsidR="0016098E" w:rsidRDefault="00DD623A">
      <w:pPr>
        <w:pStyle w:val="2"/>
        <w:bidi/>
        <w:spacing w:before="320" w:after="220"/>
        <w:jc w:val="right"/>
        <w:rPr>
          <w:rFonts w:cs="Times New Roman"/>
        </w:rPr>
      </w:pPr>
      <w:r>
        <w:rPr>
          <w:b/>
          <w:bCs/>
          <w:color w:val="11605C"/>
          <w:sz w:val="27"/>
          <w:szCs w:val="27"/>
        </w:rPr>
        <w:t>7.3 مؤشرات التعافي</w:t>
      </w:r>
    </w:p>
    <w:p w14:paraId="730B5F35" w14:textId="77777777" w:rsidR="0016098E" w:rsidRDefault="00DD623A">
      <w:pPr>
        <w:spacing w:after="200" w:line="336" w:lineRule="auto"/>
        <w:jc w:val="both"/>
        <w:rPr>
          <w:rFonts w:cs="Times New Roman"/>
        </w:rPr>
      </w:pPr>
      <w:r>
        <w:rPr>
          <w:color w:val="20242C"/>
        </w:rPr>
        <w:t>يعتبر بروتوكول TLRT العلاج ناجحاً حين تتحقق ثلاثة مؤشرات مجتمعة: أولاً، انخفاض القلق المرتبط تحديداً بتوقع "غضب الوالد" دون أن يقترن ذلك بانخفاض مواز في الإحساس بالمسؤولية الأخلاقية العامة؛ ثانياً، ظهور قدرة المريض على البر والإحسان بمبادرة ذاتية هادئة بدل الانصياع القلق أو الرفض الدفاعي؛ وثالثاً، وهو الأهم، تحول صورة الله في وعي المريض من صورة الرقيب المُطالِب بالمستحيل إلى صورة القريب الغفور، بما ينعكس على استقراره النفسي العام لا في علاقته بوالديه فحسب، بل في علاقته بذاته وبالحياة.</w:t>
      </w:r>
    </w:p>
    <w:p w14:paraId="16506014" w14:textId="77777777" w:rsidR="0016098E" w:rsidRDefault="00DD623A">
      <w:pPr>
        <w:pStyle w:val="1"/>
        <w:pBdr>
          <w:bottom w:val="single" w:sz="12" w:space="6" w:color="B8860B"/>
        </w:pBdr>
        <w:bidi/>
        <w:spacing w:before="480" w:after="220"/>
        <w:jc w:val="right"/>
        <w:rPr>
          <w:rFonts w:cs="Times New Roman"/>
        </w:rPr>
      </w:pPr>
      <w:r>
        <w:rPr>
          <w:b/>
          <w:bCs/>
          <w:color w:val="1B2A4A"/>
        </w:rPr>
        <w:t>خاتمة: "رضاء الوالدين" – "طريق" إلى "الله" لا "بديل" عنه</w:t>
      </w:r>
    </w:p>
    <w:p w14:paraId="2482A16E" w14:textId="77777777" w:rsidR="0016098E" w:rsidRDefault="00DD623A">
      <w:pPr>
        <w:spacing w:after="200" w:line="336" w:lineRule="auto"/>
        <w:jc w:val="both"/>
        <w:rPr>
          <w:rFonts w:cs="Times New Roman"/>
        </w:rPr>
      </w:pPr>
      <w:r>
        <w:rPr>
          <w:color w:val="20242C"/>
        </w:rPr>
        <w:t xml:space="preserve">في نهاية هذه "الدراسة الموسعة"، نخلص إلى أن "قضية" "رضاء الوالدين" – كما "يُقدمها" علم النفس الاستخلافي – هي "قضية" "توازن" و"تكامل"، لا "قضية" "تطرف" و"اختيار". فـ "بر الوالدين" هو – "بلا شك" – "واجب" و"فضيلة" </w:t>
      </w:r>
      <w:proofErr w:type="spellStart"/>
      <w:r>
        <w:rPr>
          <w:color w:val="20242C"/>
        </w:rPr>
        <w:t>و"قُربة</w:t>
      </w:r>
      <w:proofErr w:type="spellEnd"/>
      <w:r>
        <w:rPr>
          <w:color w:val="20242C"/>
        </w:rPr>
        <w:t xml:space="preserve">". لكن "هذا البر" – كما "يُؤكد" هذا النموذج – "يَظل" "مُقيداً" بـ "شرط" "ألا يكون" في "معصية الله"، </w:t>
      </w:r>
      <w:proofErr w:type="spellStart"/>
      <w:r>
        <w:rPr>
          <w:color w:val="20242C"/>
        </w:rPr>
        <w:t>و"مُوجهاً</w:t>
      </w:r>
      <w:proofErr w:type="spellEnd"/>
      <w:r>
        <w:rPr>
          <w:color w:val="20242C"/>
        </w:rPr>
        <w:t xml:space="preserve">" بـ "نية" "التقرب" إلى "الله" لا "إرضاء" "البشر". و"العلاج" – في "بروتوكول TLRT" – "يَهدف" إلى "استعادة" هذا "التوازن" و"تحويل" "العلاقة" مع "الوالدين" من "مصدر" "للقلق" </w:t>
      </w:r>
      <w:proofErr w:type="spellStart"/>
      <w:r>
        <w:rPr>
          <w:color w:val="20242C"/>
        </w:rPr>
        <w:t>و"العُصاب</w:t>
      </w:r>
      <w:proofErr w:type="spellEnd"/>
      <w:r>
        <w:rPr>
          <w:color w:val="20242C"/>
        </w:rPr>
        <w:t>" إلى "مصدر" "للسكينة" و"البركة" و"الإحسان".</w:t>
      </w:r>
    </w:p>
    <w:p w14:paraId="4277BB59" w14:textId="77777777" w:rsidR="0016098E" w:rsidRDefault="00DD623A">
      <w:pPr>
        <w:spacing w:after="200" w:line="336" w:lineRule="auto"/>
        <w:jc w:val="both"/>
        <w:rPr>
          <w:rFonts w:cs="Times New Roman"/>
        </w:rPr>
      </w:pPr>
      <w:r>
        <w:rPr>
          <w:color w:val="20242C"/>
        </w:rPr>
        <w:t>وقد سعت هذه الدراسة الموسعة إلى إثبات أن هذا التوازن ليس شعاراً إنشائياً، بل بناء نظري قابل للتفصيل والتدقيق: من التأصيل الأنطولوجي في التراتبية الاستخلافية، مروراً بحوار نقدي منضبط مع تراثين معرفيين كبيرين (الغربي والإسلامي الكلاسيكي)، وصولاً إلى نقد ذاتي صريح لحدود النموذج ومخاطر توظيفه، وانتهاءً بتفصيل إكلينيكي تطبيقي لمسار العلاج. وبهذا يتأكد أن علم النفس الاستخلافي لا يطرح نفسه بديلاً معارضاً للتراث الإسلامي في بر الوالدين، ولا تابعاً ذائباً في المدارس النفسية الغربية، بل مشروعاً معرفياً مستقلاً يتحاور مع الجميع من موقع الندّية، غايته النهائية واحدة: أن تستقيم كل علاقة إنسانية – ومنها علاقة الابن بوالديه – على قاعدة توحيد المرجعية في الله وحده.</w:t>
      </w:r>
    </w:p>
    <w:p w14:paraId="065B1CA1" w14:textId="77777777" w:rsidR="0016098E" w:rsidRDefault="0016098E">
      <w:pPr>
        <w:spacing w:before="200" w:after="200"/>
        <w:rPr>
          <w:rFonts w:cs="Times New Roman"/>
        </w:rPr>
      </w:pPr>
    </w:p>
    <w:tbl>
      <w:tblPr>
        <w:tblW w:w="8000" w:type="dxa"/>
        <w:jc w:val="center"/>
        <w:tblBorders>
          <w:top w:val="single" w:sz="18" w:space="0" w:color="B8860B"/>
          <w:left w:val="single" w:sz="18" w:space="0" w:color="B8860B"/>
          <w:bottom w:val="single" w:sz="18" w:space="0" w:color="B8860B"/>
          <w:right w:val="single" w:sz="18"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000"/>
      </w:tblGrid>
      <w:tr w:rsidR="0016098E" w14:paraId="777090A3" w14:textId="77777777">
        <w:trPr>
          <w:jc w:val="center"/>
        </w:trPr>
        <w:tc>
          <w:tcPr>
            <w:tcW w:w="8000" w:type="dxa"/>
            <w:shd w:val="clear" w:color="auto" w:fill="F4E9C9"/>
            <w:tcMar>
              <w:top w:w="220" w:type="dxa"/>
              <w:left w:w="300" w:type="dxa"/>
              <w:bottom w:w="220" w:type="dxa"/>
              <w:right w:w="300" w:type="dxa"/>
            </w:tcMar>
            <w:vAlign w:val="center"/>
          </w:tcPr>
          <w:p w14:paraId="7065F10D" w14:textId="77777777" w:rsidR="0016098E" w:rsidRDefault="00DD623A">
            <w:pPr>
              <w:spacing w:after="100"/>
              <w:jc w:val="center"/>
              <w:rPr>
                <w:rFonts w:cs="Times New Roman"/>
              </w:rPr>
            </w:pPr>
            <w:r>
              <w:rPr>
                <w:b/>
                <w:bCs/>
                <w:color w:val="1B2A4A"/>
                <w:sz w:val="28"/>
                <w:szCs w:val="28"/>
              </w:rPr>
              <w:t>﴿وَوَصَّيْنَا الْإِنسَانَ بِوَالِدَيْهِ حُسْنًا﴾</w:t>
            </w:r>
          </w:p>
          <w:p w14:paraId="11DD7224" w14:textId="77777777" w:rsidR="0016098E" w:rsidRDefault="00DD623A">
            <w:pPr>
              <w:jc w:val="center"/>
              <w:rPr>
                <w:rFonts w:cs="Times New Roman"/>
              </w:rPr>
            </w:pPr>
            <w:r>
              <w:rPr>
                <w:b/>
                <w:bCs/>
                <w:color w:val="11605C"/>
                <w:sz w:val="22"/>
                <w:szCs w:val="22"/>
              </w:rPr>
              <w:t>[العنكبوت: 8]</w:t>
            </w:r>
          </w:p>
        </w:tc>
      </w:tr>
    </w:tbl>
    <w:p w14:paraId="3469BAF2" w14:textId="77777777" w:rsidR="0016098E" w:rsidRDefault="00DD623A">
      <w:pPr>
        <w:rPr>
          <w:rFonts w:cs="Times New Roman"/>
        </w:rPr>
      </w:pPr>
      <w:r>
        <w:br w:type="page"/>
      </w:r>
    </w:p>
    <w:p w14:paraId="5735A7CF" w14:textId="77777777" w:rsidR="0016098E" w:rsidRDefault="00DD623A">
      <w:pPr>
        <w:pStyle w:val="1"/>
        <w:pBdr>
          <w:bottom w:val="single" w:sz="12" w:space="6" w:color="B8860B"/>
        </w:pBdr>
        <w:bidi/>
        <w:spacing w:before="480" w:after="220"/>
        <w:jc w:val="right"/>
        <w:rPr>
          <w:rFonts w:cs="Times New Roman"/>
        </w:rPr>
      </w:pPr>
      <w:r>
        <w:rPr>
          <w:b/>
          <w:bCs/>
          <w:color w:val="1B2A4A"/>
        </w:rPr>
        <w:t>المراجع والمصادر</w:t>
      </w:r>
    </w:p>
    <w:p w14:paraId="40739E7E" w14:textId="77777777" w:rsidR="0016098E" w:rsidRDefault="00DD623A">
      <w:pPr>
        <w:spacing w:before="280" w:after="160"/>
        <w:jc w:val="right"/>
        <w:rPr>
          <w:rFonts w:cs="Times New Roman"/>
        </w:rPr>
      </w:pPr>
      <w:r>
        <w:rPr>
          <w:b/>
          <w:bCs/>
          <w:color w:val="11605C"/>
          <w:sz w:val="26"/>
          <w:szCs w:val="26"/>
        </w:rPr>
        <w:t>أولاً: المصادر الأساسية (النموذج الاستخلافي)</w:t>
      </w:r>
    </w:p>
    <w:p w14:paraId="2E943000" w14:textId="77777777" w:rsidR="0016098E" w:rsidRDefault="00DD623A">
      <w:pPr>
        <w:spacing w:after="130" w:line="300" w:lineRule="auto"/>
        <w:ind w:right="300" w:hanging="300"/>
        <w:jc w:val="both"/>
        <w:rPr>
          <w:rFonts w:cs="Times New Roman"/>
        </w:rPr>
      </w:pPr>
      <w:r>
        <w:rPr>
          <w:color w:val="20242C"/>
          <w:sz w:val="22"/>
          <w:szCs w:val="22"/>
        </w:rPr>
        <w:t>1. علم النفس الاستخلافي. (2026). العلاج بحرث المصالحة التحويلية (TLRT): الدليل النظري والإكلينيكي. (الطبعة التجريبية الأولى).</w:t>
      </w:r>
    </w:p>
    <w:p w14:paraId="06023CE1" w14:textId="77777777" w:rsidR="0016098E" w:rsidRDefault="00DD623A">
      <w:pPr>
        <w:spacing w:after="130" w:line="300" w:lineRule="auto"/>
        <w:ind w:right="300" w:hanging="300"/>
        <w:jc w:val="both"/>
        <w:rPr>
          <w:rFonts w:cs="Times New Roman"/>
        </w:rPr>
      </w:pPr>
      <w:r>
        <w:rPr>
          <w:color w:val="20242C"/>
          <w:sz w:val="22"/>
          <w:szCs w:val="22"/>
        </w:rPr>
        <w:t>2. علم النفس الاستخلافي. (2026). الفصام الأخلاقي ومصدر الأزمات النفسية: قراءة في ضوء نظرية TLRT.</w:t>
      </w:r>
    </w:p>
    <w:p w14:paraId="1EE64527" w14:textId="77777777" w:rsidR="0016098E" w:rsidRDefault="00DD623A">
      <w:pPr>
        <w:spacing w:after="130" w:line="300" w:lineRule="auto"/>
        <w:ind w:right="300" w:hanging="300"/>
        <w:jc w:val="both"/>
        <w:rPr>
          <w:rFonts w:cs="Times New Roman"/>
        </w:rPr>
      </w:pPr>
      <w:r>
        <w:rPr>
          <w:color w:val="20242C"/>
          <w:sz w:val="22"/>
          <w:szCs w:val="22"/>
        </w:rPr>
        <w:t xml:space="preserve">3. علم النفس الاستخلافي. (2026). </w:t>
      </w:r>
      <w:proofErr w:type="spellStart"/>
      <w:r>
        <w:rPr>
          <w:color w:val="20242C"/>
          <w:sz w:val="22"/>
          <w:szCs w:val="22"/>
        </w:rPr>
        <w:t>التمثلات</w:t>
      </w:r>
      <w:proofErr w:type="spellEnd"/>
      <w:r>
        <w:rPr>
          <w:color w:val="20242C"/>
          <w:sz w:val="22"/>
          <w:szCs w:val="22"/>
        </w:rPr>
        <w:t xml:space="preserve"> الداخلية للإله: من نظرية </w:t>
      </w:r>
      <w:proofErr w:type="spellStart"/>
      <w:r>
        <w:rPr>
          <w:color w:val="20242C"/>
          <w:sz w:val="22"/>
          <w:szCs w:val="22"/>
        </w:rPr>
        <w:t>ريزوتو</w:t>
      </w:r>
      <w:proofErr w:type="spellEnd"/>
      <w:r>
        <w:rPr>
          <w:color w:val="20242C"/>
          <w:sz w:val="22"/>
          <w:szCs w:val="22"/>
        </w:rPr>
        <w:t xml:space="preserve"> إلى إعادة بناء صورة الله في TLRT.</w:t>
      </w:r>
    </w:p>
    <w:p w14:paraId="02F7B29A" w14:textId="77777777" w:rsidR="0016098E" w:rsidRDefault="00DD623A">
      <w:pPr>
        <w:spacing w:before="280" w:after="160"/>
        <w:jc w:val="right"/>
        <w:rPr>
          <w:rFonts w:cs="Times New Roman"/>
        </w:rPr>
      </w:pPr>
      <w:r>
        <w:rPr>
          <w:b/>
          <w:bCs/>
          <w:color w:val="11605C"/>
          <w:sz w:val="26"/>
          <w:szCs w:val="26"/>
        </w:rPr>
        <w:t>ثانياً: مراجع في علم النفس الأسري والتحليل النفسي</w:t>
      </w:r>
    </w:p>
    <w:p w14:paraId="738B71B8" w14:textId="77777777" w:rsidR="0016098E" w:rsidRDefault="00DD623A">
      <w:pPr>
        <w:spacing w:after="130" w:line="300" w:lineRule="auto"/>
        <w:ind w:right="300" w:hanging="300"/>
        <w:jc w:val="both"/>
        <w:rPr>
          <w:rFonts w:cs="Times New Roman"/>
        </w:rPr>
      </w:pPr>
      <w:r>
        <w:rPr>
          <w:color w:val="20242C"/>
          <w:sz w:val="22"/>
          <w:szCs w:val="22"/>
        </w:rPr>
        <w:t xml:space="preserve">1. </w:t>
      </w:r>
      <w:proofErr w:type="spellStart"/>
      <w:r>
        <w:rPr>
          <w:color w:val="20242C"/>
          <w:sz w:val="22"/>
          <w:szCs w:val="22"/>
        </w:rPr>
        <w:t>Bowen</w:t>
      </w:r>
      <w:proofErr w:type="spellEnd"/>
      <w:r>
        <w:rPr>
          <w:color w:val="20242C"/>
          <w:sz w:val="22"/>
          <w:szCs w:val="22"/>
        </w:rPr>
        <w:t xml:space="preserve">, M. (1978). </w:t>
      </w:r>
      <w:proofErr w:type="spellStart"/>
      <w:r>
        <w:rPr>
          <w:color w:val="20242C"/>
          <w:sz w:val="22"/>
          <w:szCs w:val="22"/>
        </w:rPr>
        <w:t>Family</w:t>
      </w:r>
      <w:proofErr w:type="spellEnd"/>
      <w:r>
        <w:rPr>
          <w:color w:val="20242C"/>
          <w:sz w:val="22"/>
          <w:szCs w:val="22"/>
        </w:rPr>
        <w:t xml:space="preserve"> </w:t>
      </w:r>
      <w:proofErr w:type="spellStart"/>
      <w:r>
        <w:rPr>
          <w:color w:val="20242C"/>
          <w:sz w:val="22"/>
          <w:szCs w:val="22"/>
        </w:rPr>
        <w:t>Therapy</w:t>
      </w:r>
      <w:proofErr w:type="spellEnd"/>
      <w:r>
        <w:rPr>
          <w:color w:val="20242C"/>
          <w:sz w:val="22"/>
          <w:szCs w:val="22"/>
        </w:rPr>
        <w:t xml:space="preserve"> </w:t>
      </w:r>
      <w:proofErr w:type="spellStart"/>
      <w:r>
        <w:rPr>
          <w:color w:val="20242C"/>
          <w:sz w:val="22"/>
          <w:szCs w:val="22"/>
        </w:rPr>
        <w:t>in</w:t>
      </w:r>
      <w:proofErr w:type="spellEnd"/>
      <w:r>
        <w:rPr>
          <w:color w:val="20242C"/>
          <w:sz w:val="22"/>
          <w:szCs w:val="22"/>
        </w:rPr>
        <w:t xml:space="preserve"> </w:t>
      </w:r>
      <w:proofErr w:type="spellStart"/>
      <w:r>
        <w:rPr>
          <w:color w:val="20242C"/>
          <w:sz w:val="22"/>
          <w:szCs w:val="22"/>
        </w:rPr>
        <w:t>Clinical</w:t>
      </w:r>
      <w:proofErr w:type="spellEnd"/>
      <w:r>
        <w:rPr>
          <w:color w:val="20242C"/>
          <w:sz w:val="22"/>
          <w:szCs w:val="22"/>
        </w:rPr>
        <w:t xml:space="preserve"> </w:t>
      </w:r>
      <w:proofErr w:type="spellStart"/>
      <w:r>
        <w:rPr>
          <w:color w:val="20242C"/>
          <w:sz w:val="22"/>
          <w:szCs w:val="22"/>
        </w:rPr>
        <w:t>Practice</w:t>
      </w:r>
      <w:proofErr w:type="spellEnd"/>
      <w:r>
        <w:rPr>
          <w:color w:val="20242C"/>
          <w:sz w:val="22"/>
          <w:szCs w:val="22"/>
        </w:rPr>
        <w:t xml:space="preserve">. </w:t>
      </w:r>
      <w:proofErr w:type="spellStart"/>
      <w:r>
        <w:rPr>
          <w:color w:val="20242C"/>
          <w:sz w:val="22"/>
          <w:szCs w:val="22"/>
        </w:rPr>
        <w:t>New</w:t>
      </w:r>
      <w:proofErr w:type="spellEnd"/>
      <w:r>
        <w:rPr>
          <w:color w:val="20242C"/>
          <w:sz w:val="22"/>
          <w:szCs w:val="22"/>
        </w:rPr>
        <w:t xml:space="preserve"> </w:t>
      </w:r>
      <w:proofErr w:type="spellStart"/>
      <w:r>
        <w:rPr>
          <w:color w:val="20242C"/>
          <w:sz w:val="22"/>
          <w:szCs w:val="22"/>
        </w:rPr>
        <w:t>York</w:t>
      </w:r>
      <w:proofErr w:type="spellEnd"/>
      <w:r>
        <w:rPr>
          <w:color w:val="20242C"/>
          <w:sz w:val="22"/>
          <w:szCs w:val="22"/>
        </w:rPr>
        <w:t xml:space="preserve">: </w:t>
      </w:r>
      <w:proofErr w:type="spellStart"/>
      <w:r>
        <w:rPr>
          <w:color w:val="20242C"/>
          <w:sz w:val="22"/>
          <w:szCs w:val="22"/>
        </w:rPr>
        <w:t>Jason</w:t>
      </w:r>
      <w:proofErr w:type="spellEnd"/>
      <w:r>
        <w:rPr>
          <w:color w:val="20242C"/>
          <w:sz w:val="22"/>
          <w:szCs w:val="22"/>
        </w:rPr>
        <w:t xml:space="preserve"> </w:t>
      </w:r>
      <w:proofErr w:type="spellStart"/>
      <w:r>
        <w:rPr>
          <w:color w:val="20242C"/>
          <w:sz w:val="22"/>
          <w:szCs w:val="22"/>
        </w:rPr>
        <w:t>Aronson</w:t>
      </w:r>
      <w:proofErr w:type="spellEnd"/>
      <w:r>
        <w:rPr>
          <w:color w:val="20242C"/>
          <w:sz w:val="22"/>
          <w:szCs w:val="22"/>
        </w:rPr>
        <w:t>.</w:t>
      </w:r>
    </w:p>
    <w:p w14:paraId="47968D64" w14:textId="77777777" w:rsidR="0016098E" w:rsidRDefault="00DD623A">
      <w:pPr>
        <w:spacing w:after="130" w:line="300" w:lineRule="auto"/>
        <w:ind w:right="300" w:hanging="300"/>
        <w:jc w:val="both"/>
        <w:rPr>
          <w:rFonts w:cs="Times New Roman"/>
        </w:rPr>
      </w:pPr>
      <w:r>
        <w:rPr>
          <w:color w:val="20242C"/>
          <w:sz w:val="22"/>
          <w:szCs w:val="22"/>
        </w:rPr>
        <w:t xml:space="preserve">2. </w:t>
      </w:r>
      <w:proofErr w:type="spellStart"/>
      <w:r>
        <w:rPr>
          <w:color w:val="20242C"/>
          <w:sz w:val="22"/>
          <w:szCs w:val="22"/>
        </w:rPr>
        <w:t>Minuchin</w:t>
      </w:r>
      <w:proofErr w:type="spellEnd"/>
      <w:r>
        <w:rPr>
          <w:color w:val="20242C"/>
          <w:sz w:val="22"/>
          <w:szCs w:val="22"/>
        </w:rPr>
        <w:t xml:space="preserve">, S. (1974). </w:t>
      </w:r>
      <w:proofErr w:type="spellStart"/>
      <w:r>
        <w:rPr>
          <w:color w:val="20242C"/>
          <w:sz w:val="22"/>
          <w:szCs w:val="22"/>
        </w:rPr>
        <w:t>Families</w:t>
      </w:r>
      <w:proofErr w:type="spellEnd"/>
      <w:r>
        <w:rPr>
          <w:color w:val="20242C"/>
          <w:sz w:val="22"/>
          <w:szCs w:val="22"/>
        </w:rPr>
        <w:t xml:space="preserve"> </w:t>
      </w:r>
      <w:proofErr w:type="spellStart"/>
      <w:r>
        <w:rPr>
          <w:color w:val="20242C"/>
          <w:sz w:val="22"/>
          <w:szCs w:val="22"/>
        </w:rPr>
        <w:t>and</w:t>
      </w:r>
      <w:proofErr w:type="spellEnd"/>
      <w:r>
        <w:rPr>
          <w:color w:val="20242C"/>
          <w:sz w:val="22"/>
          <w:szCs w:val="22"/>
        </w:rPr>
        <w:t xml:space="preserve"> </w:t>
      </w:r>
      <w:proofErr w:type="spellStart"/>
      <w:r>
        <w:rPr>
          <w:color w:val="20242C"/>
          <w:sz w:val="22"/>
          <w:szCs w:val="22"/>
        </w:rPr>
        <w:t>Family</w:t>
      </w:r>
      <w:proofErr w:type="spellEnd"/>
      <w:r>
        <w:rPr>
          <w:color w:val="20242C"/>
          <w:sz w:val="22"/>
          <w:szCs w:val="22"/>
        </w:rPr>
        <w:t xml:space="preserve"> </w:t>
      </w:r>
      <w:proofErr w:type="spellStart"/>
      <w:r>
        <w:rPr>
          <w:color w:val="20242C"/>
          <w:sz w:val="22"/>
          <w:szCs w:val="22"/>
        </w:rPr>
        <w:t>Therapy</w:t>
      </w:r>
      <w:proofErr w:type="spellEnd"/>
      <w:r>
        <w:rPr>
          <w:color w:val="20242C"/>
          <w:sz w:val="22"/>
          <w:szCs w:val="22"/>
        </w:rPr>
        <w:t xml:space="preserve">. </w:t>
      </w:r>
      <w:proofErr w:type="spellStart"/>
      <w:r>
        <w:rPr>
          <w:color w:val="20242C"/>
          <w:sz w:val="22"/>
          <w:szCs w:val="22"/>
        </w:rPr>
        <w:t>Cambridge</w:t>
      </w:r>
      <w:proofErr w:type="spellEnd"/>
      <w:r>
        <w:rPr>
          <w:color w:val="20242C"/>
          <w:sz w:val="22"/>
          <w:szCs w:val="22"/>
        </w:rPr>
        <w:t xml:space="preserve">, MA: </w:t>
      </w:r>
      <w:proofErr w:type="spellStart"/>
      <w:r>
        <w:rPr>
          <w:color w:val="20242C"/>
          <w:sz w:val="22"/>
          <w:szCs w:val="22"/>
        </w:rPr>
        <w:t>Harvard</w:t>
      </w:r>
      <w:proofErr w:type="spellEnd"/>
      <w:r>
        <w:rPr>
          <w:color w:val="20242C"/>
          <w:sz w:val="22"/>
          <w:szCs w:val="22"/>
        </w:rPr>
        <w:t xml:space="preserve"> </w:t>
      </w:r>
      <w:proofErr w:type="spellStart"/>
      <w:r>
        <w:rPr>
          <w:color w:val="20242C"/>
          <w:sz w:val="22"/>
          <w:szCs w:val="22"/>
        </w:rPr>
        <w:t>University</w:t>
      </w:r>
      <w:proofErr w:type="spellEnd"/>
      <w:r>
        <w:rPr>
          <w:color w:val="20242C"/>
          <w:sz w:val="22"/>
          <w:szCs w:val="22"/>
        </w:rPr>
        <w:t xml:space="preserve"> </w:t>
      </w:r>
      <w:proofErr w:type="spellStart"/>
      <w:r>
        <w:rPr>
          <w:color w:val="20242C"/>
          <w:sz w:val="22"/>
          <w:szCs w:val="22"/>
        </w:rPr>
        <w:t>Press</w:t>
      </w:r>
      <w:proofErr w:type="spellEnd"/>
      <w:r>
        <w:rPr>
          <w:color w:val="20242C"/>
          <w:sz w:val="22"/>
          <w:szCs w:val="22"/>
        </w:rPr>
        <w:t>.</w:t>
      </w:r>
    </w:p>
    <w:p w14:paraId="75BB1529" w14:textId="77777777" w:rsidR="0016098E" w:rsidRDefault="00DD623A">
      <w:pPr>
        <w:spacing w:after="130" w:line="300" w:lineRule="auto"/>
        <w:ind w:right="300" w:hanging="300"/>
        <w:jc w:val="both"/>
        <w:rPr>
          <w:rFonts w:cs="Times New Roman"/>
        </w:rPr>
      </w:pPr>
      <w:r>
        <w:rPr>
          <w:color w:val="20242C"/>
          <w:sz w:val="22"/>
          <w:szCs w:val="22"/>
        </w:rPr>
        <w:t xml:space="preserve">3. </w:t>
      </w:r>
      <w:proofErr w:type="spellStart"/>
      <w:r>
        <w:rPr>
          <w:color w:val="20242C"/>
          <w:sz w:val="22"/>
          <w:szCs w:val="22"/>
        </w:rPr>
        <w:t>Freud</w:t>
      </w:r>
      <w:proofErr w:type="spellEnd"/>
      <w:r>
        <w:rPr>
          <w:color w:val="20242C"/>
          <w:sz w:val="22"/>
          <w:szCs w:val="22"/>
        </w:rPr>
        <w:t xml:space="preserve">, S. (1913). </w:t>
      </w:r>
      <w:proofErr w:type="spellStart"/>
      <w:r>
        <w:rPr>
          <w:color w:val="20242C"/>
          <w:sz w:val="22"/>
          <w:szCs w:val="22"/>
        </w:rPr>
        <w:t>Totem</w:t>
      </w:r>
      <w:proofErr w:type="spellEnd"/>
      <w:r>
        <w:rPr>
          <w:color w:val="20242C"/>
          <w:sz w:val="22"/>
          <w:szCs w:val="22"/>
        </w:rPr>
        <w:t xml:space="preserve"> </w:t>
      </w:r>
      <w:proofErr w:type="spellStart"/>
      <w:r>
        <w:rPr>
          <w:color w:val="20242C"/>
          <w:sz w:val="22"/>
          <w:szCs w:val="22"/>
        </w:rPr>
        <w:t>and</w:t>
      </w:r>
      <w:proofErr w:type="spellEnd"/>
      <w:r>
        <w:rPr>
          <w:color w:val="20242C"/>
          <w:sz w:val="22"/>
          <w:szCs w:val="22"/>
        </w:rPr>
        <w:t xml:space="preserve"> </w:t>
      </w:r>
      <w:proofErr w:type="spellStart"/>
      <w:r>
        <w:rPr>
          <w:color w:val="20242C"/>
          <w:sz w:val="22"/>
          <w:szCs w:val="22"/>
        </w:rPr>
        <w:t>Taboo</w:t>
      </w:r>
      <w:proofErr w:type="spellEnd"/>
      <w:r>
        <w:rPr>
          <w:color w:val="20242C"/>
          <w:sz w:val="22"/>
          <w:szCs w:val="22"/>
        </w:rPr>
        <w:t xml:space="preserve">. </w:t>
      </w:r>
      <w:proofErr w:type="spellStart"/>
      <w:r>
        <w:rPr>
          <w:color w:val="20242C"/>
          <w:sz w:val="22"/>
          <w:szCs w:val="22"/>
        </w:rPr>
        <w:t>In</w:t>
      </w:r>
      <w:proofErr w:type="spellEnd"/>
      <w:r>
        <w:rPr>
          <w:color w:val="20242C"/>
          <w:sz w:val="22"/>
          <w:szCs w:val="22"/>
        </w:rPr>
        <w:t xml:space="preserve"> </w:t>
      </w:r>
      <w:proofErr w:type="spellStart"/>
      <w:r>
        <w:rPr>
          <w:color w:val="20242C"/>
          <w:sz w:val="22"/>
          <w:szCs w:val="22"/>
        </w:rPr>
        <w:t>The</w:t>
      </w:r>
      <w:proofErr w:type="spellEnd"/>
      <w:r>
        <w:rPr>
          <w:color w:val="20242C"/>
          <w:sz w:val="22"/>
          <w:szCs w:val="22"/>
        </w:rPr>
        <w:t xml:space="preserve"> </w:t>
      </w:r>
      <w:proofErr w:type="spellStart"/>
      <w:r>
        <w:rPr>
          <w:color w:val="20242C"/>
          <w:sz w:val="22"/>
          <w:szCs w:val="22"/>
        </w:rPr>
        <w:t>Standard</w:t>
      </w:r>
      <w:proofErr w:type="spellEnd"/>
      <w:r>
        <w:rPr>
          <w:color w:val="20242C"/>
          <w:sz w:val="22"/>
          <w:szCs w:val="22"/>
        </w:rPr>
        <w:t xml:space="preserve"> </w:t>
      </w:r>
      <w:proofErr w:type="spellStart"/>
      <w:r>
        <w:rPr>
          <w:color w:val="20242C"/>
          <w:sz w:val="22"/>
          <w:szCs w:val="22"/>
        </w:rPr>
        <w:t>Edition</w:t>
      </w:r>
      <w:proofErr w:type="spellEnd"/>
      <w:r>
        <w:rPr>
          <w:color w:val="20242C"/>
          <w:sz w:val="22"/>
          <w:szCs w:val="22"/>
        </w:rPr>
        <w:t xml:space="preserve"> (</w:t>
      </w:r>
      <w:proofErr w:type="spellStart"/>
      <w:r>
        <w:rPr>
          <w:color w:val="20242C"/>
          <w:sz w:val="22"/>
          <w:szCs w:val="22"/>
        </w:rPr>
        <w:t>Vol</w:t>
      </w:r>
      <w:proofErr w:type="spellEnd"/>
      <w:r>
        <w:rPr>
          <w:color w:val="20242C"/>
          <w:sz w:val="22"/>
          <w:szCs w:val="22"/>
        </w:rPr>
        <w:t xml:space="preserve">. 13). </w:t>
      </w:r>
      <w:proofErr w:type="spellStart"/>
      <w:r>
        <w:rPr>
          <w:color w:val="20242C"/>
          <w:sz w:val="22"/>
          <w:szCs w:val="22"/>
        </w:rPr>
        <w:t>London</w:t>
      </w:r>
      <w:proofErr w:type="spellEnd"/>
      <w:r>
        <w:rPr>
          <w:color w:val="20242C"/>
          <w:sz w:val="22"/>
          <w:szCs w:val="22"/>
        </w:rPr>
        <w:t xml:space="preserve">: </w:t>
      </w:r>
      <w:proofErr w:type="spellStart"/>
      <w:r>
        <w:rPr>
          <w:color w:val="20242C"/>
          <w:sz w:val="22"/>
          <w:szCs w:val="22"/>
        </w:rPr>
        <w:t>Hogarth</w:t>
      </w:r>
      <w:proofErr w:type="spellEnd"/>
      <w:r>
        <w:rPr>
          <w:color w:val="20242C"/>
          <w:sz w:val="22"/>
          <w:szCs w:val="22"/>
        </w:rPr>
        <w:t xml:space="preserve"> </w:t>
      </w:r>
      <w:proofErr w:type="spellStart"/>
      <w:r>
        <w:rPr>
          <w:color w:val="20242C"/>
          <w:sz w:val="22"/>
          <w:szCs w:val="22"/>
        </w:rPr>
        <w:t>Press</w:t>
      </w:r>
      <w:proofErr w:type="spellEnd"/>
      <w:r>
        <w:rPr>
          <w:color w:val="20242C"/>
          <w:sz w:val="22"/>
          <w:szCs w:val="22"/>
        </w:rPr>
        <w:t>.</w:t>
      </w:r>
    </w:p>
    <w:p w14:paraId="2527ABF3" w14:textId="77777777" w:rsidR="0016098E" w:rsidRDefault="00DD623A">
      <w:pPr>
        <w:spacing w:after="130" w:line="300" w:lineRule="auto"/>
        <w:ind w:right="300" w:hanging="300"/>
        <w:jc w:val="both"/>
        <w:rPr>
          <w:rFonts w:cs="Times New Roman"/>
        </w:rPr>
      </w:pPr>
      <w:r>
        <w:rPr>
          <w:color w:val="20242C"/>
          <w:sz w:val="22"/>
          <w:szCs w:val="22"/>
        </w:rPr>
        <w:t xml:space="preserve">4. </w:t>
      </w:r>
      <w:proofErr w:type="spellStart"/>
      <w:r>
        <w:rPr>
          <w:color w:val="20242C"/>
          <w:sz w:val="22"/>
          <w:szCs w:val="22"/>
        </w:rPr>
        <w:t>Frankl</w:t>
      </w:r>
      <w:proofErr w:type="spellEnd"/>
      <w:r>
        <w:rPr>
          <w:color w:val="20242C"/>
          <w:sz w:val="22"/>
          <w:szCs w:val="22"/>
        </w:rPr>
        <w:t xml:space="preserve">, V. (1946). </w:t>
      </w:r>
      <w:proofErr w:type="spellStart"/>
      <w:r>
        <w:rPr>
          <w:color w:val="20242C"/>
          <w:sz w:val="22"/>
          <w:szCs w:val="22"/>
        </w:rPr>
        <w:t>Man's</w:t>
      </w:r>
      <w:proofErr w:type="spellEnd"/>
      <w:r>
        <w:rPr>
          <w:color w:val="20242C"/>
          <w:sz w:val="22"/>
          <w:szCs w:val="22"/>
        </w:rPr>
        <w:t xml:space="preserve"> </w:t>
      </w:r>
      <w:proofErr w:type="spellStart"/>
      <w:r>
        <w:rPr>
          <w:color w:val="20242C"/>
          <w:sz w:val="22"/>
          <w:szCs w:val="22"/>
        </w:rPr>
        <w:t>Search</w:t>
      </w:r>
      <w:proofErr w:type="spellEnd"/>
      <w:r>
        <w:rPr>
          <w:color w:val="20242C"/>
          <w:sz w:val="22"/>
          <w:szCs w:val="22"/>
        </w:rPr>
        <w:t xml:space="preserve"> </w:t>
      </w:r>
      <w:proofErr w:type="spellStart"/>
      <w:r>
        <w:rPr>
          <w:color w:val="20242C"/>
          <w:sz w:val="22"/>
          <w:szCs w:val="22"/>
        </w:rPr>
        <w:t>for</w:t>
      </w:r>
      <w:proofErr w:type="spellEnd"/>
      <w:r>
        <w:rPr>
          <w:color w:val="20242C"/>
          <w:sz w:val="22"/>
          <w:szCs w:val="22"/>
        </w:rPr>
        <w:t xml:space="preserve"> </w:t>
      </w:r>
      <w:proofErr w:type="spellStart"/>
      <w:r>
        <w:rPr>
          <w:color w:val="20242C"/>
          <w:sz w:val="22"/>
          <w:szCs w:val="22"/>
        </w:rPr>
        <w:t>Meaning</w:t>
      </w:r>
      <w:proofErr w:type="spellEnd"/>
      <w:r>
        <w:rPr>
          <w:color w:val="20242C"/>
          <w:sz w:val="22"/>
          <w:szCs w:val="22"/>
        </w:rPr>
        <w:t xml:space="preserve">. </w:t>
      </w:r>
      <w:proofErr w:type="spellStart"/>
      <w:r>
        <w:rPr>
          <w:color w:val="20242C"/>
          <w:sz w:val="22"/>
          <w:szCs w:val="22"/>
        </w:rPr>
        <w:t>Vienna</w:t>
      </w:r>
      <w:proofErr w:type="spellEnd"/>
      <w:r>
        <w:rPr>
          <w:color w:val="20242C"/>
          <w:sz w:val="22"/>
          <w:szCs w:val="22"/>
        </w:rPr>
        <w:t xml:space="preserve">: </w:t>
      </w:r>
      <w:proofErr w:type="spellStart"/>
      <w:r>
        <w:rPr>
          <w:color w:val="20242C"/>
          <w:sz w:val="22"/>
          <w:szCs w:val="22"/>
        </w:rPr>
        <w:t>Verlag</w:t>
      </w:r>
      <w:proofErr w:type="spellEnd"/>
      <w:r>
        <w:rPr>
          <w:color w:val="20242C"/>
          <w:sz w:val="22"/>
          <w:szCs w:val="22"/>
        </w:rPr>
        <w:t xml:space="preserve"> </w:t>
      </w:r>
      <w:proofErr w:type="spellStart"/>
      <w:r>
        <w:rPr>
          <w:color w:val="20242C"/>
          <w:sz w:val="22"/>
          <w:szCs w:val="22"/>
        </w:rPr>
        <w:t>für</w:t>
      </w:r>
      <w:proofErr w:type="spellEnd"/>
      <w:r>
        <w:rPr>
          <w:color w:val="20242C"/>
          <w:sz w:val="22"/>
          <w:szCs w:val="22"/>
        </w:rPr>
        <w:t xml:space="preserve"> </w:t>
      </w:r>
      <w:proofErr w:type="spellStart"/>
      <w:r>
        <w:rPr>
          <w:color w:val="20242C"/>
          <w:sz w:val="22"/>
          <w:szCs w:val="22"/>
        </w:rPr>
        <w:t>Jugend</w:t>
      </w:r>
      <w:proofErr w:type="spellEnd"/>
      <w:r>
        <w:rPr>
          <w:color w:val="20242C"/>
          <w:sz w:val="22"/>
          <w:szCs w:val="22"/>
        </w:rPr>
        <w:t xml:space="preserve"> </w:t>
      </w:r>
      <w:proofErr w:type="spellStart"/>
      <w:r>
        <w:rPr>
          <w:color w:val="20242C"/>
          <w:sz w:val="22"/>
          <w:szCs w:val="22"/>
        </w:rPr>
        <w:t>und</w:t>
      </w:r>
      <w:proofErr w:type="spellEnd"/>
      <w:r>
        <w:rPr>
          <w:color w:val="20242C"/>
          <w:sz w:val="22"/>
          <w:szCs w:val="22"/>
        </w:rPr>
        <w:t xml:space="preserve"> </w:t>
      </w:r>
      <w:proofErr w:type="spellStart"/>
      <w:r>
        <w:rPr>
          <w:color w:val="20242C"/>
          <w:sz w:val="22"/>
          <w:szCs w:val="22"/>
        </w:rPr>
        <w:t>Volk</w:t>
      </w:r>
      <w:proofErr w:type="spellEnd"/>
      <w:r>
        <w:rPr>
          <w:color w:val="20242C"/>
          <w:sz w:val="22"/>
          <w:szCs w:val="22"/>
        </w:rPr>
        <w:t>.</w:t>
      </w:r>
    </w:p>
    <w:p w14:paraId="7DFC4BE3" w14:textId="77777777" w:rsidR="0016098E" w:rsidRDefault="00DD623A">
      <w:pPr>
        <w:spacing w:before="280" w:after="160"/>
        <w:jc w:val="right"/>
        <w:rPr>
          <w:rFonts w:cs="Times New Roman"/>
        </w:rPr>
      </w:pPr>
      <w:r>
        <w:rPr>
          <w:b/>
          <w:bCs/>
          <w:color w:val="11605C"/>
          <w:sz w:val="26"/>
          <w:szCs w:val="26"/>
        </w:rPr>
        <w:t>ثالثاً: مراجع في الفلسفة الاجتماعية والسياسية الغربية (إضافة جديدة)</w:t>
      </w:r>
    </w:p>
    <w:p w14:paraId="52F82FA9" w14:textId="77777777" w:rsidR="0016098E" w:rsidRDefault="00DD623A">
      <w:pPr>
        <w:spacing w:after="130" w:line="300" w:lineRule="auto"/>
        <w:ind w:right="300" w:hanging="300"/>
        <w:jc w:val="both"/>
        <w:rPr>
          <w:rFonts w:cs="Times New Roman"/>
        </w:rPr>
      </w:pPr>
      <w:r>
        <w:rPr>
          <w:color w:val="20242C"/>
          <w:sz w:val="22"/>
          <w:szCs w:val="22"/>
        </w:rPr>
        <w:t xml:space="preserve">1. </w:t>
      </w:r>
      <w:proofErr w:type="spellStart"/>
      <w:r>
        <w:rPr>
          <w:color w:val="20242C"/>
          <w:sz w:val="22"/>
          <w:szCs w:val="22"/>
        </w:rPr>
        <w:t>Foucault</w:t>
      </w:r>
      <w:proofErr w:type="spellEnd"/>
      <w:r>
        <w:rPr>
          <w:color w:val="20242C"/>
          <w:sz w:val="22"/>
          <w:szCs w:val="22"/>
        </w:rPr>
        <w:t xml:space="preserve">, M. (1975). </w:t>
      </w:r>
      <w:proofErr w:type="spellStart"/>
      <w:r>
        <w:rPr>
          <w:color w:val="20242C"/>
          <w:sz w:val="22"/>
          <w:szCs w:val="22"/>
        </w:rPr>
        <w:t>Discipline</w:t>
      </w:r>
      <w:proofErr w:type="spellEnd"/>
      <w:r>
        <w:rPr>
          <w:color w:val="20242C"/>
          <w:sz w:val="22"/>
          <w:szCs w:val="22"/>
        </w:rPr>
        <w:t xml:space="preserve"> </w:t>
      </w:r>
      <w:proofErr w:type="spellStart"/>
      <w:r>
        <w:rPr>
          <w:color w:val="20242C"/>
          <w:sz w:val="22"/>
          <w:szCs w:val="22"/>
        </w:rPr>
        <w:t>and</w:t>
      </w:r>
      <w:proofErr w:type="spellEnd"/>
      <w:r>
        <w:rPr>
          <w:color w:val="20242C"/>
          <w:sz w:val="22"/>
          <w:szCs w:val="22"/>
        </w:rPr>
        <w:t xml:space="preserve"> </w:t>
      </w:r>
      <w:proofErr w:type="spellStart"/>
      <w:r>
        <w:rPr>
          <w:color w:val="20242C"/>
          <w:sz w:val="22"/>
          <w:szCs w:val="22"/>
        </w:rPr>
        <w:t>Punish</w:t>
      </w:r>
      <w:proofErr w:type="spellEnd"/>
      <w:r>
        <w:rPr>
          <w:color w:val="20242C"/>
          <w:sz w:val="22"/>
          <w:szCs w:val="22"/>
        </w:rPr>
        <w:t xml:space="preserve">: </w:t>
      </w:r>
      <w:proofErr w:type="spellStart"/>
      <w:r>
        <w:rPr>
          <w:color w:val="20242C"/>
          <w:sz w:val="22"/>
          <w:szCs w:val="22"/>
        </w:rPr>
        <w:t>The</w:t>
      </w:r>
      <w:proofErr w:type="spellEnd"/>
      <w:r>
        <w:rPr>
          <w:color w:val="20242C"/>
          <w:sz w:val="22"/>
          <w:szCs w:val="22"/>
        </w:rPr>
        <w:t xml:space="preserve"> </w:t>
      </w:r>
      <w:proofErr w:type="spellStart"/>
      <w:r>
        <w:rPr>
          <w:color w:val="20242C"/>
          <w:sz w:val="22"/>
          <w:szCs w:val="22"/>
        </w:rPr>
        <w:t>Birth</w:t>
      </w:r>
      <w:proofErr w:type="spellEnd"/>
      <w:r>
        <w:rPr>
          <w:color w:val="20242C"/>
          <w:sz w:val="22"/>
          <w:szCs w:val="22"/>
        </w:rPr>
        <w:t xml:space="preserve"> </w:t>
      </w:r>
      <w:proofErr w:type="spellStart"/>
      <w:r>
        <w:rPr>
          <w:color w:val="20242C"/>
          <w:sz w:val="22"/>
          <w:szCs w:val="22"/>
        </w:rPr>
        <w:t>of</w:t>
      </w:r>
      <w:proofErr w:type="spellEnd"/>
      <w:r>
        <w:rPr>
          <w:color w:val="20242C"/>
          <w:sz w:val="22"/>
          <w:szCs w:val="22"/>
        </w:rPr>
        <w:t xml:space="preserve"> </w:t>
      </w:r>
      <w:proofErr w:type="spellStart"/>
      <w:r>
        <w:rPr>
          <w:color w:val="20242C"/>
          <w:sz w:val="22"/>
          <w:szCs w:val="22"/>
        </w:rPr>
        <w:t>the</w:t>
      </w:r>
      <w:proofErr w:type="spellEnd"/>
      <w:r>
        <w:rPr>
          <w:color w:val="20242C"/>
          <w:sz w:val="22"/>
          <w:szCs w:val="22"/>
        </w:rPr>
        <w:t xml:space="preserve"> </w:t>
      </w:r>
      <w:proofErr w:type="spellStart"/>
      <w:r>
        <w:rPr>
          <w:color w:val="20242C"/>
          <w:sz w:val="22"/>
          <w:szCs w:val="22"/>
        </w:rPr>
        <w:t>Prison</w:t>
      </w:r>
      <w:proofErr w:type="spellEnd"/>
      <w:r>
        <w:rPr>
          <w:color w:val="20242C"/>
          <w:sz w:val="22"/>
          <w:szCs w:val="22"/>
        </w:rPr>
        <w:t xml:space="preserve">. </w:t>
      </w:r>
      <w:proofErr w:type="spellStart"/>
      <w:r>
        <w:rPr>
          <w:color w:val="20242C"/>
          <w:sz w:val="22"/>
          <w:szCs w:val="22"/>
        </w:rPr>
        <w:t>Paris</w:t>
      </w:r>
      <w:proofErr w:type="spellEnd"/>
      <w:r>
        <w:rPr>
          <w:color w:val="20242C"/>
          <w:sz w:val="22"/>
          <w:szCs w:val="22"/>
        </w:rPr>
        <w:t xml:space="preserve">: </w:t>
      </w:r>
      <w:proofErr w:type="spellStart"/>
      <w:r>
        <w:rPr>
          <w:color w:val="20242C"/>
          <w:sz w:val="22"/>
          <w:szCs w:val="22"/>
        </w:rPr>
        <w:t>Gallimard</w:t>
      </w:r>
      <w:proofErr w:type="spellEnd"/>
      <w:r>
        <w:rPr>
          <w:color w:val="20242C"/>
          <w:sz w:val="22"/>
          <w:szCs w:val="22"/>
        </w:rPr>
        <w:t>.</w:t>
      </w:r>
    </w:p>
    <w:p w14:paraId="16494B53" w14:textId="77777777" w:rsidR="0016098E" w:rsidRDefault="00DD623A">
      <w:pPr>
        <w:spacing w:after="130" w:line="300" w:lineRule="auto"/>
        <w:ind w:right="300" w:hanging="300"/>
        <w:jc w:val="both"/>
        <w:rPr>
          <w:rFonts w:cs="Times New Roman"/>
        </w:rPr>
      </w:pPr>
      <w:r>
        <w:rPr>
          <w:color w:val="20242C"/>
          <w:sz w:val="22"/>
          <w:szCs w:val="22"/>
        </w:rPr>
        <w:t xml:space="preserve">2. </w:t>
      </w:r>
      <w:proofErr w:type="spellStart"/>
      <w:r>
        <w:rPr>
          <w:color w:val="20242C"/>
          <w:sz w:val="22"/>
          <w:szCs w:val="22"/>
        </w:rPr>
        <w:t>Habermas</w:t>
      </w:r>
      <w:proofErr w:type="spellEnd"/>
      <w:r>
        <w:rPr>
          <w:color w:val="20242C"/>
          <w:sz w:val="22"/>
          <w:szCs w:val="22"/>
        </w:rPr>
        <w:t xml:space="preserve">, J. (1981). </w:t>
      </w:r>
      <w:proofErr w:type="spellStart"/>
      <w:r>
        <w:rPr>
          <w:color w:val="20242C"/>
          <w:sz w:val="22"/>
          <w:szCs w:val="22"/>
        </w:rPr>
        <w:t>The</w:t>
      </w:r>
      <w:proofErr w:type="spellEnd"/>
      <w:r>
        <w:rPr>
          <w:color w:val="20242C"/>
          <w:sz w:val="22"/>
          <w:szCs w:val="22"/>
        </w:rPr>
        <w:t xml:space="preserve"> </w:t>
      </w:r>
      <w:proofErr w:type="spellStart"/>
      <w:r>
        <w:rPr>
          <w:color w:val="20242C"/>
          <w:sz w:val="22"/>
          <w:szCs w:val="22"/>
        </w:rPr>
        <w:t>Theory</w:t>
      </w:r>
      <w:proofErr w:type="spellEnd"/>
      <w:r>
        <w:rPr>
          <w:color w:val="20242C"/>
          <w:sz w:val="22"/>
          <w:szCs w:val="22"/>
        </w:rPr>
        <w:t xml:space="preserve"> </w:t>
      </w:r>
      <w:proofErr w:type="spellStart"/>
      <w:r>
        <w:rPr>
          <w:color w:val="20242C"/>
          <w:sz w:val="22"/>
          <w:szCs w:val="22"/>
        </w:rPr>
        <w:t>of</w:t>
      </w:r>
      <w:proofErr w:type="spellEnd"/>
      <w:r>
        <w:rPr>
          <w:color w:val="20242C"/>
          <w:sz w:val="22"/>
          <w:szCs w:val="22"/>
        </w:rPr>
        <w:t xml:space="preserve"> </w:t>
      </w:r>
      <w:proofErr w:type="spellStart"/>
      <w:r>
        <w:rPr>
          <w:color w:val="20242C"/>
          <w:sz w:val="22"/>
          <w:szCs w:val="22"/>
        </w:rPr>
        <w:t>Communicative</w:t>
      </w:r>
      <w:proofErr w:type="spellEnd"/>
      <w:r>
        <w:rPr>
          <w:color w:val="20242C"/>
          <w:sz w:val="22"/>
          <w:szCs w:val="22"/>
        </w:rPr>
        <w:t xml:space="preserve"> </w:t>
      </w:r>
      <w:proofErr w:type="spellStart"/>
      <w:r>
        <w:rPr>
          <w:color w:val="20242C"/>
          <w:sz w:val="22"/>
          <w:szCs w:val="22"/>
        </w:rPr>
        <w:t>Action</w:t>
      </w:r>
      <w:proofErr w:type="spellEnd"/>
      <w:r>
        <w:rPr>
          <w:color w:val="20242C"/>
          <w:sz w:val="22"/>
          <w:szCs w:val="22"/>
        </w:rPr>
        <w:t xml:space="preserve">. </w:t>
      </w:r>
      <w:proofErr w:type="spellStart"/>
      <w:r>
        <w:rPr>
          <w:color w:val="20242C"/>
          <w:sz w:val="22"/>
          <w:szCs w:val="22"/>
        </w:rPr>
        <w:t>Frankfurt</w:t>
      </w:r>
      <w:proofErr w:type="spellEnd"/>
      <w:r>
        <w:rPr>
          <w:color w:val="20242C"/>
          <w:sz w:val="22"/>
          <w:szCs w:val="22"/>
        </w:rPr>
        <w:t xml:space="preserve">: </w:t>
      </w:r>
      <w:proofErr w:type="spellStart"/>
      <w:r>
        <w:rPr>
          <w:color w:val="20242C"/>
          <w:sz w:val="22"/>
          <w:szCs w:val="22"/>
        </w:rPr>
        <w:t>Suhrkamp</w:t>
      </w:r>
      <w:proofErr w:type="spellEnd"/>
      <w:r>
        <w:rPr>
          <w:color w:val="20242C"/>
          <w:sz w:val="22"/>
          <w:szCs w:val="22"/>
        </w:rPr>
        <w:t>.</w:t>
      </w:r>
    </w:p>
    <w:p w14:paraId="14DB7C55" w14:textId="77777777" w:rsidR="0016098E" w:rsidRDefault="00DD623A">
      <w:pPr>
        <w:spacing w:after="130" w:line="300" w:lineRule="auto"/>
        <w:ind w:right="300" w:hanging="300"/>
        <w:jc w:val="both"/>
        <w:rPr>
          <w:rFonts w:cs="Times New Roman"/>
        </w:rPr>
      </w:pPr>
      <w:r>
        <w:rPr>
          <w:color w:val="20242C"/>
          <w:sz w:val="22"/>
          <w:szCs w:val="22"/>
        </w:rPr>
        <w:t xml:space="preserve">3. </w:t>
      </w:r>
      <w:proofErr w:type="spellStart"/>
      <w:r>
        <w:rPr>
          <w:color w:val="20242C"/>
          <w:sz w:val="22"/>
          <w:szCs w:val="22"/>
        </w:rPr>
        <w:t>MacIntyre</w:t>
      </w:r>
      <w:proofErr w:type="spellEnd"/>
      <w:r>
        <w:rPr>
          <w:color w:val="20242C"/>
          <w:sz w:val="22"/>
          <w:szCs w:val="22"/>
        </w:rPr>
        <w:t xml:space="preserve">, A. (1981). </w:t>
      </w:r>
      <w:proofErr w:type="spellStart"/>
      <w:r>
        <w:rPr>
          <w:color w:val="20242C"/>
          <w:sz w:val="22"/>
          <w:szCs w:val="22"/>
        </w:rPr>
        <w:t>After</w:t>
      </w:r>
      <w:proofErr w:type="spellEnd"/>
      <w:r>
        <w:rPr>
          <w:color w:val="20242C"/>
          <w:sz w:val="22"/>
          <w:szCs w:val="22"/>
        </w:rPr>
        <w:t xml:space="preserve"> </w:t>
      </w:r>
      <w:proofErr w:type="spellStart"/>
      <w:r>
        <w:rPr>
          <w:color w:val="20242C"/>
          <w:sz w:val="22"/>
          <w:szCs w:val="22"/>
        </w:rPr>
        <w:t>Virtue</w:t>
      </w:r>
      <w:proofErr w:type="spellEnd"/>
      <w:r>
        <w:rPr>
          <w:color w:val="20242C"/>
          <w:sz w:val="22"/>
          <w:szCs w:val="22"/>
        </w:rPr>
        <w:t xml:space="preserve">: A </w:t>
      </w:r>
      <w:proofErr w:type="spellStart"/>
      <w:r>
        <w:rPr>
          <w:color w:val="20242C"/>
          <w:sz w:val="22"/>
          <w:szCs w:val="22"/>
        </w:rPr>
        <w:t>Study</w:t>
      </w:r>
      <w:proofErr w:type="spellEnd"/>
      <w:r>
        <w:rPr>
          <w:color w:val="20242C"/>
          <w:sz w:val="22"/>
          <w:szCs w:val="22"/>
        </w:rPr>
        <w:t xml:space="preserve"> </w:t>
      </w:r>
      <w:proofErr w:type="spellStart"/>
      <w:r>
        <w:rPr>
          <w:color w:val="20242C"/>
          <w:sz w:val="22"/>
          <w:szCs w:val="22"/>
        </w:rPr>
        <w:t>in</w:t>
      </w:r>
      <w:proofErr w:type="spellEnd"/>
      <w:r>
        <w:rPr>
          <w:color w:val="20242C"/>
          <w:sz w:val="22"/>
          <w:szCs w:val="22"/>
        </w:rPr>
        <w:t xml:space="preserve"> </w:t>
      </w:r>
      <w:proofErr w:type="spellStart"/>
      <w:r>
        <w:rPr>
          <w:color w:val="20242C"/>
          <w:sz w:val="22"/>
          <w:szCs w:val="22"/>
        </w:rPr>
        <w:t>Moral</w:t>
      </w:r>
      <w:proofErr w:type="spellEnd"/>
      <w:r>
        <w:rPr>
          <w:color w:val="20242C"/>
          <w:sz w:val="22"/>
          <w:szCs w:val="22"/>
        </w:rPr>
        <w:t xml:space="preserve"> </w:t>
      </w:r>
      <w:proofErr w:type="spellStart"/>
      <w:r>
        <w:rPr>
          <w:color w:val="20242C"/>
          <w:sz w:val="22"/>
          <w:szCs w:val="22"/>
        </w:rPr>
        <w:t>Theory</w:t>
      </w:r>
      <w:proofErr w:type="spellEnd"/>
      <w:r>
        <w:rPr>
          <w:color w:val="20242C"/>
          <w:sz w:val="22"/>
          <w:szCs w:val="22"/>
        </w:rPr>
        <w:t xml:space="preserve">. </w:t>
      </w:r>
      <w:proofErr w:type="spellStart"/>
      <w:r>
        <w:rPr>
          <w:color w:val="20242C"/>
          <w:sz w:val="22"/>
          <w:szCs w:val="22"/>
        </w:rPr>
        <w:t>Notre</w:t>
      </w:r>
      <w:proofErr w:type="spellEnd"/>
      <w:r>
        <w:rPr>
          <w:color w:val="20242C"/>
          <w:sz w:val="22"/>
          <w:szCs w:val="22"/>
        </w:rPr>
        <w:t xml:space="preserve"> </w:t>
      </w:r>
      <w:proofErr w:type="spellStart"/>
      <w:r>
        <w:rPr>
          <w:color w:val="20242C"/>
          <w:sz w:val="22"/>
          <w:szCs w:val="22"/>
        </w:rPr>
        <w:t>Dame</w:t>
      </w:r>
      <w:proofErr w:type="spellEnd"/>
      <w:r>
        <w:rPr>
          <w:color w:val="20242C"/>
          <w:sz w:val="22"/>
          <w:szCs w:val="22"/>
        </w:rPr>
        <w:t xml:space="preserve">: </w:t>
      </w:r>
      <w:proofErr w:type="spellStart"/>
      <w:r>
        <w:rPr>
          <w:color w:val="20242C"/>
          <w:sz w:val="22"/>
          <w:szCs w:val="22"/>
        </w:rPr>
        <w:t>University</w:t>
      </w:r>
      <w:proofErr w:type="spellEnd"/>
      <w:r>
        <w:rPr>
          <w:color w:val="20242C"/>
          <w:sz w:val="22"/>
          <w:szCs w:val="22"/>
        </w:rPr>
        <w:t xml:space="preserve"> </w:t>
      </w:r>
      <w:proofErr w:type="spellStart"/>
      <w:r>
        <w:rPr>
          <w:color w:val="20242C"/>
          <w:sz w:val="22"/>
          <w:szCs w:val="22"/>
        </w:rPr>
        <w:t>of</w:t>
      </w:r>
      <w:proofErr w:type="spellEnd"/>
      <w:r>
        <w:rPr>
          <w:color w:val="20242C"/>
          <w:sz w:val="22"/>
          <w:szCs w:val="22"/>
        </w:rPr>
        <w:t xml:space="preserve"> </w:t>
      </w:r>
      <w:proofErr w:type="spellStart"/>
      <w:r>
        <w:rPr>
          <w:color w:val="20242C"/>
          <w:sz w:val="22"/>
          <w:szCs w:val="22"/>
        </w:rPr>
        <w:t>Notre</w:t>
      </w:r>
      <w:proofErr w:type="spellEnd"/>
      <w:r>
        <w:rPr>
          <w:color w:val="20242C"/>
          <w:sz w:val="22"/>
          <w:szCs w:val="22"/>
        </w:rPr>
        <w:t xml:space="preserve"> </w:t>
      </w:r>
      <w:proofErr w:type="spellStart"/>
      <w:r>
        <w:rPr>
          <w:color w:val="20242C"/>
          <w:sz w:val="22"/>
          <w:szCs w:val="22"/>
        </w:rPr>
        <w:t>Dame</w:t>
      </w:r>
      <w:proofErr w:type="spellEnd"/>
      <w:r>
        <w:rPr>
          <w:color w:val="20242C"/>
          <w:sz w:val="22"/>
          <w:szCs w:val="22"/>
        </w:rPr>
        <w:t xml:space="preserve"> </w:t>
      </w:r>
      <w:proofErr w:type="spellStart"/>
      <w:r>
        <w:rPr>
          <w:color w:val="20242C"/>
          <w:sz w:val="22"/>
          <w:szCs w:val="22"/>
        </w:rPr>
        <w:t>Press</w:t>
      </w:r>
      <w:proofErr w:type="spellEnd"/>
      <w:r>
        <w:rPr>
          <w:color w:val="20242C"/>
          <w:sz w:val="22"/>
          <w:szCs w:val="22"/>
        </w:rPr>
        <w:t>.</w:t>
      </w:r>
    </w:p>
    <w:p w14:paraId="433D7FCD" w14:textId="77777777" w:rsidR="0016098E" w:rsidRDefault="00DD623A">
      <w:pPr>
        <w:spacing w:after="130" w:line="300" w:lineRule="auto"/>
        <w:ind w:right="300" w:hanging="300"/>
        <w:jc w:val="both"/>
        <w:rPr>
          <w:rFonts w:cs="Times New Roman"/>
        </w:rPr>
      </w:pPr>
      <w:r>
        <w:rPr>
          <w:color w:val="20242C"/>
          <w:sz w:val="22"/>
          <w:szCs w:val="22"/>
        </w:rPr>
        <w:t xml:space="preserve">4. </w:t>
      </w:r>
      <w:proofErr w:type="spellStart"/>
      <w:r>
        <w:rPr>
          <w:color w:val="20242C"/>
          <w:sz w:val="22"/>
          <w:szCs w:val="22"/>
        </w:rPr>
        <w:t>Zuboff</w:t>
      </w:r>
      <w:proofErr w:type="spellEnd"/>
      <w:r>
        <w:rPr>
          <w:color w:val="20242C"/>
          <w:sz w:val="22"/>
          <w:szCs w:val="22"/>
        </w:rPr>
        <w:t xml:space="preserve">, S. (2019). </w:t>
      </w:r>
      <w:proofErr w:type="spellStart"/>
      <w:r>
        <w:rPr>
          <w:color w:val="20242C"/>
          <w:sz w:val="22"/>
          <w:szCs w:val="22"/>
        </w:rPr>
        <w:t>The</w:t>
      </w:r>
      <w:proofErr w:type="spellEnd"/>
      <w:r>
        <w:rPr>
          <w:color w:val="20242C"/>
          <w:sz w:val="22"/>
          <w:szCs w:val="22"/>
        </w:rPr>
        <w:t xml:space="preserve"> </w:t>
      </w:r>
      <w:proofErr w:type="spellStart"/>
      <w:r>
        <w:rPr>
          <w:color w:val="20242C"/>
          <w:sz w:val="22"/>
          <w:szCs w:val="22"/>
        </w:rPr>
        <w:t>Age</w:t>
      </w:r>
      <w:proofErr w:type="spellEnd"/>
      <w:r>
        <w:rPr>
          <w:color w:val="20242C"/>
          <w:sz w:val="22"/>
          <w:szCs w:val="22"/>
        </w:rPr>
        <w:t xml:space="preserve"> </w:t>
      </w:r>
      <w:proofErr w:type="spellStart"/>
      <w:r>
        <w:rPr>
          <w:color w:val="20242C"/>
          <w:sz w:val="22"/>
          <w:szCs w:val="22"/>
        </w:rPr>
        <w:t>of</w:t>
      </w:r>
      <w:proofErr w:type="spellEnd"/>
      <w:r>
        <w:rPr>
          <w:color w:val="20242C"/>
          <w:sz w:val="22"/>
          <w:szCs w:val="22"/>
        </w:rPr>
        <w:t xml:space="preserve"> </w:t>
      </w:r>
      <w:proofErr w:type="spellStart"/>
      <w:r>
        <w:rPr>
          <w:color w:val="20242C"/>
          <w:sz w:val="22"/>
          <w:szCs w:val="22"/>
        </w:rPr>
        <w:t>Surveillance</w:t>
      </w:r>
      <w:proofErr w:type="spellEnd"/>
      <w:r>
        <w:rPr>
          <w:color w:val="20242C"/>
          <w:sz w:val="22"/>
          <w:szCs w:val="22"/>
        </w:rPr>
        <w:t xml:space="preserve"> </w:t>
      </w:r>
      <w:proofErr w:type="spellStart"/>
      <w:r>
        <w:rPr>
          <w:color w:val="20242C"/>
          <w:sz w:val="22"/>
          <w:szCs w:val="22"/>
        </w:rPr>
        <w:t>Capitalism</w:t>
      </w:r>
      <w:proofErr w:type="spellEnd"/>
      <w:r>
        <w:rPr>
          <w:color w:val="20242C"/>
          <w:sz w:val="22"/>
          <w:szCs w:val="22"/>
        </w:rPr>
        <w:t xml:space="preserve">. </w:t>
      </w:r>
      <w:proofErr w:type="spellStart"/>
      <w:r>
        <w:rPr>
          <w:color w:val="20242C"/>
          <w:sz w:val="22"/>
          <w:szCs w:val="22"/>
        </w:rPr>
        <w:t>New</w:t>
      </w:r>
      <w:proofErr w:type="spellEnd"/>
      <w:r>
        <w:rPr>
          <w:color w:val="20242C"/>
          <w:sz w:val="22"/>
          <w:szCs w:val="22"/>
        </w:rPr>
        <w:t xml:space="preserve"> </w:t>
      </w:r>
      <w:proofErr w:type="spellStart"/>
      <w:r>
        <w:rPr>
          <w:color w:val="20242C"/>
          <w:sz w:val="22"/>
          <w:szCs w:val="22"/>
        </w:rPr>
        <w:t>York</w:t>
      </w:r>
      <w:proofErr w:type="spellEnd"/>
      <w:r>
        <w:rPr>
          <w:color w:val="20242C"/>
          <w:sz w:val="22"/>
          <w:szCs w:val="22"/>
        </w:rPr>
        <w:t xml:space="preserve">: </w:t>
      </w:r>
      <w:proofErr w:type="spellStart"/>
      <w:r>
        <w:rPr>
          <w:color w:val="20242C"/>
          <w:sz w:val="22"/>
          <w:szCs w:val="22"/>
        </w:rPr>
        <w:t>PublicAffairs</w:t>
      </w:r>
      <w:proofErr w:type="spellEnd"/>
      <w:r>
        <w:rPr>
          <w:color w:val="20242C"/>
          <w:sz w:val="22"/>
          <w:szCs w:val="22"/>
        </w:rPr>
        <w:t>.</w:t>
      </w:r>
    </w:p>
    <w:p w14:paraId="295CBAC8" w14:textId="77777777" w:rsidR="0016098E" w:rsidRDefault="00DD623A">
      <w:pPr>
        <w:spacing w:after="130" w:line="300" w:lineRule="auto"/>
        <w:ind w:right="300" w:hanging="300"/>
        <w:jc w:val="both"/>
        <w:rPr>
          <w:rFonts w:cs="Times New Roman"/>
        </w:rPr>
      </w:pPr>
      <w:r>
        <w:rPr>
          <w:color w:val="20242C"/>
          <w:sz w:val="22"/>
          <w:szCs w:val="22"/>
        </w:rPr>
        <w:t xml:space="preserve">5. </w:t>
      </w:r>
      <w:proofErr w:type="spellStart"/>
      <w:r>
        <w:rPr>
          <w:color w:val="20242C"/>
          <w:sz w:val="22"/>
          <w:szCs w:val="22"/>
        </w:rPr>
        <w:t>Bourdieu</w:t>
      </w:r>
      <w:proofErr w:type="spellEnd"/>
      <w:r>
        <w:rPr>
          <w:color w:val="20242C"/>
          <w:sz w:val="22"/>
          <w:szCs w:val="22"/>
        </w:rPr>
        <w:t xml:space="preserve">, P. (1980). </w:t>
      </w:r>
      <w:proofErr w:type="spellStart"/>
      <w:r>
        <w:rPr>
          <w:color w:val="20242C"/>
          <w:sz w:val="22"/>
          <w:szCs w:val="22"/>
        </w:rPr>
        <w:t>Le</w:t>
      </w:r>
      <w:proofErr w:type="spellEnd"/>
      <w:r>
        <w:rPr>
          <w:color w:val="20242C"/>
          <w:sz w:val="22"/>
          <w:szCs w:val="22"/>
        </w:rPr>
        <w:t xml:space="preserve"> </w:t>
      </w:r>
      <w:proofErr w:type="spellStart"/>
      <w:r>
        <w:rPr>
          <w:color w:val="20242C"/>
          <w:sz w:val="22"/>
          <w:szCs w:val="22"/>
        </w:rPr>
        <w:t>sens</w:t>
      </w:r>
      <w:proofErr w:type="spellEnd"/>
      <w:r>
        <w:rPr>
          <w:color w:val="20242C"/>
          <w:sz w:val="22"/>
          <w:szCs w:val="22"/>
        </w:rPr>
        <w:t xml:space="preserve"> </w:t>
      </w:r>
      <w:proofErr w:type="spellStart"/>
      <w:r>
        <w:rPr>
          <w:color w:val="20242C"/>
          <w:sz w:val="22"/>
          <w:szCs w:val="22"/>
        </w:rPr>
        <w:t>pratique</w:t>
      </w:r>
      <w:proofErr w:type="spellEnd"/>
      <w:r>
        <w:rPr>
          <w:color w:val="20242C"/>
          <w:sz w:val="22"/>
          <w:szCs w:val="22"/>
        </w:rPr>
        <w:t xml:space="preserve">. </w:t>
      </w:r>
      <w:proofErr w:type="spellStart"/>
      <w:r>
        <w:rPr>
          <w:color w:val="20242C"/>
          <w:sz w:val="22"/>
          <w:szCs w:val="22"/>
        </w:rPr>
        <w:t>Paris</w:t>
      </w:r>
      <w:proofErr w:type="spellEnd"/>
      <w:r>
        <w:rPr>
          <w:color w:val="20242C"/>
          <w:sz w:val="22"/>
          <w:szCs w:val="22"/>
        </w:rPr>
        <w:t xml:space="preserve">: </w:t>
      </w:r>
      <w:proofErr w:type="spellStart"/>
      <w:r>
        <w:rPr>
          <w:color w:val="20242C"/>
          <w:sz w:val="22"/>
          <w:szCs w:val="22"/>
        </w:rPr>
        <w:t>Les</w:t>
      </w:r>
      <w:proofErr w:type="spellEnd"/>
      <w:r>
        <w:rPr>
          <w:color w:val="20242C"/>
          <w:sz w:val="22"/>
          <w:szCs w:val="22"/>
        </w:rPr>
        <w:t xml:space="preserve"> </w:t>
      </w:r>
      <w:proofErr w:type="spellStart"/>
      <w:r>
        <w:rPr>
          <w:color w:val="20242C"/>
          <w:sz w:val="22"/>
          <w:szCs w:val="22"/>
        </w:rPr>
        <w:t>Éditions</w:t>
      </w:r>
      <w:proofErr w:type="spellEnd"/>
      <w:r>
        <w:rPr>
          <w:color w:val="20242C"/>
          <w:sz w:val="22"/>
          <w:szCs w:val="22"/>
        </w:rPr>
        <w:t xml:space="preserve"> </w:t>
      </w:r>
      <w:proofErr w:type="spellStart"/>
      <w:r>
        <w:rPr>
          <w:color w:val="20242C"/>
          <w:sz w:val="22"/>
          <w:szCs w:val="22"/>
        </w:rPr>
        <w:t>de</w:t>
      </w:r>
      <w:proofErr w:type="spellEnd"/>
      <w:r>
        <w:rPr>
          <w:color w:val="20242C"/>
          <w:sz w:val="22"/>
          <w:szCs w:val="22"/>
        </w:rPr>
        <w:t xml:space="preserve"> </w:t>
      </w:r>
      <w:proofErr w:type="spellStart"/>
      <w:r>
        <w:rPr>
          <w:color w:val="20242C"/>
          <w:sz w:val="22"/>
          <w:szCs w:val="22"/>
        </w:rPr>
        <w:t>Minuit</w:t>
      </w:r>
      <w:proofErr w:type="spellEnd"/>
      <w:r>
        <w:rPr>
          <w:color w:val="20242C"/>
          <w:sz w:val="22"/>
          <w:szCs w:val="22"/>
        </w:rPr>
        <w:t>.</w:t>
      </w:r>
    </w:p>
    <w:p w14:paraId="6576664B" w14:textId="77777777" w:rsidR="0016098E" w:rsidRDefault="00DD623A">
      <w:pPr>
        <w:spacing w:after="130" w:line="300" w:lineRule="auto"/>
        <w:ind w:right="300" w:hanging="300"/>
        <w:jc w:val="both"/>
        <w:rPr>
          <w:rFonts w:cs="Times New Roman"/>
        </w:rPr>
      </w:pPr>
      <w:r>
        <w:rPr>
          <w:color w:val="20242C"/>
          <w:sz w:val="22"/>
          <w:szCs w:val="22"/>
        </w:rPr>
        <w:t xml:space="preserve">6. </w:t>
      </w:r>
      <w:proofErr w:type="spellStart"/>
      <w:r>
        <w:rPr>
          <w:color w:val="20242C"/>
          <w:sz w:val="22"/>
          <w:szCs w:val="22"/>
        </w:rPr>
        <w:t>Hallaq</w:t>
      </w:r>
      <w:proofErr w:type="spellEnd"/>
      <w:r>
        <w:rPr>
          <w:color w:val="20242C"/>
          <w:sz w:val="22"/>
          <w:szCs w:val="22"/>
        </w:rPr>
        <w:t xml:space="preserve">, W. (2013). </w:t>
      </w:r>
      <w:proofErr w:type="spellStart"/>
      <w:r>
        <w:rPr>
          <w:color w:val="20242C"/>
          <w:sz w:val="22"/>
          <w:szCs w:val="22"/>
        </w:rPr>
        <w:t>The</w:t>
      </w:r>
      <w:proofErr w:type="spellEnd"/>
      <w:r>
        <w:rPr>
          <w:color w:val="20242C"/>
          <w:sz w:val="22"/>
          <w:szCs w:val="22"/>
        </w:rPr>
        <w:t xml:space="preserve"> </w:t>
      </w:r>
      <w:proofErr w:type="spellStart"/>
      <w:r>
        <w:rPr>
          <w:color w:val="20242C"/>
          <w:sz w:val="22"/>
          <w:szCs w:val="22"/>
        </w:rPr>
        <w:t>Impossible</w:t>
      </w:r>
      <w:proofErr w:type="spellEnd"/>
      <w:r>
        <w:rPr>
          <w:color w:val="20242C"/>
          <w:sz w:val="22"/>
          <w:szCs w:val="22"/>
        </w:rPr>
        <w:t xml:space="preserve"> </w:t>
      </w:r>
      <w:proofErr w:type="spellStart"/>
      <w:r>
        <w:rPr>
          <w:color w:val="20242C"/>
          <w:sz w:val="22"/>
          <w:szCs w:val="22"/>
        </w:rPr>
        <w:t>State</w:t>
      </w:r>
      <w:proofErr w:type="spellEnd"/>
      <w:r>
        <w:rPr>
          <w:color w:val="20242C"/>
          <w:sz w:val="22"/>
          <w:szCs w:val="22"/>
        </w:rPr>
        <w:t xml:space="preserve">: </w:t>
      </w:r>
      <w:proofErr w:type="spellStart"/>
      <w:r>
        <w:rPr>
          <w:color w:val="20242C"/>
          <w:sz w:val="22"/>
          <w:szCs w:val="22"/>
        </w:rPr>
        <w:t>Islam</w:t>
      </w:r>
      <w:proofErr w:type="spellEnd"/>
      <w:r>
        <w:rPr>
          <w:color w:val="20242C"/>
          <w:sz w:val="22"/>
          <w:szCs w:val="22"/>
        </w:rPr>
        <w:t xml:space="preserve">, </w:t>
      </w:r>
      <w:proofErr w:type="spellStart"/>
      <w:r>
        <w:rPr>
          <w:color w:val="20242C"/>
          <w:sz w:val="22"/>
          <w:szCs w:val="22"/>
        </w:rPr>
        <w:t>Politics</w:t>
      </w:r>
      <w:proofErr w:type="spellEnd"/>
      <w:r>
        <w:rPr>
          <w:color w:val="20242C"/>
          <w:sz w:val="22"/>
          <w:szCs w:val="22"/>
        </w:rPr>
        <w:t xml:space="preserve">, </w:t>
      </w:r>
      <w:proofErr w:type="spellStart"/>
      <w:r>
        <w:rPr>
          <w:color w:val="20242C"/>
          <w:sz w:val="22"/>
          <w:szCs w:val="22"/>
        </w:rPr>
        <w:t>and</w:t>
      </w:r>
      <w:proofErr w:type="spellEnd"/>
      <w:r>
        <w:rPr>
          <w:color w:val="20242C"/>
          <w:sz w:val="22"/>
          <w:szCs w:val="22"/>
        </w:rPr>
        <w:t xml:space="preserve"> </w:t>
      </w:r>
      <w:proofErr w:type="spellStart"/>
      <w:r>
        <w:rPr>
          <w:color w:val="20242C"/>
          <w:sz w:val="22"/>
          <w:szCs w:val="22"/>
        </w:rPr>
        <w:t>Modernity's</w:t>
      </w:r>
      <w:proofErr w:type="spellEnd"/>
      <w:r>
        <w:rPr>
          <w:color w:val="20242C"/>
          <w:sz w:val="22"/>
          <w:szCs w:val="22"/>
        </w:rPr>
        <w:t xml:space="preserve"> </w:t>
      </w:r>
      <w:proofErr w:type="spellStart"/>
      <w:r>
        <w:rPr>
          <w:color w:val="20242C"/>
          <w:sz w:val="22"/>
          <w:szCs w:val="22"/>
        </w:rPr>
        <w:t>Moral</w:t>
      </w:r>
      <w:proofErr w:type="spellEnd"/>
      <w:r>
        <w:rPr>
          <w:color w:val="20242C"/>
          <w:sz w:val="22"/>
          <w:szCs w:val="22"/>
        </w:rPr>
        <w:t xml:space="preserve"> </w:t>
      </w:r>
      <w:proofErr w:type="spellStart"/>
      <w:r>
        <w:rPr>
          <w:color w:val="20242C"/>
          <w:sz w:val="22"/>
          <w:szCs w:val="22"/>
        </w:rPr>
        <w:t>Predicament</w:t>
      </w:r>
      <w:proofErr w:type="spellEnd"/>
      <w:r>
        <w:rPr>
          <w:color w:val="20242C"/>
          <w:sz w:val="22"/>
          <w:szCs w:val="22"/>
        </w:rPr>
        <w:t xml:space="preserve">. </w:t>
      </w:r>
      <w:proofErr w:type="spellStart"/>
      <w:r>
        <w:rPr>
          <w:color w:val="20242C"/>
          <w:sz w:val="22"/>
          <w:szCs w:val="22"/>
        </w:rPr>
        <w:t>New</w:t>
      </w:r>
      <w:proofErr w:type="spellEnd"/>
      <w:r>
        <w:rPr>
          <w:color w:val="20242C"/>
          <w:sz w:val="22"/>
          <w:szCs w:val="22"/>
        </w:rPr>
        <w:t xml:space="preserve"> </w:t>
      </w:r>
      <w:proofErr w:type="spellStart"/>
      <w:r>
        <w:rPr>
          <w:color w:val="20242C"/>
          <w:sz w:val="22"/>
          <w:szCs w:val="22"/>
        </w:rPr>
        <w:t>York</w:t>
      </w:r>
      <w:proofErr w:type="spellEnd"/>
      <w:r>
        <w:rPr>
          <w:color w:val="20242C"/>
          <w:sz w:val="22"/>
          <w:szCs w:val="22"/>
        </w:rPr>
        <w:t xml:space="preserve">: </w:t>
      </w:r>
      <w:proofErr w:type="spellStart"/>
      <w:r>
        <w:rPr>
          <w:color w:val="20242C"/>
          <w:sz w:val="22"/>
          <w:szCs w:val="22"/>
        </w:rPr>
        <w:t>Columbia</w:t>
      </w:r>
      <w:proofErr w:type="spellEnd"/>
      <w:r>
        <w:rPr>
          <w:color w:val="20242C"/>
          <w:sz w:val="22"/>
          <w:szCs w:val="22"/>
        </w:rPr>
        <w:t xml:space="preserve"> </w:t>
      </w:r>
      <w:proofErr w:type="spellStart"/>
      <w:r>
        <w:rPr>
          <w:color w:val="20242C"/>
          <w:sz w:val="22"/>
          <w:szCs w:val="22"/>
        </w:rPr>
        <w:t>University</w:t>
      </w:r>
      <w:proofErr w:type="spellEnd"/>
      <w:r>
        <w:rPr>
          <w:color w:val="20242C"/>
          <w:sz w:val="22"/>
          <w:szCs w:val="22"/>
        </w:rPr>
        <w:t xml:space="preserve"> </w:t>
      </w:r>
      <w:proofErr w:type="spellStart"/>
      <w:r>
        <w:rPr>
          <w:color w:val="20242C"/>
          <w:sz w:val="22"/>
          <w:szCs w:val="22"/>
        </w:rPr>
        <w:t>Press</w:t>
      </w:r>
      <w:proofErr w:type="spellEnd"/>
      <w:r>
        <w:rPr>
          <w:color w:val="20242C"/>
          <w:sz w:val="22"/>
          <w:szCs w:val="22"/>
        </w:rPr>
        <w:t>.</w:t>
      </w:r>
    </w:p>
    <w:p w14:paraId="0A3F2AB5" w14:textId="77777777" w:rsidR="0016098E" w:rsidRDefault="00DD623A">
      <w:pPr>
        <w:spacing w:before="280" w:after="160"/>
        <w:jc w:val="right"/>
        <w:rPr>
          <w:rFonts w:cs="Times New Roman"/>
        </w:rPr>
      </w:pPr>
      <w:r>
        <w:rPr>
          <w:b/>
          <w:bCs/>
          <w:color w:val="11605C"/>
          <w:sz w:val="26"/>
          <w:szCs w:val="26"/>
        </w:rPr>
        <w:t>رابعاً: مراجع في التراث الإسلامي</w:t>
      </w:r>
    </w:p>
    <w:p w14:paraId="345624F7" w14:textId="77777777" w:rsidR="0016098E" w:rsidRDefault="00DD623A">
      <w:pPr>
        <w:spacing w:after="130" w:line="300" w:lineRule="auto"/>
        <w:ind w:right="300" w:hanging="300"/>
        <w:jc w:val="both"/>
        <w:rPr>
          <w:rFonts w:cs="Times New Roman"/>
        </w:rPr>
      </w:pPr>
      <w:r>
        <w:rPr>
          <w:color w:val="20242C"/>
          <w:sz w:val="22"/>
          <w:szCs w:val="22"/>
        </w:rPr>
        <w:t>1. القرآن الكريم.</w:t>
      </w:r>
    </w:p>
    <w:p w14:paraId="67D4EEF2" w14:textId="77777777" w:rsidR="0016098E" w:rsidRDefault="00DD623A">
      <w:pPr>
        <w:spacing w:after="130" w:line="300" w:lineRule="auto"/>
        <w:ind w:right="300" w:hanging="300"/>
        <w:jc w:val="both"/>
        <w:rPr>
          <w:rFonts w:cs="Times New Roman"/>
        </w:rPr>
      </w:pPr>
      <w:r>
        <w:rPr>
          <w:color w:val="20242C"/>
          <w:sz w:val="22"/>
          <w:szCs w:val="22"/>
        </w:rPr>
        <w:t>2. البخاري، محمد بن إسماعيل. (د.ت.). الجامع الصحيح (صحيح البخاري). بيروت: دار طوق النجاة.</w:t>
      </w:r>
    </w:p>
    <w:p w14:paraId="6EDFA43C" w14:textId="77777777" w:rsidR="0016098E" w:rsidRDefault="00DD623A">
      <w:pPr>
        <w:spacing w:after="130" w:line="300" w:lineRule="auto"/>
        <w:ind w:right="300" w:hanging="300"/>
        <w:jc w:val="both"/>
        <w:rPr>
          <w:rFonts w:cs="Times New Roman"/>
        </w:rPr>
      </w:pPr>
      <w:r>
        <w:rPr>
          <w:color w:val="20242C"/>
          <w:sz w:val="22"/>
          <w:szCs w:val="22"/>
        </w:rPr>
        <w:t>3. الغزالي، أبو حامد. (د.ت.). إحياء علوم الدين. بيروت: دار المعرفة.</w:t>
      </w:r>
    </w:p>
    <w:p w14:paraId="14AC8856" w14:textId="77777777" w:rsidR="0016098E" w:rsidRDefault="00DD623A">
      <w:pPr>
        <w:spacing w:after="130" w:line="300" w:lineRule="auto"/>
        <w:ind w:right="300" w:hanging="300"/>
        <w:jc w:val="both"/>
        <w:rPr>
          <w:rFonts w:cs="Times New Roman"/>
        </w:rPr>
      </w:pPr>
      <w:r>
        <w:rPr>
          <w:color w:val="20242C"/>
          <w:sz w:val="22"/>
          <w:szCs w:val="22"/>
        </w:rPr>
        <w:t>4. ابن القيم الجوزية. (د.ت.). مدارج السالكين بين منازل إياك نعبد وإياك نستعين. تحقيق: محمد حامد الفقي. بيروت: دار الكتاب العربي.</w:t>
      </w:r>
    </w:p>
    <w:p w14:paraId="39F70C5B" w14:textId="77777777" w:rsidR="0016098E" w:rsidRDefault="00DD623A">
      <w:pPr>
        <w:spacing w:after="130" w:line="300" w:lineRule="auto"/>
        <w:ind w:right="300" w:hanging="300"/>
        <w:jc w:val="both"/>
        <w:rPr>
          <w:rFonts w:cs="Times New Roman"/>
        </w:rPr>
      </w:pPr>
      <w:r>
        <w:rPr>
          <w:color w:val="20242C"/>
          <w:sz w:val="22"/>
          <w:szCs w:val="22"/>
        </w:rPr>
        <w:t>5. المحاسبي، الحارث بن أسد. (د.ت.). الرعاية لحقوق الله. تحقيق: عبد القادر أحمد عطا. بيروت: دار الكتب العلمية.</w:t>
      </w:r>
    </w:p>
    <w:p w14:paraId="55A1D2FA" w14:textId="77777777" w:rsidR="0016098E" w:rsidRDefault="00DD623A">
      <w:pPr>
        <w:spacing w:after="130" w:line="300" w:lineRule="auto"/>
        <w:ind w:right="300" w:hanging="300"/>
        <w:jc w:val="both"/>
        <w:rPr>
          <w:rFonts w:cs="Times New Roman"/>
        </w:rPr>
      </w:pPr>
      <w:r>
        <w:rPr>
          <w:color w:val="20242C"/>
          <w:sz w:val="22"/>
          <w:szCs w:val="22"/>
        </w:rPr>
        <w:t>6. ابن خلدون، عبد الرحمن. (د.ت.). المقدمة. بيروت: دار الفكر.</w:t>
      </w:r>
    </w:p>
    <w:sectPr w:rsidR="0016098E">
      <w:headerReference w:type="default" r:id="rId7"/>
      <w:footerReference w:type="default" r:id="rId8"/>
      <w:pgSz w:w="11906" w:h="16838"/>
      <w:pgMar w:top="1440" w:right="1350" w:bottom="1440" w:left="13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D0ECD" w14:textId="77777777" w:rsidR="00DE3B40" w:rsidRDefault="00DE3B40">
      <w:pPr>
        <w:rPr>
          <w:rFonts w:cs="Times New Roman"/>
        </w:rPr>
      </w:pPr>
      <w:r>
        <w:separator/>
      </w:r>
    </w:p>
  </w:endnote>
  <w:endnote w:type="continuationSeparator" w:id="0">
    <w:p w14:paraId="2B1D407E" w14:textId="77777777" w:rsidR="00DE3B40" w:rsidRDefault="00DE3B40">
      <w:pPr>
        <w:rPr>
          <w:rFonts w:cs="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4FD8" w14:textId="77777777" w:rsidR="0016098E" w:rsidRDefault="00DD623A">
    <w:pPr>
      <w:jc w:val="center"/>
      <w:rPr>
        <w:rFonts w:cs="Times New Roman"/>
      </w:rPr>
    </w:pPr>
    <w:r>
      <w:rPr>
        <w:b/>
        <w:bCs/>
        <w:color w:val="B8860B"/>
        <w:sz w:val="18"/>
        <w:szCs w:val="18"/>
      </w:rPr>
      <w:fldChar w:fldCharType="begin"/>
    </w:r>
    <w:r>
      <w:rPr>
        <w:b/>
        <w:bCs/>
        <w:color w:val="B8860B"/>
        <w:sz w:val="18"/>
        <w:szCs w:val="18"/>
      </w:rPr>
      <w:instrText>PAGE</w:instrText>
    </w:r>
    <w:r>
      <w:rPr>
        <w:b/>
        <w:bCs/>
        <w:color w:val="B8860B"/>
        <w:sz w:val="18"/>
        <w:szCs w:val="18"/>
      </w:rPr>
      <w:fldChar w:fldCharType="separate"/>
    </w:r>
    <w:r>
      <w:rPr>
        <w:b/>
        <w:bCs/>
        <w:color w:val="B8860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CF16" w14:textId="77777777" w:rsidR="00DE3B40" w:rsidRDefault="00DE3B40">
      <w:pPr>
        <w:rPr>
          <w:rFonts w:cs="Times New Roman"/>
        </w:rPr>
      </w:pPr>
      <w:r>
        <w:separator/>
      </w:r>
    </w:p>
  </w:footnote>
  <w:footnote w:type="continuationSeparator" w:id="0">
    <w:p w14:paraId="38B7970C" w14:textId="77777777" w:rsidR="00DE3B40" w:rsidRDefault="00DE3B40">
      <w:pPr>
        <w:rPr>
          <w:rFonts w:cs="Times New Roma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F1BB0" w14:textId="77777777" w:rsidR="0016098E" w:rsidRDefault="00DD623A">
    <w:pPr>
      <w:pBdr>
        <w:bottom w:val="single" w:sz="6" w:space="4" w:color="B8860B"/>
      </w:pBdr>
      <w:jc w:val="center"/>
      <w:rPr>
        <w:rFonts w:cs="Times New Roman"/>
      </w:rPr>
    </w:pPr>
    <w:r>
      <w:rPr>
        <w:i/>
        <w:iCs/>
        <w:color w:val="11605C"/>
        <w:sz w:val="16"/>
        <w:szCs w:val="16"/>
      </w:rPr>
      <w:t>علم النفس الاستخلافي — دراسة في أنطولوجيا رضاء الوالدين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4B760F"/>
    <w:multiLevelType w:val="hybridMultilevel"/>
    <w:tmpl w:val="FFFFFFFF"/>
    <w:lvl w:ilvl="0" w:tplc="F080066E">
      <w:start w:val="1"/>
      <w:numFmt w:val="bullet"/>
      <w:lvlText w:val="●"/>
      <w:lvlJc w:val="left"/>
      <w:pPr>
        <w:ind w:left="720" w:hanging="360"/>
      </w:pPr>
    </w:lvl>
    <w:lvl w:ilvl="1" w:tplc="1E1EE50E">
      <w:start w:val="1"/>
      <w:numFmt w:val="bullet"/>
      <w:lvlText w:val="○"/>
      <w:lvlJc w:val="left"/>
      <w:pPr>
        <w:ind w:left="1440" w:hanging="360"/>
      </w:pPr>
    </w:lvl>
    <w:lvl w:ilvl="2" w:tplc="E8FCA25A">
      <w:start w:val="1"/>
      <w:numFmt w:val="bullet"/>
      <w:lvlText w:val="■"/>
      <w:lvlJc w:val="left"/>
      <w:pPr>
        <w:ind w:left="2160" w:hanging="360"/>
      </w:pPr>
    </w:lvl>
    <w:lvl w:ilvl="3" w:tplc="F162E442">
      <w:start w:val="1"/>
      <w:numFmt w:val="bullet"/>
      <w:lvlText w:val="●"/>
      <w:lvlJc w:val="left"/>
      <w:pPr>
        <w:ind w:left="2880" w:hanging="360"/>
      </w:pPr>
    </w:lvl>
    <w:lvl w:ilvl="4" w:tplc="7D6E4E8C">
      <w:start w:val="1"/>
      <w:numFmt w:val="bullet"/>
      <w:lvlText w:val="○"/>
      <w:lvlJc w:val="left"/>
      <w:pPr>
        <w:ind w:left="3600" w:hanging="360"/>
      </w:pPr>
    </w:lvl>
    <w:lvl w:ilvl="5" w:tplc="CD4C5D3C">
      <w:start w:val="1"/>
      <w:numFmt w:val="bullet"/>
      <w:lvlText w:val="■"/>
      <w:lvlJc w:val="left"/>
      <w:pPr>
        <w:ind w:left="4320" w:hanging="360"/>
      </w:pPr>
    </w:lvl>
    <w:lvl w:ilvl="6" w:tplc="30B8934C">
      <w:start w:val="1"/>
      <w:numFmt w:val="bullet"/>
      <w:lvlText w:val="●"/>
      <w:lvlJc w:val="left"/>
      <w:pPr>
        <w:ind w:left="5040" w:hanging="360"/>
      </w:pPr>
    </w:lvl>
    <w:lvl w:ilvl="7" w:tplc="34C030E4">
      <w:start w:val="1"/>
      <w:numFmt w:val="bullet"/>
      <w:lvlText w:val="●"/>
      <w:lvlJc w:val="left"/>
      <w:pPr>
        <w:ind w:left="5760" w:hanging="360"/>
      </w:pPr>
    </w:lvl>
    <w:lvl w:ilvl="8" w:tplc="E8B403C6">
      <w:start w:val="1"/>
      <w:numFmt w:val="bullet"/>
      <w:lvlText w:val="●"/>
      <w:lvlJc w:val="left"/>
      <w:pPr>
        <w:ind w:left="6480" w:hanging="360"/>
      </w:pPr>
    </w:lvl>
  </w:abstractNum>
  <w:num w:numId="1" w16cid:durableId="20072476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2"/>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98E"/>
    <w:rsid w:val="000E0470"/>
    <w:rsid w:val="0016098E"/>
    <w:rsid w:val="002C2648"/>
    <w:rsid w:val="00A13E2D"/>
    <w:rsid w:val="00AB3B6A"/>
    <w:rsid w:val="00BB44A5"/>
    <w:rsid w:val="00C912AE"/>
    <w:rsid w:val="00C95925"/>
    <w:rsid w:val="00DD623A"/>
    <w:rsid w:val="00DE3B40"/>
    <w:rsid w:val="00F31C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1DA620B"/>
  <w15:docId w15:val="{A3551A92-BA15-6C4D-890F-2A1E0B57D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3924</Words>
  <Characters>22372</Characters>
  <Application>Microsoft Office Word</Application>
  <DocSecurity>0</DocSecurity>
  <Lines>186</Lines>
  <Paragraphs>52</Paragraphs>
  <ScaleCrop>false</ScaleCrop>
  <Company/>
  <LinksUpToDate>false</LinksUpToDate>
  <CharactersWithSpaces>26244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6</cp:revision>
  <dcterms:created xsi:type="dcterms:W3CDTF">2026-07-29T21:28:00Z</dcterms:created>
  <dcterms:modified xsi:type="dcterms:W3CDTF">2026-07-30T17:31:00Z</dcterms:modified>
</cp:coreProperties>
</file>