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E4C60" w14:textId="77777777" w:rsidR="006428B6" w:rsidRDefault="006428B6">
      <w:pPr>
        <w:spacing w:before="800"/>
        <w:rPr>
          <w:rFonts w:hint="cs"/>
        </w:rPr>
      </w:pPr>
    </w:p>
    <w:p w14:paraId="4A24E574" w14:textId="77777777" w:rsidR="006428B6" w:rsidRDefault="00506DAD">
      <w:pPr>
        <w:spacing w:after="100"/>
        <w:jc w:val="center"/>
      </w:pPr>
      <w:r>
        <w:rPr>
          <w:b/>
          <w:bCs/>
          <w:color w:val="0F6B72"/>
          <w:sz w:val="22"/>
          <w:szCs w:val="22"/>
        </w:rPr>
        <w:t>علم النفس الاستخلافي</w:t>
      </w:r>
    </w:p>
    <w:p w14:paraId="0483603F" w14:textId="77777777" w:rsidR="006428B6" w:rsidRDefault="00506DAD">
      <w:pPr>
        <w:pBdr>
          <w:bottom w:val="single" w:sz="18" w:space="10" w:color="B8860B"/>
        </w:pBdr>
        <w:spacing w:after="500"/>
        <w:jc w:val="center"/>
      </w:pPr>
      <w:proofErr w:type="spellStart"/>
      <w:r>
        <w:rPr>
          <w:i/>
          <w:iCs/>
          <w:color w:val="B8860B"/>
          <w:sz w:val="20"/>
          <w:szCs w:val="20"/>
        </w:rPr>
        <w:t>Istikhlafi</w:t>
      </w:r>
      <w:proofErr w:type="spellEnd"/>
      <w:r>
        <w:rPr>
          <w:i/>
          <w:iCs/>
          <w:color w:val="B8860B"/>
          <w:sz w:val="20"/>
          <w:szCs w:val="20"/>
        </w:rPr>
        <w:t xml:space="preserve"> (</w:t>
      </w:r>
      <w:proofErr w:type="spellStart"/>
      <w:r>
        <w:rPr>
          <w:i/>
          <w:iCs/>
          <w:color w:val="B8860B"/>
          <w:sz w:val="20"/>
          <w:szCs w:val="20"/>
        </w:rPr>
        <w:t>Vicegerency</w:t>
      </w:r>
      <w:proofErr w:type="spellEnd"/>
      <w:r>
        <w:rPr>
          <w:i/>
          <w:iCs/>
          <w:color w:val="B8860B"/>
          <w:sz w:val="20"/>
          <w:szCs w:val="20"/>
        </w:rPr>
        <w:t xml:space="preserve">) </w:t>
      </w:r>
      <w:proofErr w:type="spellStart"/>
      <w:r>
        <w:rPr>
          <w:i/>
          <w:iCs/>
          <w:color w:val="B8860B"/>
          <w:sz w:val="20"/>
          <w:szCs w:val="20"/>
        </w:rPr>
        <w:t>Psychology</w:t>
      </w:r>
      <w:proofErr w:type="spellEnd"/>
    </w:p>
    <w:p w14:paraId="3F1000D7" w14:textId="77777777" w:rsidR="006428B6" w:rsidRDefault="00506DAD">
      <w:pPr>
        <w:spacing w:before="600" w:after="200"/>
        <w:jc w:val="center"/>
      </w:pPr>
      <w:r>
        <w:rPr>
          <w:b/>
          <w:bCs/>
          <w:color w:val="1B2A4A"/>
          <w:sz w:val="46"/>
          <w:szCs w:val="46"/>
        </w:rPr>
        <w:t>الدليل الإرشادي المتكامل</w:t>
      </w:r>
    </w:p>
    <w:p w14:paraId="63FD1B89" w14:textId="77777777" w:rsidR="006428B6" w:rsidRDefault="00506DAD">
      <w:pPr>
        <w:spacing w:after="200"/>
        <w:jc w:val="center"/>
      </w:pPr>
      <w:r>
        <w:rPr>
          <w:b/>
          <w:bCs/>
          <w:color w:val="1B2A4A"/>
          <w:sz w:val="46"/>
          <w:szCs w:val="46"/>
        </w:rPr>
        <w:t>للعلاج بحرث المصالحة التحويلية</w:t>
      </w:r>
    </w:p>
    <w:p w14:paraId="00163209" w14:textId="77777777" w:rsidR="006428B6" w:rsidRDefault="00506DAD">
      <w:pPr>
        <w:spacing w:after="600"/>
        <w:jc w:val="center"/>
      </w:pPr>
      <w:r>
        <w:rPr>
          <w:i/>
          <w:iCs/>
          <w:color w:val="0F6B72"/>
        </w:rPr>
        <w:t>(</w:t>
      </w:r>
      <w:proofErr w:type="spellStart"/>
      <w:r>
        <w:rPr>
          <w:i/>
          <w:iCs/>
          <w:color w:val="0F6B72"/>
        </w:rPr>
        <w:t>Transformative</w:t>
      </w:r>
      <w:proofErr w:type="spellEnd"/>
      <w:r>
        <w:rPr>
          <w:i/>
          <w:iCs/>
          <w:color w:val="0F6B72"/>
        </w:rPr>
        <w:t xml:space="preserve"> </w:t>
      </w:r>
      <w:proofErr w:type="spellStart"/>
      <w:r>
        <w:rPr>
          <w:i/>
          <w:iCs/>
          <w:color w:val="0F6B72"/>
        </w:rPr>
        <w:t>Reconciliation</w:t>
      </w:r>
      <w:proofErr w:type="spellEnd"/>
      <w:r>
        <w:rPr>
          <w:i/>
          <w:iCs/>
          <w:color w:val="0F6B72"/>
        </w:rPr>
        <w:t xml:space="preserve"> </w:t>
      </w:r>
      <w:proofErr w:type="spellStart"/>
      <w:r>
        <w:rPr>
          <w:i/>
          <w:iCs/>
          <w:color w:val="0F6B72"/>
        </w:rPr>
        <w:t>Tillage</w:t>
      </w:r>
      <w:proofErr w:type="spellEnd"/>
      <w:r>
        <w:rPr>
          <w:i/>
          <w:iCs/>
          <w:color w:val="0F6B72"/>
        </w:rPr>
        <w:t xml:space="preserve"> </w:t>
      </w:r>
      <w:proofErr w:type="spellStart"/>
      <w:r>
        <w:rPr>
          <w:i/>
          <w:iCs/>
          <w:color w:val="0F6B72"/>
        </w:rPr>
        <w:t>Therapy</w:t>
      </w:r>
      <w:proofErr w:type="spellEnd"/>
      <w:r>
        <w:rPr>
          <w:i/>
          <w:iCs/>
          <w:color w:val="0F6B72"/>
        </w:rPr>
        <w:t xml:space="preserve"> — TLRT)</w:t>
      </w:r>
    </w:p>
    <w:p w14:paraId="6E8A3FE2" w14:textId="77777777" w:rsidR="006428B6" w:rsidRDefault="00506DAD">
      <w:pPr>
        <w:spacing w:after="800"/>
        <w:jc w:val="center"/>
      </w:pPr>
      <w:r>
        <w:rPr>
          <w:b/>
          <w:bCs/>
          <w:color w:val="B8860B"/>
          <w:sz w:val="26"/>
          <w:szCs w:val="26"/>
        </w:rPr>
        <w:t>دراسة أكاديمية موسّعة ومعمّقة في الأسس الفلسفية، والمراحل الإكلينيكية، والتقنيات النوعية، والمقاربة النقدية المقارنة</w:t>
      </w:r>
    </w:p>
    <w:p w14:paraId="48C1BF48" w14:textId="77777777" w:rsidR="006428B6" w:rsidRDefault="006428B6">
      <w:pPr>
        <w:spacing w:after="1200"/>
      </w:pPr>
    </w:p>
    <w:p w14:paraId="4BD41023" w14:textId="08F0E5ED" w:rsidR="006428B6" w:rsidRDefault="00506DAD">
      <w:pPr>
        <w:jc w:val="center"/>
      </w:pPr>
      <w:r>
        <w:rPr>
          <w:b/>
          <w:bCs/>
          <w:color w:val="1B2A4A"/>
        </w:rPr>
        <w:t xml:space="preserve">إعداد الدراسة: </w:t>
      </w:r>
      <w:r w:rsidR="00E774E9">
        <w:rPr>
          <w:rFonts w:hint="cs"/>
          <w:b/>
          <w:bCs/>
          <w:color w:val="1B2A4A"/>
        </w:rPr>
        <w:t xml:space="preserve">عبد السلام الزراع </w:t>
      </w:r>
    </w:p>
    <w:p w14:paraId="217BE688" w14:textId="36758AAC" w:rsidR="006428B6" w:rsidRDefault="00506DAD">
      <w:pPr>
        <w:spacing w:after="100"/>
        <w:jc w:val="center"/>
      </w:pPr>
      <w:r>
        <w:rPr>
          <w:color w:val="1A1A1A"/>
          <w:sz w:val="22"/>
          <w:szCs w:val="22"/>
        </w:rPr>
        <w:t xml:space="preserve"> مشروع علم النفس الاستخلافي</w:t>
      </w:r>
    </w:p>
    <w:p w14:paraId="2947C4C0" w14:textId="77777777" w:rsidR="006428B6" w:rsidRDefault="00506DAD">
      <w:pPr>
        <w:spacing w:after="800"/>
        <w:jc w:val="center"/>
      </w:pPr>
      <w:r>
        <w:rPr>
          <w:color w:val="1A1A1A"/>
          <w:sz w:val="22"/>
          <w:szCs w:val="22"/>
        </w:rPr>
        <w:t>عن الإطار النظري الذي أسّسه الباحث عبد السلام الزراع</w:t>
      </w:r>
    </w:p>
    <w:p w14:paraId="4153CF51" w14:textId="77777777" w:rsidR="006428B6" w:rsidRDefault="00506DAD">
      <w:pPr>
        <w:jc w:val="center"/>
      </w:pPr>
      <w:r>
        <w:rPr>
          <w:color w:val="0F6B72"/>
          <w:sz w:val="22"/>
          <w:szCs w:val="22"/>
        </w:rPr>
        <w:t>١٤٤٨ هـ — 2026 م</w:t>
      </w:r>
    </w:p>
    <w:p w14:paraId="474540E6" w14:textId="77777777" w:rsidR="006428B6" w:rsidRDefault="00506DAD">
      <w:r>
        <w:br w:type="page"/>
      </w:r>
    </w:p>
    <w:p w14:paraId="46D795AA" w14:textId="77777777" w:rsidR="006428B6" w:rsidRDefault="00506DAD" w:rsidP="00963ECC">
      <w:pPr>
        <w:pStyle w:val="1"/>
        <w:pBdr>
          <w:bottom w:val="single" w:sz="12" w:space="8" w:color="B8860B"/>
        </w:pBdr>
        <w:spacing w:before="400" w:after="200"/>
      </w:pPr>
      <w:r>
        <w:rPr>
          <w:b/>
          <w:bCs/>
          <w:color w:val="1B2A4A"/>
          <w:sz w:val="34"/>
          <w:szCs w:val="34"/>
        </w:rPr>
        <w:t>فهرس المحتويات</w:t>
      </w:r>
    </w:p>
    <w:p w14:paraId="579579FE" w14:textId="77777777" w:rsidR="006428B6" w:rsidRDefault="00506DAD" w:rsidP="00963ECC">
      <w:pPr>
        <w:spacing w:after="160"/>
      </w:pPr>
      <w:r>
        <w:rPr>
          <w:b/>
          <w:bCs/>
          <w:color w:val="1B2A4A"/>
        </w:rPr>
        <w:t>ملخص تنفيذي</w:t>
      </w:r>
    </w:p>
    <w:p w14:paraId="1C75D9F2" w14:textId="77777777" w:rsidR="006428B6" w:rsidRDefault="00506DAD" w:rsidP="00963ECC">
      <w:pPr>
        <w:spacing w:after="160"/>
      </w:pPr>
      <w:r>
        <w:rPr>
          <w:b/>
          <w:bCs/>
          <w:color w:val="1B2A4A"/>
        </w:rPr>
        <w:t>تمهيد: من “استئصال العرض” إلى “تحويل الطاقة”</w:t>
      </w:r>
    </w:p>
    <w:p w14:paraId="7036D621" w14:textId="77777777" w:rsidR="006428B6" w:rsidRDefault="00506DAD" w:rsidP="00963ECC">
      <w:pPr>
        <w:spacing w:after="160"/>
      </w:pPr>
      <w:r>
        <w:rPr>
          <w:b/>
          <w:bCs/>
          <w:color w:val="1B2A4A"/>
        </w:rPr>
        <w:t>الفصل الأول: الفلسفة المركزية للنموذج</w:t>
      </w:r>
    </w:p>
    <w:p w14:paraId="02C19931" w14:textId="77777777" w:rsidR="006428B6" w:rsidRDefault="00506DAD" w:rsidP="00963ECC">
      <w:pPr>
        <w:spacing w:after="100"/>
        <w:ind w:left="300"/>
      </w:pPr>
      <w:r>
        <w:rPr>
          <w:color w:val="0F6B72"/>
          <w:sz w:val="22"/>
          <w:szCs w:val="22"/>
        </w:rPr>
        <w:t>1.1 الرؤية الأنطولوجية: الإنسان خليفة وطاقة وأمانة</w:t>
      </w:r>
    </w:p>
    <w:p w14:paraId="581EA12D" w14:textId="77777777" w:rsidR="006428B6" w:rsidRDefault="00506DAD" w:rsidP="00963ECC">
      <w:pPr>
        <w:spacing w:after="100"/>
        <w:ind w:left="300"/>
      </w:pPr>
      <w:r>
        <w:rPr>
          <w:color w:val="0F6B72"/>
          <w:sz w:val="22"/>
          <w:szCs w:val="22"/>
        </w:rPr>
        <w:t>1.2 الرؤية الغائية: الاستخلاف والإحسان والنفس المطمئنة</w:t>
      </w:r>
    </w:p>
    <w:p w14:paraId="2A1A13EB" w14:textId="77777777" w:rsidR="006428B6" w:rsidRDefault="00506DAD" w:rsidP="00963ECC">
      <w:pPr>
        <w:spacing w:after="100"/>
        <w:ind w:left="300"/>
      </w:pPr>
      <w:r>
        <w:rPr>
          <w:color w:val="0F6B72"/>
          <w:sz w:val="22"/>
          <w:szCs w:val="22"/>
        </w:rPr>
        <w:t>1.3 المبدأ الحاكم: الكينتسوغي النفسي</w:t>
      </w:r>
    </w:p>
    <w:p w14:paraId="457ADD50" w14:textId="77777777" w:rsidR="006428B6" w:rsidRDefault="00506DAD" w:rsidP="00963ECC">
      <w:pPr>
        <w:spacing w:after="100"/>
        <w:ind w:left="300"/>
      </w:pPr>
      <w:r>
        <w:rPr>
          <w:color w:val="0F6B72"/>
          <w:sz w:val="22"/>
          <w:szCs w:val="22"/>
        </w:rPr>
        <w:t xml:space="preserve">1.4 الأبعاد الثلاثة للنفس ومقارنتها بالنموذج </w:t>
      </w:r>
      <w:proofErr w:type="spellStart"/>
      <w:r>
        <w:rPr>
          <w:color w:val="0F6B72"/>
          <w:sz w:val="22"/>
          <w:szCs w:val="22"/>
        </w:rPr>
        <w:t>الفرويدي</w:t>
      </w:r>
      <w:proofErr w:type="spellEnd"/>
    </w:p>
    <w:p w14:paraId="15890FB8" w14:textId="77777777" w:rsidR="006428B6" w:rsidRDefault="00506DAD" w:rsidP="00963ECC">
      <w:pPr>
        <w:spacing w:after="160"/>
      </w:pPr>
      <w:r>
        <w:rPr>
          <w:b/>
          <w:bCs/>
          <w:color w:val="1B2A4A"/>
        </w:rPr>
        <w:t>الفصل الثاني: مسار التحول الخماسي</w:t>
      </w:r>
    </w:p>
    <w:p w14:paraId="462CCE86" w14:textId="77777777" w:rsidR="006428B6" w:rsidRDefault="00506DAD" w:rsidP="00963ECC">
      <w:pPr>
        <w:spacing w:after="100"/>
        <w:ind w:left="300"/>
      </w:pPr>
      <w:r>
        <w:rPr>
          <w:color w:val="0F6B72"/>
          <w:sz w:val="22"/>
          <w:szCs w:val="22"/>
        </w:rPr>
        <w:t>2.1 التشخيص الوجودي — تفكيك العقدة وتمييز الديون</w:t>
      </w:r>
    </w:p>
    <w:p w14:paraId="3FFBCBDD" w14:textId="77777777" w:rsidR="006428B6" w:rsidRDefault="00506DAD" w:rsidP="00963ECC">
      <w:pPr>
        <w:spacing w:after="100"/>
        <w:ind w:left="300"/>
      </w:pPr>
      <w:r>
        <w:rPr>
          <w:color w:val="0F6B72"/>
          <w:sz w:val="22"/>
          <w:szCs w:val="22"/>
        </w:rPr>
        <w:t>2.2 إعادة بناء صورة الله — المصالحة الوجودية</w:t>
      </w:r>
    </w:p>
    <w:p w14:paraId="39C8A751" w14:textId="77777777" w:rsidR="006428B6" w:rsidRDefault="00506DAD" w:rsidP="00963ECC">
      <w:pPr>
        <w:spacing w:after="100"/>
        <w:ind w:left="300"/>
      </w:pPr>
      <w:r>
        <w:rPr>
          <w:color w:val="0F6B72"/>
          <w:sz w:val="22"/>
          <w:szCs w:val="22"/>
        </w:rPr>
        <w:t xml:space="preserve">2.3 التحويل </w:t>
      </w:r>
      <w:proofErr w:type="spellStart"/>
      <w:r>
        <w:rPr>
          <w:color w:val="0F6B72"/>
          <w:sz w:val="22"/>
          <w:szCs w:val="22"/>
        </w:rPr>
        <w:t>الطاقي</w:t>
      </w:r>
      <w:proofErr w:type="spellEnd"/>
      <w:r>
        <w:rPr>
          <w:color w:val="0F6B72"/>
          <w:sz w:val="22"/>
          <w:szCs w:val="22"/>
        </w:rPr>
        <w:t xml:space="preserve"> — بناء الجسر السلوكي</w:t>
      </w:r>
    </w:p>
    <w:p w14:paraId="61C79395" w14:textId="77777777" w:rsidR="006428B6" w:rsidRDefault="00506DAD" w:rsidP="00963ECC">
      <w:pPr>
        <w:spacing w:after="100"/>
        <w:ind w:left="300"/>
      </w:pPr>
      <w:r>
        <w:rPr>
          <w:color w:val="0F6B72"/>
          <w:sz w:val="22"/>
          <w:szCs w:val="22"/>
        </w:rPr>
        <w:t>2.4 إعادة كتابة السردية — الهوية الجديدة</w:t>
      </w:r>
    </w:p>
    <w:p w14:paraId="4075AE12" w14:textId="77777777" w:rsidR="006428B6" w:rsidRDefault="00506DAD" w:rsidP="00963ECC">
      <w:pPr>
        <w:spacing w:after="100"/>
        <w:ind w:left="300"/>
      </w:pPr>
      <w:r>
        <w:rPr>
          <w:color w:val="0F6B72"/>
          <w:sz w:val="22"/>
          <w:szCs w:val="22"/>
        </w:rPr>
        <w:t>2.5 الاستدامة والنمو — مقام الخبير الحي</w:t>
      </w:r>
    </w:p>
    <w:p w14:paraId="7DA3B470" w14:textId="77777777" w:rsidR="006428B6" w:rsidRDefault="00506DAD" w:rsidP="00963ECC">
      <w:pPr>
        <w:spacing w:after="160"/>
      </w:pPr>
      <w:r>
        <w:rPr>
          <w:b/>
          <w:bCs/>
          <w:color w:val="1B2A4A"/>
        </w:rPr>
        <w:t>الفصل الثالث: التقنيات النوعية في البروتوكول</w:t>
      </w:r>
    </w:p>
    <w:p w14:paraId="0C4E2CF8" w14:textId="77777777" w:rsidR="006428B6" w:rsidRDefault="00506DAD" w:rsidP="00963ECC">
      <w:pPr>
        <w:spacing w:after="100"/>
        <w:ind w:left="300"/>
      </w:pPr>
      <w:r>
        <w:rPr>
          <w:color w:val="0F6B72"/>
          <w:sz w:val="22"/>
          <w:szCs w:val="22"/>
        </w:rPr>
        <w:t>3.1 الاستماع للقرآن في الجلسة الأولى</w:t>
      </w:r>
    </w:p>
    <w:p w14:paraId="2E1FD85F" w14:textId="77777777" w:rsidR="006428B6" w:rsidRDefault="00506DAD" w:rsidP="00963ECC">
      <w:pPr>
        <w:spacing w:after="100"/>
        <w:ind w:left="300"/>
      </w:pPr>
      <w:r>
        <w:rPr>
          <w:color w:val="0F6B72"/>
          <w:sz w:val="22"/>
          <w:szCs w:val="22"/>
        </w:rPr>
        <w:t>3.2 تحليل “النفس اللوامة”</w:t>
      </w:r>
    </w:p>
    <w:p w14:paraId="16BC89C8" w14:textId="77777777" w:rsidR="006428B6" w:rsidRDefault="00506DAD" w:rsidP="00963ECC">
      <w:pPr>
        <w:spacing w:after="100"/>
        <w:ind w:left="300"/>
      </w:pPr>
      <w:r>
        <w:rPr>
          <w:color w:val="0F6B72"/>
          <w:sz w:val="22"/>
          <w:szCs w:val="22"/>
        </w:rPr>
        <w:t>3.3 إعادة ضبط المصنع (</w:t>
      </w:r>
      <w:proofErr w:type="spellStart"/>
      <w:r>
        <w:rPr>
          <w:color w:val="0F6B72"/>
          <w:sz w:val="22"/>
          <w:szCs w:val="22"/>
        </w:rPr>
        <w:t>Factory</w:t>
      </w:r>
      <w:proofErr w:type="spellEnd"/>
      <w:r>
        <w:rPr>
          <w:color w:val="0F6B72"/>
          <w:sz w:val="22"/>
          <w:szCs w:val="22"/>
        </w:rPr>
        <w:t xml:space="preserve"> </w:t>
      </w:r>
      <w:proofErr w:type="spellStart"/>
      <w:r>
        <w:rPr>
          <w:color w:val="0F6B72"/>
          <w:sz w:val="22"/>
          <w:szCs w:val="22"/>
        </w:rPr>
        <w:t>Reset</w:t>
      </w:r>
      <w:proofErr w:type="spellEnd"/>
      <w:r>
        <w:rPr>
          <w:color w:val="0F6B72"/>
          <w:sz w:val="22"/>
          <w:szCs w:val="22"/>
        </w:rPr>
        <w:t>)</w:t>
      </w:r>
    </w:p>
    <w:p w14:paraId="59FE8C41" w14:textId="77777777" w:rsidR="006428B6" w:rsidRDefault="00506DAD" w:rsidP="00963ECC">
      <w:pPr>
        <w:spacing w:after="100"/>
        <w:ind w:left="300"/>
      </w:pPr>
      <w:r>
        <w:rPr>
          <w:color w:val="0F6B72"/>
          <w:sz w:val="22"/>
          <w:szCs w:val="22"/>
        </w:rPr>
        <w:t>3.4 أدوات القياس والتقييم</w:t>
      </w:r>
    </w:p>
    <w:p w14:paraId="15578836" w14:textId="77777777" w:rsidR="006428B6" w:rsidRDefault="00506DAD" w:rsidP="00963ECC">
      <w:pPr>
        <w:spacing w:after="160"/>
      </w:pPr>
      <w:r>
        <w:rPr>
          <w:b/>
          <w:bCs/>
          <w:color w:val="1B2A4A"/>
        </w:rPr>
        <w:t>الفصل الرابع: TLRT في الميزان المقارن الأكاديمي</w:t>
      </w:r>
    </w:p>
    <w:p w14:paraId="5A1136FD" w14:textId="77777777" w:rsidR="006428B6" w:rsidRDefault="00506DAD" w:rsidP="00963ECC">
      <w:pPr>
        <w:spacing w:after="160"/>
      </w:pPr>
      <w:r>
        <w:rPr>
          <w:b/>
          <w:bCs/>
          <w:color w:val="1B2A4A"/>
        </w:rPr>
        <w:t>الفصل الخامس: الجذور التراثية الإسلامية المؤصِّلة</w:t>
      </w:r>
    </w:p>
    <w:p w14:paraId="61776AAA" w14:textId="77777777" w:rsidR="006428B6" w:rsidRDefault="00506DAD" w:rsidP="00963ECC">
      <w:pPr>
        <w:spacing w:after="160"/>
      </w:pPr>
      <w:r>
        <w:rPr>
          <w:b/>
          <w:bCs/>
          <w:color w:val="1B2A4A"/>
        </w:rPr>
        <w:t>الفصل السادس: مقاربة نقدية منهجية وآفاق بحثية مستقبلية</w:t>
      </w:r>
    </w:p>
    <w:p w14:paraId="3D43E508" w14:textId="77777777" w:rsidR="006428B6" w:rsidRDefault="00506DAD" w:rsidP="00963ECC">
      <w:pPr>
        <w:spacing w:after="160"/>
      </w:pPr>
      <w:r>
        <w:rPr>
          <w:b/>
          <w:bCs/>
          <w:color w:val="1B2A4A"/>
        </w:rPr>
        <w:t>خاتمة: TLRT — رحلة من الحرث إلى الحصاد</w:t>
      </w:r>
    </w:p>
    <w:p w14:paraId="70B6459C" w14:textId="77777777" w:rsidR="006428B6" w:rsidRDefault="00506DAD" w:rsidP="00963ECC">
      <w:pPr>
        <w:spacing w:after="160"/>
      </w:pPr>
      <w:r>
        <w:rPr>
          <w:b/>
          <w:bCs/>
          <w:color w:val="1B2A4A"/>
        </w:rPr>
        <w:t>المراجع والمصادر</w:t>
      </w:r>
    </w:p>
    <w:p w14:paraId="1B996C7B" w14:textId="77777777" w:rsidR="006428B6" w:rsidRDefault="00506DAD" w:rsidP="00963ECC">
      <w:r>
        <w:br w:type="page"/>
      </w:r>
    </w:p>
    <w:p w14:paraId="67E3796E" w14:textId="77777777" w:rsidR="006428B6" w:rsidRDefault="00506DAD" w:rsidP="00963ECC">
      <w:pPr>
        <w:pStyle w:val="1"/>
        <w:pBdr>
          <w:bottom w:val="single" w:sz="12" w:space="8" w:color="B8860B"/>
        </w:pBdr>
        <w:spacing w:before="400" w:after="200"/>
      </w:pPr>
      <w:r>
        <w:rPr>
          <w:b/>
          <w:bCs/>
          <w:color w:val="1B2A4A"/>
          <w:sz w:val="34"/>
          <w:szCs w:val="34"/>
        </w:rPr>
        <w:t>ملخص تنفيذي</w:t>
      </w:r>
    </w:p>
    <w:p w14:paraId="1CB66D7F" w14:textId="77777777" w:rsidR="006428B6" w:rsidRDefault="00506DAD" w:rsidP="00963ECC">
      <w:pPr>
        <w:spacing w:after="200" w:line="360" w:lineRule="auto"/>
      </w:pPr>
      <w:r>
        <w:rPr>
          <w:color w:val="1A1A1A"/>
        </w:rPr>
        <w:t>يمثل “العلاج بحرث المصالحة التحويلية” (</w:t>
      </w:r>
      <w:proofErr w:type="spellStart"/>
      <w:r>
        <w:rPr>
          <w:color w:val="1A1A1A"/>
        </w:rPr>
        <w:t>Transformative</w:t>
      </w:r>
      <w:proofErr w:type="spellEnd"/>
      <w:r>
        <w:rPr>
          <w:color w:val="1A1A1A"/>
        </w:rPr>
        <w:t xml:space="preserve"> </w:t>
      </w:r>
      <w:proofErr w:type="spellStart"/>
      <w:r>
        <w:rPr>
          <w:color w:val="1A1A1A"/>
        </w:rPr>
        <w:t>Reconciliation</w:t>
      </w:r>
      <w:proofErr w:type="spellEnd"/>
      <w:r>
        <w:rPr>
          <w:color w:val="1A1A1A"/>
        </w:rPr>
        <w:t xml:space="preserve"> </w:t>
      </w:r>
      <w:proofErr w:type="spellStart"/>
      <w:r>
        <w:rPr>
          <w:color w:val="1A1A1A"/>
        </w:rPr>
        <w:t>Tillage</w:t>
      </w:r>
      <w:proofErr w:type="spellEnd"/>
      <w:r>
        <w:rPr>
          <w:color w:val="1A1A1A"/>
        </w:rPr>
        <w:t xml:space="preserve"> </w:t>
      </w:r>
      <w:proofErr w:type="spellStart"/>
      <w:r>
        <w:rPr>
          <w:color w:val="1A1A1A"/>
        </w:rPr>
        <w:t>Therapy</w:t>
      </w:r>
      <w:proofErr w:type="spellEnd"/>
      <w:r>
        <w:rPr>
          <w:color w:val="1A1A1A"/>
        </w:rPr>
        <w:t xml:space="preserve"> – TLRT)، الذي أسسه الباحث عبد السلام الزراع ضمن مشروعه الأوسع “علم النفس الاستخلافي”، نموذجاً علاجياً تكاملياً يسعى إلى تجاوز الثنائيات التقليدية في العلاج النفسي (سلوكي/تحليلي، ديني/علماني، فردي/اجتماعي). يقوم النموذج على فرضية مركزية مفادها أن “الشعور بالذنب” – وخاصة عقدة الذنب المرضية – ليس مجرد عرض يجب إزالته، بل هو “طاقة وجودية محتجزة” يمكن توجيهها نحو “الفاعلية </w:t>
      </w:r>
      <w:proofErr w:type="spellStart"/>
      <w:r>
        <w:rPr>
          <w:color w:val="1A1A1A"/>
        </w:rPr>
        <w:t>الإحسانية</w:t>
      </w:r>
      <w:proofErr w:type="spellEnd"/>
      <w:r>
        <w:rPr>
          <w:color w:val="1A1A1A"/>
        </w:rPr>
        <w:t>”.</w:t>
      </w:r>
    </w:p>
    <w:p w14:paraId="1D935045" w14:textId="77777777" w:rsidR="006428B6" w:rsidRDefault="00506DAD" w:rsidP="00963ECC">
      <w:pPr>
        <w:spacing w:after="200" w:line="360" w:lineRule="auto"/>
      </w:pPr>
      <w:r>
        <w:rPr>
          <w:color w:val="1A1A1A"/>
        </w:rPr>
        <w:t xml:space="preserve">تقدّم هذه الدراسة الموسعة معالجة أكاديمية معمّقة للدليل النظري </w:t>
      </w:r>
      <w:proofErr w:type="spellStart"/>
      <w:r>
        <w:rPr>
          <w:color w:val="1A1A1A"/>
        </w:rPr>
        <w:t>لـTLRT</w:t>
      </w:r>
      <w:proofErr w:type="spellEnd"/>
      <w:r>
        <w:rPr>
          <w:color w:val="1A1A1A"/>
        </w:rPr>
        <w:t xml:space="preserve">، تتجاوز العرض الوصفي إلى: (1) تحليل الأسس الأنطولوجية </w:t>
      </w:r>
      <w:proofErr w:type="spellStart"/>
      <w:r>
        <w:rPr>
          <w:color w:val="1A1A1A"/>
        </w:rPr>
        <w:t>والإبستمولوجية</w:t>
      </w:r>
      <w:proofErr w:type="spellEnd"/>
      <w:r>
        <w:rPr>
          <w:color w:val="1A1A1A"/>
        </w:rPr>
        <w:t xml:space="preserve"> والغائية للنموذج ومقارنتها </w:t>
      </w:r>
      <w:proofErr w:type="spellStart"/>
      <w:r>
        <w:rPr>
          <w:color w:val="1A1A1A"/>
        </w:rPr>
        <w:t>بمرجعياتها</w:t>
      </w:r>
      <w:proofErr w:type="spellEnd"/>
      <w:r>
        <w:rPr>
          <w:color w:val="1A1A1A"/>
        </w:rPr>
        <w:t xml:space="preserve"> الإسلامية والفلسفية؛ (2) تفكيك المسار العلاجي الخماسي مرحلة </w:t>
      </w:r>
      <w:proofErr w:type="spellStart"/>
      <w:r>
        <w:rPr>
          <w:color w:val="1A1A1A"/>
        </w:rPr>
        <w:t>مرحلة</w:t>
      </w:r>
      <w:proofErr w:type="spellEnd"/>
      <w:r>
        <w:rPr>
          <w:color w:val="1A1A1A"/>
        </w:rPr>
        <w:t xml:space="preserve"> مع بيان آلياته النفسية والعصبية؛ (3) دراسة نقدية مقارنة تضع TLRT في سياق مدارس العلاج المعرفي السلوكي والوجودي والتحليلي وعلم النفس الفسيولوجي المعاصر؛ (4) تأصيل تراثي لمفاهيم النموذج في أعمال الغزالي وابن القيم؛ (5) مساءلة منهجية لحدود النموذج الحالية وآفاق التحقق التجريبي منه مستقبلاً. وتحافظ الدراسة، في جميع فصولها، على أمانة ا</w:t>
      </w:r>
      <w:r>
        <w:rPr>
          <w:color w:val="1A1A1A"/>
        </w:rPr>
        <w:t xml:space="preserve">لإحالة إلى المصادر الأصلية للدليل النظري وإلى الأدبيات الغربية والتراثية </w:t>
      </w:r>
      <w:proofErr w:type="spellStart"/>
      <w:r>
        <w:rPr>
          <w:color w:val="1A1A1A"/>
        </w:rPr>
        <w:t>المستدعاة</w:t>
      </w:r>
      <w:proofErr w:type="spellEnd"/>
      <w:r>
        <w:rPr>
          <w:color w:val="1A1A1A"/>
        </w:rPr>
        <w:t xml:space="preserve"> في المقارنة.</w:t>
      </w:r>
    </w:p>
    <w:p w14:paraId="377B2435" w14:textId="77777777" w:rsidR="006428B6" w:rsidRDefault="00506DAD" w:rsidP="00963ECC">
      <w:pPr>
        <w:spacing w:after="200" w:line="360" w:lineRule="auto"/>
      </w:pPr>
      <w:r>
        <w:rPr>
          <w:color w:val="1A1A1A"/>
        </w:rPr>
        <w:t xml:space="preserve">تخلص الدراسة إلى أن قيمة TLRT الأكاديمية تكمن في جرأته على دمج مرجعية </w:t>
      </w:r>
      <w:proofErr w:type="spellStart"/>
      <w:r>
        <w:rPr>
          <w:color w:val="1A1A1A"/>
        </w:rPr>
        <w:t>وحيانية</w:t>
      </w:r>
      <w:proofErr w:type="spellEnd"/>
      <w:r>
        <w:rPr>
          <w:color w:val="1A1A1A"/>
        </w:rPr>
        <w:t xml:space="preserve"> تأسيسية (القرآن الكريم والتراث الفقهي والصوفي) مع أدوات إكلينيكية معاصرة (الجسر السلوكي، إعادة كتابة السردية، القياس النفسي)، وأن أهم تحدياته المقبلة هو الانتقال من مرحلة “الصياغة النظرية والتجريب الإكلينيكي المحدود” إلى مرحلة “التحقق التجريبي المنهجي” عبر دراسات مضبوطة وأدوات قياس مُحكَّمة </w:t>
      </w:r>
      <w:proofErr w:type="spellStart"/>
      <w:r>
        <w:rPr>
          <w:color w:val="1A1A1A"/>
        </w:rPr>
        <w:t>سيكومترياً</w:t>
      </w:r>
      <w:proofErr w:type="spellEnd"/>
      <w:r>
        <w:rPr>
          <w:color w:val="1A1A1A"/>
        </w:rPr>
        <w:t>.</w:t>
      </w:r>
    </w:p>
    <w:p w14:paraId="0A28E77D" w14:textId="77777777" w:rsidR="006428B6" w:rsidRDefault="00506DAD" w:rsidP="00963ECC">
      <w:r>
        <w:br w:type="page"/>
      </w:r>
    </w:p>
    <w:p w14:paraId="5E455EE8" w14:textId="77777777" w:rsidR="006428B6" w:rsidRDefault="00506DAD" w:rsidP="00963ECC">
      <w:pPr>
        <w:pStyle w:val="1"/>
        <w:pBdr>
          <w:bottom w:val="single" w:sz="12" w:space="8" w:color="B8860B"/>
        </w:pBdr>
        <w:spacing w:before="400" w:after="200"/>
      </w:pPr>
      <w:r>
        <w:rPr>
          <w:b/>
          <w:bCs/>
          <w:color w:val="1B2A4A"/>
          <w:sz w:val="34"/>
          <w:szCs w:val="34"/>
        </w:rPr>
        <w:t xml:space="preserve">تمهيد: من “استئصال العرض” إلى “تحويل الطاقة” — القطيعة </w:t>
      </w:r>
      <w:proofErr w:type="spellStart"/>
      <w:r>
        <w:rPr>
          <w:b/>
          <w:bCs/>
          <w:color w:val="1B2A4A"/>
          <w:sz w:val="34"/>
          <w:szCs w:val="34"/>
        </w:rPr>
        <w:t>الإبستمولوجية</w:t>
      </w:r>
      <w:proofErr w:type="spellEnd"/>
      <w:r>
        <w:rPr>
          <w:b/>
          <w:bCs/>
          <w:color w:val="1B2A4A"/>
          <w:sz w:val="34"/>
          <w:szCs w:val="34"/>
        </w:rPr>
        <w:t xml:space="preserve"> للنموذج</w:t>
      </w:r>
    </w:p>
    <w:p w14:paraId="2656C279" w14:textId="77777777" w:rsidR="006428B6" w:rsidRDefault="00506DAD" w:rsidP="00963ECC">
      <w:pPr>
        <w:spacing w:after="200" w:line="360" w:lineRule="auto"/>
      </w:pPr>
      <w:r>
        <w:rPr>
          <w:color w:val="1A1A1A"/>
        </w:rPr>
        <w:t xml:space="preserve">تتباين مدارس العلاج النفسي المعاصر تبايناً جوهرياً في تعاملها مع الشعور بالذنب. فالمدرسة الطبية الحيوية تراه في الغالب عرَضاً مصاحباً لاختلال كيميائي عصبي يستجيب – جزئياً – للتدخل الدوائي. والمدرسة المعرفية السلوكية، وعلى رأسها أعمال </w:t>
      </w:r>
      <w:proofErr w:type="spellStart"/>
      <w:r>
        <w:rPr>
          <w:color w:val="1A1A1A"/>
        </w:rPr>
        <w:t>آرون</w:t>
      </w:r>
      <w:proofErr w:type="spellEnd"/>
      <w:r>
        <w:rPr>
          <w:color w:val="1A1A1A"/>
        </w:rPr>
        <w:t xml:space="preserve"> بيك التأسيسية في العلاج المعرفي، تراه غالباً نتاج “تشوهات معرفية” من قبيل التعميم المفرط أو التفكير المطلق (الأبيض/الأسود) أو “عبارات الوجوب” القاسية التي يفرضها المريض على ذاته، وتسعى إلى تفنيدها منطقياً وإعادة هيكلتها [مقارنة: </w:t>
      </w:r>
      <w:proofErr w:type="spellStart"/>
      <w:r>
        <w:rPr>
          <w:color w:val="1A1A1A"/>
        </w:rPr>
        <w:t>Beck</w:t>
      </w:r>
      <w:proofErr w:type="spellEnd"/>
      <w:r>
        <w:rPr>
          <w:color w:val="1A1A1A"/>
        </w:rPr>
        <w:t>, 1976]. أما المدرسة التحليلية الكلاسيكية فتردّه إلى صراع لا واعٍ بين الأنا الأعلى (</w:t>
      </w:r>
      <w:proofErr w:type="spellStart"/>
      <w:r>
        <w:rPr>
          <w:color w:val="1A1A1A"/>
        </w:rPr>
        <w:t>Superego</w:t>
      </w:r>
      <w:proofErr w:type="spellEnd"/>
      <w:r>
        <w:rPr>
          <w:color w:val="1A1A1A"/>
        </w:rPr>
        <w:t>) الصارم والدوافع المكبوتة، وتسعى إلى الاستبصار به عبر تحليل المقاومة والتحويل. وفي هذه المقاربات الثلاث جميعاً، وبرغم اختلاف أدواتها، يُعامَل الذنب بوصفه مشكلة يجب التخلص منها أو تف</w:t>
      </w:r>
      <w:r>
        <w:rPr>
          <w:color w:val="1A1A1A"/>
        </w:rPr>
        <w:t>كيكها أو تصحيحها.</w:t>
      </w:r>
    </w:p>
    <w:p w14:paraId="696F6DC7" w14:textId="77777777" w:rsidR="006428B6" w:rsidRDefault="00506DAD" w:rsidP="00963ECC">
      <w:pPr>
        <w:spacing w:after="200" w:line="360" w:lineRule="auto"/>
      </w:pPr>
      <w:r>
        <w:rPr>
          <w:color w:val="1A1A1A"/>
        </w:rPr>
        <w:t xml:space="preserve">النموذج الاستخلافي – كما صاغه الزراع – يُحدث قطيعة </w:t>
      </w:r>
      <w:proofErr w:type="spellStart"/>
      <w:r>
        <w:rPr>
          <w:color w:val="1A1A1A"/>
        </w:rPr>
        <w:t>إبستمولوجية</w:t>
      </w:r>
      <w:proofErr w:type="spellEnd"/>
      <w:r>
        <w:rPr>
          <w:color w:val="1A1A1A"/>
        </w:rPr>
        <w:t xml:space="preserve"> مع هذه الرؤى المشتركة في نقطة انطلاقها لا فقط في أدواتها. فهو ينطلق من فرضية مغايرة: الذنب في جوهره ليس مرضاً، بل هو طاقة وجودية محتجزة وبوصلة أخلاقية انحرفت عن مسارها. والعلاج، بالتالي، ليس إزالة هذه الطاقة، بل تحويلها وتوجيهها نحو الخير. وهذا، كما يعبَّر عنه في الدليل النظري، هو الفرق بين العلاج الذي يُدمّر والعلاج الذي يَبني، وبين التخلص من المعاناة واستثمارها في النمو والإحسان [706، 903، 1137].</w:t>
      </w:r>
    </w:p>
    <w:tbl>
      <w:tblPr>
        <w:tblW w:w="5000" w:type="pct"/>
        <w:tblBorders>
          <w:top w:val="single" w:sz="8" w:space="0" w:color="0F6B72"/>
          <w:left w:val="single" w:sz="8" w:space="0" w:color="0F6B72"/>
          <w:bottom w:val="single" w:sz="8" w:space="0" w:color="0F6B72"/>
          <w:right w:val="single" w:sz="8" w:space="0" w:color="0F6B72"/>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006"/>
      </w:tblGrid>
      <w:tr w:rsidR="006428B6" w14:paraId="3FA062E4" w14:textId="77777777">
        <w:tblPrEx>
          <w:tblCellMar>
            <w:top w:w="0" w:type="dxa"/>
            <w:bottom w:w="0" w:type="dxa"/>
          </w:tblCellMar>
        </w:tblPrEx>
        <w:tc>
          <w:tcPr>
            <w:tcW w:w="0" w:type="auto"/>
            <w:shd w:val="clear" w:color="auto" w:fill="E7F1F1"/>
            <w:tcMar>
              <w:top w:w="180" w:type="dxa"/>
              <w:left w:w="280" w:type="dxa"/>
              <w:bottom w:w="180" w:type="dxa"/>
              <w:right w:w="280" w:type="dxa"/>
            </w:tcMar>
          </w:tcPr>
          <w:p w14:paraId="72D3529E" w14:textId="77777777" w:rsidR="006428B6" w:rsidRDefault="00506DAD" w:rsidP="00963ECC">
            <w:pPr>
              <w:spacing w:after="100"/>
            </w:pPr>
            <w:r>
              <w:rPr>
                <w:b/>
                <w:bCs/>
                <w:color w:val="0F6B72"/>
              </w:rPr>
              <w:t>ملاحظة منهجية حول الاستشهاد</w:t>
            </w:r>
          </w:p>
          <w:p w14:paraId="301563BF" w14:textId="77777777" w:rsidR="006428B6" w:rsidRDefault="00506DAD" w:rsidP="00963ECC">
            <w:r>
              <w:rPr>
                <w:color w:val="1A1A1A"/>
                <w:sz w:val="22"/>
                <w:szCs w:val="22"/>
              </w:rPr>
              <w:t xml:space="preserve">تحافظ هذه الدراسة على الترقيم الأصلي للإحالات كما ورد في الدليل النظري </w:t>
            </w:r>
            <w:proofErr w:type="spellStart"/>
            <w:r>
              <w:rPr>
                <w:color w:val="1A1A1A"/>
                <w:sz w:val="22"/>
                <w:szCs w:val="22"/>
              </w:rPr>
              <w:t>لـTLRT</w:t>
            </w:r>
            <w:proofErr w:type="spellEnd"/>
            <w:r>
              <w:rPr>
                <w:color w:val="1A1A1A"/>
                <w:sz w:val="22"/>
                <w:szCs w:val="22"/>
              </w:rPr>
              <w:t xml:space="preserve"> عند نقل نصوصه أو الإشارة المباشرة إليه [مثل: 706، 903]. أما عند مقارنة النموذج بأدبيات غربية أو تراثية، فتُستخدم صيغة (المؤلف، سنة النشر) وفق قائمة المراجع الملحقة، حرصاً على دقة الإسناد وتمييز مصدر كل فكرة.</w:t>
            </w:r>
          </w:p>
        </w:tc>
      </w:tr>
    </w:tbl>
    <w:p w14:paraId="06FE89C4" w14:textId="77777777" w:rsidR="006428B6" w:rsidRDefault="006428B6" w:rsidP="00963ECC">
      <w:pPr>
        <w:spacing w:after="200"/>
      </w:pPr>
    </w:p>
    <w:p w14:paraId="6DF7DBDF" w14:textId="77777777" w:rsidR="006428B6" w:rsidRDefault="00506DAD" w:rsidP="00963ECC">
      <w:pPr>
        <w:spacing w:after="200" w:line="360" w:lineRule="auto"/>
      </w:pPr>
      <w:r>
        <w:rPr>
          <w:color w:val="1A1A1A"/>
        </w:rPr>
        <w:t xml:space="preserve">ولا يعني هذا الانطلاق المغاير أن TLRT يقف خارج الحقل الأكاديمي للعلاج النفسي المقارن، بل يضعه – كما سيتضح في الفصل الرابع – في موقع بيني بين تقليد “علم النفس الإيجابي/ما بعد الصدمة” الذي يرى في الشدائد فرصة للنمو، وتقليد “علم النفس الديني/الروحي” الذي يوظّف المرجعية </w:t>
      </w:r>
      <w:proofErr w:type="spellStart"/>
      <w:r>
        <w:rPr>
          <w:color w:val="1A1A1A"/>
        </w:rPr>
        <w:t>الوحيانية</w:t>
      </w:r>
      <w:proofErr w:type="spellEnd"/>
      <w:r>
        <w:rPr>
          <w:color w:val="1A1A1A"/>
        </w:rPr>
        <w:t xml:space="preserve"> كأداة علاجية أصيلة لا كإضافة تجميلية.</w:t>
      </w:r>
    </w:p>
    <w:p w14:paraId="58BAF8A4" w14:textId="77777777" w:rsidR="006428B6" w:rsidRDefault="00506DAD" w:rsidP="00963ECC">
      <w:pPr>
        <w:pStyle w:val="1"/>
        <w:pBdr>
          <w:bottom w:val="single" w:sz="12" w:space="8" w:color="B8860B"/>
        </w:pBdr>
        <w:spacing w:before="400" w:after="200"/>
      </w:pPr>
      <w:r>
        <w:rPr>
          <w:b/>
          <w:bCs/>
          <w:color w:val="1B2A4A"/>
          <w:sz w:val="34"/>
          <w:szCs w:val="34"/>
        </w:rPr>
        <w:t>الفصل الأول: الفلسفة المركزية للنموذج — الأنطولوجيا والغائية</w:t>
      </w:r>
    </w:p>
    <w:p w14:paraId="17E1845F" w14:textId="77777777" w:rsidR="006428B6" w:rsidRDefault="00506DAD" w:rsidP="00963ECC">
      <w:pPr>
        <w:pStyle w:val="2"/>
        <w:spacing w:before="400" w:after="200"/>
      </w:pPr>
      <w:r>
        <w:rPr>
          <w:b/>
          <w:bCs/>
          <w:color w:val="0F6B72"/>
          <w:sz w:val="30"/>
          <w:szCs w:val="30"/>
        </w:rPr>
        <w:t>1.1 الرؤية الأنطولوجية: الإنسان خليفة وطاقة وأمانة</w:t>
      </w:r>
    </w:p>
    <w:p w14:paraId="419FED5B" w14:textId="77777777" w:rsidR="006428B6" w:rsidRDefault="00506DAD" w:rsidP="00963ECC">
      <w:pPr>
        <w:spacing w:after="200" w:line="360" w:lineRule="auto"/>
      </w:pPr>
      <w:r>
        <w:rPr>
          <w:color w:val="1A1A1A"/>
        </w:rPr>
        <w:t>يقوم TLRT على رؤية أنطولوجية محددة للإنسان، مستمدة من القرآن الكريم والتراث الإسلامي. فالإنسان في هذه الرؤية ليس مجرد كائن بيولوجي أو نفسي أو اجتماعي، بل هو – قبل ذلك – خليفة في الأرض وحامل أمانة وروح من نفخة الله. وهذه الأنطولوجيا، كما يؤكد الزراع، تقلب المعادلة العلاجية رأساً على عقب: المريض هنا ليس ضحية لمرضه، بل هو “خليفة مؤتمن يعاني من انسداد مؤقت في قنوات عطائه” [904، 913، 988]. والمرض، بالتالي، ليس هوية، بل هو حالة عارضة واختبار وفرصة.</w:t>
      </w:r>
    </w:p>
    <w:p w14:paraId="2F61826B" w14:textId="702DF4D3" w:rsidR="006428B6" w:rsidRDefault="00506DAD" w:rsidP="00963ECC">
      <w:pPr>
        <w:spacing w:after="200" w:line="360" w:lineRule="auto"/>
      </w:pPr>
      <w:r>
        <w:rPr>
          <w:color w:val="1A1A1A"/>
        </w:rPr>
        <w:t xml:space="preserve">ولمقارنة هذا الموقف الأنطولوجي بأدبيات العلاج الوجودي الغربي: يطرح </w:t>
      </w:r>
      <w:proofErr w:type="spellStart"/>
      <w:r>
        <w:rPr>
          <w:color w:val="1A1A1A"/>
        </w:rPr>
        <w:t>إرفن</w:t>
      </w:r>
      <w:proofErr w:type="spellEnd"/>
      <w:r>
        <w:rPr>
          <w:color w:val="1A1A1A"/>
        </w:rPr>
        <w:t xml:space="preserve"> </w:t>
      </w:r>
      <w:proofErr w:type="spellStart"/>
      <w:r>
        <w:rPr>
          <w:color w:val="1A1A1A"/>
        </w:rPr>
        <w:t>يالوم</w:t>
      </w:r>
      <w:proofErr w:type="spellEnd"/>
      <w:r>
        <w:rPr>
          <w:color w:val="1A1A1A"/>
        </w:rPr>
        <w:t xml:space="preserve"> في كتابه التأسيسي “العلاج الوجودي” أربع “معطيات نهائية” (</w:t>
      </w:r>
      <w:proofErr w:type="spellStart"/>
      <w:r>
        <w:rPr>
          <w:color w:val="1A1A1A"/>
        </w:rPr>
        <w:t>Ultimate</w:t>
      </w:r>
      <w:proofErr w:type="spellEnd"/>
      <w:r>
        <w:rPr>
          <w:color w:val="1A1A1A"/>
        </w:rPr>
        <w:t xml:space="preserve"> </w:t>
      </w:r>
      <w:proofErr w:type="spellStart"/>
      <w:r>
        <w:rPr>
          <w:color w:val="1A1A1A"/>
        </w:rPr>
        <w:t>Concerns</w:t>
      </w:r>
      <w:proofErr w:type="spellEnd"/>
      <w:r>
        <w:rPr>
          <w:color w:val="1A1A1A"/>
        </w:rPr>
        <w:t xml:space="preserve">) </w:t>
      </w:r>
      <w:proofErr w:type="spellStart"/>
      <w:r>
        <w:rPr>
          <w:color w:val="1A1A1A"/>
        </w:rPr>
        <w:t>يواجهها</w:t>
      </w:r>
      <w:proofErr w:type="spellEnd"/>
      <w:r>
        <w:rPr>
          <w:color w:val="1A1A1A"/>
        </w:rPr>
        <w:t xml:space="preserve"> كل إنسان بوصفه كائناً واعياً بمحدوديته: الموت، والحرية، والعزلة الوجودية، </w:t>
      </w:r>
      <w:proofErr w:type="spellStart"/>
      <w:r>
        <w:rPr>
          <w:color w:val="1A1A1A"/>
        </w:rPr>
        <w:t>واللامعنى</w:t>
      </w:r>
      <w:proofErr w:type="spellEnd"/>
      <w:r>
        <w:rPr>
          <w:color w:val="1A1A1A"/>
        </w:rPr>
        <w:t xml:space="preserve"> (</w:t>
      </w:r>
      <w:proofErr w:type="spellStart"/>
      <w:r>
        <w:rPr>
          <w:color w:val="1A1A1A"/>
        </w:rPr>
        <w:t>Yalom</w:t>
      </w:r>
      <w:proofErr w:type="spellEnd"/>
      <w:r>
        <w:rPr>
          <w:color w:val="1A1A1A"/>
        </w:rPr>
        <w:t xml:space="preserve">, 1980). وتنبني معالجة </w:t>
      </w:r>
      <w:proofErr w:type="spellStart"/>
      <w:r>
        <w:rPr>
          <w:color w:val="1A1A1A"/>
        </w:rPr>
        <w:t>يالوم</w:t>
      </w:r>
      <w:proofErr w:type="spellEnd"/>
      <w:r>
        <w:rPr>
          <w:color w:val="1A1A1A"/>
        </w:rPr>
        <w:t xml:space="preserve"> على مواجهة هذه المعطيات مباشرة دون تخفيف ميتافيزيقي. أما TLRT فيقدّم – بدلاً من هذه المعطيات الأربع القاتمة نسبياً – معطى خامساً تأسيسياً مضاداً: الاستخلاف، أي أن الإنسان ليس مرمياً في عالم عبثي </w:t>
      </w:r>
      <w:r>
        <w:rPr>
          <w:color w:val="1A1A1A"/>
        </w:rPr>
        <w:t xml:space="preserve"> بالمعنى </w:t>
      </w:r>
      <w:proofErr w:type="spellStart"/>
      <w:r>
        <w:rPr>
          <w:color w:val="1A1A1A"/>
        </w:rPr>
        <w:t>الهايدغري</w:t>
      </w:r>
      <w:proofErr w:type="spellEnd"/>
      <w:r>
        <w:rPr>
          <w:color w:val="1A1A1A"/>
        </w:rPr>
        <w:t xml:space="preserve"> الذي تستلهمه الوجودية)، بل هو موضوع ثقة (أمانة) في عالم ذي غاية. هذا الفارق ليس تفصيلاً عقدياً هامشياً، بل هو نقطة الانقسام الجوهرية بين علاج وجودي “عبثي/محايد قيمياً” وعلاج وجودي “استخلافي/موجَّه غائياً”.</w:t>
      </w:r>
    </w:p>
    <w:p w14:paraId="4AD50BDA" w14:textId="77777777" w:rsidR="006428B6" w:rsidRDefault="00506DAD" w:rsidP="00963ECC">
      <w:pPr>
        <w:pStyle w:val="2"/>
        <w:spacing w:before="400" w:after="200"/>
      </w:pPr>
      <w:r>
        <w:rPr>
          <w:b/>
          <w:bCs/>
          <w:color w:val="0F6B72"/>
          <w:sz w:val="30"/>
          <w:szCs w:val="30"/>
        </w:rPr>
        <w:t>1.2 الرؤية الغائية: الاستخلاف والإحسان والنفس المطمئنة</w:t>
      </w:r>
    </w:p>
    <w:p w14:paraId="6A3480E3" w14:textId="77777777" w:rsidR="006428B6" w:rsidRDefault="00506DAD" w:rsidP="00963ECC">
      <w:pPr>
        <w:spacing w:after="200" w:line="360" w:lineRule="auto"/>
      </w:pPr>
      <w:r>
        <w:rPr>
          <w:color w:val="1A1A1A"/>
        </w:rPr>
        <w:t>الغاية القصوى من TLRT، كما يُصرَّح في الدليل، ليست مجرد تخفيف الألم أو استعادة الأداء الوظيفي، بل هي – أسمى من ذلك – الوصول إلى مقام “النفس المطمئنة” وتحقيق “الاستخلاف” وتحويل “الوصمة” إلى “رسالة” [584، 708، 911]. وهذه الغاية تتجاوز الهدف العلاجي التقليدي (الشفاء من المرض) إلى هدف وجودي (تحقيق الفلاح والرضوان). إنها، كما يُعبَّر، رحلة من الحرث (تفكيك العقد) إلى الحصاد (الاستخلاف والإحسان) [904، 913].</w:t>
      </w:r>
    </w:p>
    <w:p w14:paraId="7B41645F" w14:textId="34DFEF63" w:rsidR="006428B6" w:rsidRDefault="00506DAD" w:rsidP="00963ECC">
      <w:pPr>
        <w:spacing w:after="200" w:line="360" w:lineRule="auto"/>
      </w:pPr>
      <w:r>
        <w:rPr>
          <w:color w:val="1A1A1A"/>
        </w:rPr>
        <w:t>ويمكن هنا عقد مقارنة مثمرة مع “علاج المعنى” (</w:t>
      </w:r>
      <w:proofErr w:type="spellStart"/>
      <w:r>
        <w:rPr>
          <w:color w:val="1A1A1A"/>
        </w:rPr>
        <w:t>Logotherapy</w:t>
      </w:r>
      <w:proofErr w:type="spellEnd"/>
      <w:r>
        <w:rPr>
          <w:color w:val="1A1A1A"/>
        </w:rPr>
        <w:t xml:space="preserve">) الذي أسسه فيكتور </w:t>
      </w:r>
      <w:proofErr w:type="spellStart"/>
      <w:r>
        <w:rPr>
          <w:color w:val="1A1A1A"/>
        </w:rPr>
        <w:t>فرانكل</w:t>
      </w:r>
      <w:proofErr w:type="spellEnd"/>
      <w:r>
        <w:rPr>
          <w:color w:val="1A1A1A"/>
        </w:rPr>
        <w:t xml:space="preserve">، والقائم على أطروحة مركزية مفادها أن “إرادة المعنى” </w:t>
      </w:r>
      <w:r>
        <w:rPr>
          <w:color w:val="1A1A1A"/>
        </w:rPr>
        <w:t>هي الدافع النفسي الأعمق للإنسان، وأن المعاناة نفسها يمكن أن تصبح محتملة بل ومثمرة إذا اكتشف المرء فيها معنى (</w:t>
      </w:r>
      <w:proofErr w:type="spellStart"/>
      <w:r>
        <w:rPr>
          <w:color w:val="1A1A1A"/>
        </w:rPr>
        <w:t>Frankl</w:t>
      </w:r>
      <w:proofErr w:type="spellEnd"/>
      <w:r>
        <w:rPr>
          <w:color w:val="1A1A1A"/>
        </w:rPr>
        <w:t xml:space="preserve">, 1959). يلتقي TLRT مع </w:t>
      </w:r>
      <w:proofErr w:type="spellStart"/>
      <w:r>
        <w:rPr>
          <w:color w:val="1A1A1A"/>
        </w:rPr>
        <w:t>فرانكل</w:t>
      </w:r>
      <w:proofErr w:type="spellEnd"/>
      <w:r>
        <w:rPr>
          <w:color w:val="1A1A1A"/>
        </w:rPr>
        <w:t xml:space="preserve"> في رفض اختزال المعاناة إلى عرَض يُستأصل، وفي التأكيد على أن اكتشاف معنى للألم يُحوّله. غير أن </w:t>
      </w:r>
      <w:proofErr w:type="spellStart"/>
      <w:r>
        <w:rPr>
          <w:color w:val="1A1A1A"/>
        </w:rPr>
        <w:t>فرانكل</w:t>
      </w:r>
      <w:proofErr w:type="spellEnd"/>
      <w:r>
        <w:rPr>
          <w:color w:val="1A1A1A"/>
        </w:rPr>
        <w:t xml:space="preserve"> يترك مصدر المعنى مفتوحاً لاختيار الفرد الحر (العمل، الحب، الموقف من المعاناة الحتمية)، بينما يحدد TLRT مصدر المعنى </w:t>
      </w:r>
      <w:proofErr w:type="spellStart"/>
      <w:r>
        <w:rPr>
          <w:color w:val="1A1A1A"/>
        </w:rPr>
        <w:t>ومرجعيته</w:t>
      </w:r>
      <w:proofErr w:type="spellEnd"/>
      <w:r>
        <w:rPr>
          <w:color w:val="1A1A1A"/>
        </w:rPr>
        <w:t xml:space="preserve"> النهائية سلفاً: الاستخلاف والإحسان كما تحددهما النصوص الشرعية. هذا التحديد المسبق للغاية هو ما يمنح TLRT طابعه الديني الأصيل، لكنه في الوقت نف</w:t>
      </w:r>
      <w:r>
        <w:rPr>
          <w:color w:val="1A1A1A"/>
        </w:rPr>
        <w:t>سه يثير – كما سيُناقَش في الفصل السادس – سؤالاً منهجياً حول قابلية النموذج للتطبيق مع فئات لا تشترك في هذه المرجعية العقدية.</w:t>
      </w:r>
    </w:p>
    <w:p w14:paraId="16B47D89" w14:textId="77777777" w:rsidR="006428B6" w:rsidRDefault="00506DAD" w:rsidP="00963ECC">
      <w:pPr>
        <w:pStyle w:val="2"/>
        <w:spacing w:before="400" w:after="200"/>
      </w:pPr>
      <w:r>
        <w:rPr>
          <w:b/>
          <w:bCs/>
          <w:color w:val="0F6B72"/>
          <w:sz w:val="30"/>
          <w:szCs w:val="30"/>
        </w:rPr>
        <w:t>1.3 المبدأ الحاكم: الكينتسوغي النفسي — ترميم الجرح بالذهب</w:t>
      </w:r>
    </w:p>
    <w:p w14:paraId="2540AF56" w14:textId="77777777" w:rsidR="006428B6" w:rsidRDefault="00506DAD" w:rsidP="00963ECC">
      <w:pPr>
        <w:spacing w:after="200" w:line="360" w:lineRule="auto"/>
      </w:pPr>
      <w:r>
        <w:rPr>
          <w:color w:val="1A1A1A"/>
        </w:rPr>
        <w:t>المبدأ المنهجي الأساسي في TLRT هو “الكينتسوغي النفسي”، المستعار من الفن الياباني لترميم الفخار المكسور بالذهب. الفلسفة هنا هي أن الجرح والخطأ لا يُخفى ولا يُنكر، بل يُرمَّم ويُحوَّل إلى مصدر قوة وتميز. المريض بعد العلاج لا يعود إلى ما كان عليه قبل الصدمة، بل يصبح – بفضل الجرح المرمَّم – أجمل وأقوى وأكثر حكمة. وهذا، كما يجادل الزراع، هو جوهر التحول الوجودي: تحويل الخجل إلى فخر، والألم إلى معنى [593، 650، 910].</w:t>
      </w:r>
    </w:p>
    <w:tbl>
      <w:tblPr>
        <w:tblW w:w="5000" w:type="pct"/>
        <w:tblBorders>
          <w:top w:val="single" w:sz="16" w:space="0" w:color="B8860B"/>
          <w:left w:val="single" w:sz="16" w:space="0" w:color="B8860B"/>
          <w:bottom w:val="single" w:sz="16" w:space="0" w:color="B8860B"/>
          <w:right w:val="single" w:sz="16"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86"/>
      </w:tblGrid>
      <w:tr w:rsidR="006428B6" w14:paraId="4CCD06D7" w14:textId="77777777">
        <w:tblPrEx>
          <w:tblCellMar>
            <w:top w:w="0" w:type="dxa"/>
            <w:bottom w:w="0" w:type="dxa"/>
          </w:tblCellMar>
        </w:tblPrEx>
        <w:tc>
          <w:tcPr>
            <w:tcW w:w="0" w:type="auto"/>
            <w:shd w:val="clear" w:color="auto" w:fill="F4E8C1"/>
            <w:tcMar>
              <w:top w:w="200" w:type="dxa"/>
              <w:left w:w="300" w:type="dxa"/>
              <w:bottom w:w="200" w:type="dxa"/>
              <w:right w:w="300" w:type="dxa"/>
            </w:tcMar>
          </w:tcPr>
          <w:p w14:paraId="3D93436B" w14:textId="77777777" w:rsidR="006428B6" w:rsidRDefault="00506DAD" w:rsidP="00963ECC">
            <w:pPr>
              <w:spacing w:after="100"/>
            </w:pPr>
            <w:r>
              <w:rPr>
                <w:b/>
                <w:bCs/>
                <w:color w:val="1B2A4A"/>
                <w:sz w:val="26"/>
                <w:szCs w:val="26"/>
              </w:rPr>
              <w:t>“فَإِنَّ مَعَ الْعُسْرِ يُسْرًا (5) إِنَّ مَعَ الْعُسْرِ يُسْرًا (6)”</w:t>
            </w:r>
          </w:p>
          <w:p w14:paraId="558E3D28" w14:textId="77777777" w:rsidR="006428B6" w:rsidRDefault="00506DAD" w:rsidP="00963ECC">
            <w:r>
              <w:rPr>
                <w:i/>
                <w:iCs/>
                <w:color w:val="0F6B72"/>
                <w:sz w:val="20"/>
                <w:szCs w:val="20"/>
              </w:rPr>
              <w:t>سورة الشرح: 5-6 — يستدعيها الدليل النظري كسند قرآني لمبدأ الكينتسوغي النفسي</w:t>
            </w:r>
          </w:p>
        </w:tc>
      </w:tr>
    </w:tbl>
    <w:p w14:paraId="708C41BD" w14:textId="77777777" w:rsidR="006428B6" w:rsidRDefault="006428B6" w:rsidP="00963ECC">
      <w:pPr>
        <w:spacing w:after="200"/>
      </w:pPr>
    </w:p>
    <w:p w14:paraId="4FC2F57B" w14:textId="77777777" w:rsidR="006428B6" w:rsidRDefault="00506DAD" w:rsidP="00963ECC">
      <w:pPr>
        <w:spacing w:after="200" w:line="360" w:lineRule="auto"/>
      </w:pPr>
      <w:r>
        <w:rPr>
          <w:color w:val="1A1A1A"/>
        </w:rPr>
        <w:t>ويتقاطع هذا المبدأ مع تيار واسع في أدبيات علم النفس الإيجابي المعاصر يُعرف بـ“النمو ما بعد الصدمة” (</w:t>
      </w:r>
      <w:proofErr w:type="spellStart"/>
      <w:r>
        <w:rPr>
          <w:color w:val="1A1A1A"/>
        </w:rPr>
        <w:t>Post-Traumatic</w:t>
      </w:r>
      <w:proofErr w:type="spellEnd"/>
      <w:r>
        <w:rPr>
          <w:color w:val="1A1A1A"/>
        </w:rPr>
        <w:t xml:space="preserve"> </w:t>
      </w:r>
      <w:proofErr w:type="spellStart"/>
      <w:r>
        <w:rPr>
          <w:color w:val="1A1A1A"/>
        </w:rPr>
        <w:t>Growth</w:t>
      </w:r>
      <w:proofErr w:type="spellEnd"/>
      <w:r>
        <w:rPr>
          <w:color w:val="1A1A1A"/>
        </w:rPr>
        <w:t xml:space="preserve">)، والذي يوثّق كيف يمكن للأزمات الوجودية الكبرى أن تفضي – لدى نسبة معتبرة من الناجين منها – إلى تحسّن ملموس في تقدير الحياة، والعلاقات، والقوة الشخصية، والمعنى الروحي. يضيف TLRT إلى هذا التيار العام إطاراً تفسيرياً دينياً محدداً (لماذا يحدث النمو وكيف يُوجَّه)، بدلاً من الاكتفاء بتوصيفه </w:t>
      </w:r>
      <w:proofErr w:type="spellStart"/>
      <w:r>
        <w:rPr>
          <w:color w:val="1A1A1A"/>
        </w:rPr>
        <w:t>ظاهراتياً</w:t>
      </w:r>
      <w:proofErr w:type="spellEnd"/>
      <w:r>
        <w:rPr>
          <w:color w:val="1A1A1A"/>
        </w:rPr>
        <w:t xml:space="preserve"> كما تفعل غالبية الدراسات العلمانية في هذا الحقل.</w:t>
      </w:r>
    </w:p>
    <w:p w14:paraId="05505943" w14:textId="77777777" w:rsidR="006428B6" w:rsidRDefault="00506DAD" w:rsidP="00963ECC">
      <w:pPr>
        <w:pStyle w:val="2"/>
        <w:spacing w:before="400" w:after="200"/>
      </w:pPr>
      <w:r>
        <w:rPr>
          <w:b/>
          <w:bCs/>
          <w:color w:val="0F6B72"/>
          <w:sz w:val="30"/>
          <w:szCs w:val="30"/>
        </w:rPr>
        <w:t xml:space="preserve">1.4 الأبعاد الثلاثة للنفس ومقارنتها بالنموذج البنيوي </w:t>
      </w:r>
      <w:proofErr w:type="spellStart"/>
      <w:r>
        <w:rPr>
          <w:b/>
          <w:bCs/>
          <w:color w:val="0F6B72"/>
          <w:sz w:val="30"/>
          <w:szCs w:val="30"/>
        </w:rPr>
        <w:t>الفرويدي</w:t>
      </w:r>
      <w:proofErr w:type="spellEnd"/>
    </w:p>
    <w:p w14:paraId="767D1031" w14:textId="77777777" w:rsidR="006428B6" w:rsidRDefault="00506DAD" w:rsidP="00963ECC">
      <w:pPr>
        <w:spacing w:after="200" w:line="360" w:lineRule="auto"/>
      </w:pPr>
      <w:r>
        <w:rPr>
          <w:color w:val="1A1A1A"/>
        </w:rPr>
        <w:t xml:space="preserve">يستند TLRT إلى التصنيف القرآني الثلاثي للنفس: النفس الأمّارة بالسوء، والنفس اللوامة، والنفس المطمئنة. وقد يُغري هذا التصنيف بمقارنته سطحياً بالنموذج البنيوي </w:t>
      </w:r>
      <w:proofErr w:type="spellStart"/>
      <w:r>
        <w:rPr>
          <w:color w:val="1A1A1A"/>
        </w:rPr>
        <w:t>الفرويدي</w:t>
      </w:r>
      <w:proofErr w:type="spellEnd"/>
      <w:r>
        <w:rPr>
          <w:color w:val="1A1A1A"/>
        </w:rPr>
        <w:t xml:space="preserve"> (الهو </w:t>
      </w:r>
      <w:proofErr w:type="spellStart"/>
      <w:r>
        <w:rPr>
          <w:color w:val="1A1A1A"/>
        </w:rPr>
        <w:t>Id</w:t>
      </w:r>
      <w:proofErr w:type="spellEnd"/>
      <w:r>
        <w:rPr>
          <w:color w:val="1A1A1A"/>
        </w:rPr>
        <w:t xml:space="preserve">، </w:t>
      </w:r>
      <w:proofErr w:type="spellStart"/>
      <w:r>
        <w:rPr>
          <w:color w:val="1A1A1A"/>
        </w:rPr>
        <w:t>والأنا</w:t>
      </w:r>
      <w:proofErr w:type="spellEnd"/>
      <w:r>
        <w:rPr>
          <w:color w:val="1A1A1A"/>
        </w:rPr>
        <w:t xml:space="preserve"> </w:t>
      </w:r>
      <w:proofErr w:type="spellStart"/>
      <w:r>
        <w:rPr>
          <w:color w:val="1A1A1A"/>
        </w:rPr>
        <w:t>Ego</w:t>
      </w:r>
      <w:proofErr w:type="spellEnd"/>
      <w:r>
        <w:rPr>
          <w:color w:val="1A1A1A"/>
        </w:rPr>
        <w:t xml:space="preserve">، </w:t>
      </w:r>
      <w:proofErr w:type="spellStart"/>
      <w:r>
        <w:rPr>
          <w:color w:val="1A1A1A"/>
        </w:rPr>
        <w:t>والأنا</w:t>
      </w:r>
      <w:proofErr w:type="spellEnd"/>
      <w:r>
        <w:rPr>
          <w:color w:val="1A1A1A"/>
        </w:rPr>
        <w:t xml:space="preserve"> الأعلى </w:t>
      </w:r>
      <w:proofErr w:type="spellStart"/>
      <w:r>
        <w:rPr>
          <w:color w:val="1A1A1A"/>
        </w:rPr>
        <w:t>Superego</w:t>
      </w:r>
      <w:proofErr w:type="spellEnd"/>
      <w:r>
        <w:rPr>
          <w:color w:val="1A1A1A"/>
        </w:rPr>
        <w:t xml:space="preserve">)، لكن الفارق الجوهري بينهما تكويني لا وصفي فحسب: فالنموذج </w:t>
      </w:r>
      <w:proofErr w:type="spellStart"/>
      <w:r>
        <w:rPr>
          <w:color w:val="1A1A1A"/>
        </w:rPr>
        <w:t>الفرويدي</w:t>
      </w:r>
      <w:proofErr w:type="spellEnd"/>
      <w:r>
        <w:rPr>
          <w:color w:val="1A1A1A"/>
        </w:rPr>
        <w:t xml:space="preserve"> نموذج صراعي بنيوي ثابت (صراع دائم بين قوى متعارضة داخل جهاز نفسي مغلق)، بينما التصنيف القرآني – كما يوظّفه TLRT – نموذج مقامي تطوري: النفس ذاتها ترتقي عبر مراتب (من الأمارة إلى اللوامة إلى المطمئنة) في مسار تزكية له غاية نهائية واضحة. بعبارة أخرى: الأنا الأعلى </w:t>
      </w:r>
      <w:proofErr w:type="spellStart"/>
      <w:r>
        <w:rPr>
          <w:color w:val="1A1A1A"/>
        </w:rPr>
        <w:t>الفرويدي</w:t>
      </w:r>
      <w:proofErr w:type="spellEnd"/>
      <w:r>
        <w:rPr>
          <w:color w:val="1A1A1A"/>
        </w:rPr>
        <w:t xml:space="preserve"> لا “يتحول” إلى الهو ولا العكس، بينما “النفس اللوامة” في التصور القرآني هي بالضبط النفس الأمارة وهي في طور الترقي. هذا الف</w:t>
      </w:r>
      <w:r>
        <w:rPr>
          <w:color w:val="1A1A1A"/>
        </w:rPr>
        <w:t>ارق البنيوي هو ما يفسر لماذا يوظِّف TLRT “اللوامة” كبوصلة يُعاد ضبطها لا كجهاز رقابي يُساوَم عليه أو يُفكَّك، كما سيتضح في الفصل الثالث.</w:t>
      </w:r>
    </w:p>
    <w:p w14:paraId="36E31220" w14:textId="77777777" w:rsidR="006428B6" w:rsidRDefault="00506DAD" w:rsidP="00963ECC">
      <w:r>
        <w:br w:type="page"/>
      </w:r>
    </w:p>
    <w:p w14:paraId="403B25E0" w14:textId="77777777" w:rsidR="006428B6" w:rsidRDefault="00506DAD" w:rsidP="00963ECC">
      <w:pPr>
        <w:pStyle w:val="1"/>
        <w:pBdr>
          <w:bottom w:val="single" w:sz="12" w:space="8" w:color="B8860B"/>
        </w:pBdr>
        <w:spacing w:before="400" w:after="200"/>
      </w:pPr>
      <w:r>
        <w:rPr>
          <w:b/>
          <w:bCs/>
          <w:color w:val="1B2A4A"/>
          <w:sz w:val="34"/>
          <w:szCs w:val="34"/>
        </w:rPr>
        <w:t>الفصل الثاني: مسار التحول الخماسي — الخطوات العملية</w:t>
      </w:r>
    </w:p>
    <w:p w14:paraId="3828CA75" w14:textId="77777777" w:rsidR="006428B6" w:rsidRDefault="00506DAD" w:rsidP="00963ECC">
      <w:pPr>
        <w:spacing w:after="200" w:line="360" w:lineRule="auto"/>
      </w:pPr>
      <w:r>
        <w:rPr>
          <w:color w:val="1A1A1A"/>
        </w:rPr>
        <w:t>يُترجم TLRT فلسفته المركزية إلى بروتوكول إكلينيكي من خمس مراحل متتابعة، لا تسير بالضرورة في خط مستقيم صارم بل قد تتطلب عودة دورية إلى مراحل سابقة كلما استجدّ عمق جديد في المعالجة. وفيما يلي تفكيك تحليلي معمّق لكل مرحلة.</w:t>
      </w:r>
    </w:p>
    <w:p w14:paraId="0FEBBA4E" w14:textId="77777777" w:rsidR="006428B6" w:rsidRDefault="00506DAD" w:rsidP="00963ECC">
      <w:pPr>
        <w:pStyle w:val="2"/>
        <w:spacing w:before="400" w:after="200"/>
      </w:pPr>
      <w:r>
        <w:rPr>
          <w:b/>
          <w:bCs/>
          <w:color w:val="0F6B72"/>
          <w:sz w:val="30"/>
          <w:szCs w:val="30"/>
        </w:rPr>
        <w:t>2.1 المرحلة الأولى: التشخيص الوجودي — تفكيك العقدة وتمييز الديون</w:t>
      </w:r>
    </w:p>
    <w:p w14:paraId="615706F8" w14:textId="77777777" w:rsidR="006428B6" w:rsidRDefault="00506DAD" w:rsidP="00963ECC">
      <w:pPr>
        <w:spacing w:after="200" w:line="360" w:lineRule="auto"/>
      </w:pPr>
      <w:r>
        <w:rPr>
          <w:color w:val="1A1A1A"/>
        </w:rPr>
        <w:t>الهدف في هذه المرحلة هو التمييز بين الذنب الوظيفي (المحفِّز للإصلاح) والذنب المرضي (المعيق للحياة) [598، 741]. والأداة المركزية هنا هي “خريطة الدين النفسي”، التي تصنّف الديون إلى:</w:t>
      </w:r>
    </w:p>
    <w:p w14:paraId="62B3409E" w14:textId="77777777" w:rsidR="006428B6" w:rsidRDefault="00506DAD" w:rsidP="00963ECC">
      <w:pPr>
        <w:spacing w:after="200" w:line="360" w:lineRule="auto"/>
        <w:ind w:left="400"/>
      </w:pPr>
      <w:r>
        <w:rPr>
          <w:color w:val="1A1A1A"/>
        </w:rPr>
        <w:t>• ديون حقيقية: أفعال ملموسة تتطلب إصلاحاً أو رداً للمظالم [600، 707].</w:t>
      </w:r>
    </w:p>
    <w:p w14:paraId="11C2D627" w14:textId="77777777" w:rsidR="006428B6" w:rsidRDefault="00506DAD" w:rsidP="00963ECC">
      <w:pPr>
        <w:spacing w:after="200" w:line="360" w:lineRule="auto"/>
        <w:ind w:left="400"/>
      </w:pPr>
      <w:r>
        <w:rPr>
          <w:color w:val="1A1A1A"/>
        </w:rPr>
        <w:t>• ديون وهمية: توقعات مثالية مستحيلة يفرضها “الأنا الأعلى القاسي” [600، 707، 955].</w:t>
      </w:r>
    </w:p>
    <w:p w14:paraId="7A9E4718" w14:textId="77777777" w:rsidR="006428B6" w:rsidRDefault="00506DAD" w:rsidP="00963ECC">
      <w:pPr>
        <w:spacing w:after="200" w:line="360" w:lineRule="auto"/>
      </w:pPr>
      <w:r>
        <w:rPr>
          <w:color w:val="1A1A1A"/>
        </w:rPr>
        <w:t>هذا التمييز، كما يؤكد الزراع، هو الخطوة الأولى والأهم في التحرر: فالمريض يكتشف غالباً أن معظم معاناته ناتجة عن ديون وهمية لا أصل لها، وأن ما تبقى من ديون حقيقية قابل للسداد عبر الجسر السلوكي.</w:t>
      </w:r>
    </w:p>
    <w:p w14:paraId="251A5503" w14:textId="77777777" w:rsidR="006428B6" w:rsidRDefault="00506DAD" w:rsidP="00963ECC">
      <w:pPr>
        <w:spacing w:after="200" w:line="360" w:lineRule="auto"/>
      </w:pPr>
      <w:r>
        <w:rPr>
          <w:color w:val="1A1A1A"/>
        </w:rPr>
        <w:t xml:space="preserve">ويمكن هنا رسم خط توازٍ دقيق مع مفهوم “التشوهات المعرفية” عند </w:t>
      </w:r>
      <w:proofErr w:type="spellStart"/>
      <w:r>
        <w:rPr>
          <w:color w:val="1A1A1A"/>
        </w:rPr>
        <w:t>آرون</w:t>
      </w:r>
      <w:proofErr w:type="spellEnd"/>
      <w:r>
        <w:rPr>
          <w:color w:val="1A1A1A"/>
        </w:rPr>
        <w:t xml:space="preserve"> بيك، وتحديداً تشوّه “عبارات الوجوب” (</w:t>
      </w:r>
      <w:proofErr w:type="spellStart"/>
      <w:r>
        <w:rPr>
          <w:color w:val="1A1A1A"/>
        </w:rPr>
        <w:t>Should</w:t>
      </w:r>
      <w:proofErr w:type="spellEnd"/>
      <w:r>
        <w:rPr>
          <w:color w:val="1A1A1A"/>
        </w:rPr>
        <w:t xml:space="preserve"> </w:t>
      </w:r>
      <w:proofErr w:type="spellStart"/>
      <w:r>
        <w:rPr>
          <w:color w:val="1A1A1A"/>
        </w:rPr>
        <w:t>Statements</w:t>
      </w:r>
      <w:proofErr w:type="spellEnd"/>
      <w:r>
        <w:rPr>
          <w:color w:val="1A1A1A"/>
        </w:rPr>
        <w:t>) الذي يصف فرضَ الفرد على نفسه معايير جامدة غير واقعية ثم معاقبة ذاته عند الإخفاق في بلوغها (</w:t>
      </w:r>
      <w:proofErr w:type="spellStart"/>
      <w:r>
        <w:rPr>
          <w:color w:val="1A1A1A"/>
        </w:rPr>
        <w:t>Beck</w:t>
      </w:r>
      <w:proofErr w:type="spellEnd"/>
      <w:r>
        <w:rPr>
          <w:color w:val="1A1A1A"/>
        </w:rPr>
        <w:t>, 1976). “الديون الوهمية” في TLRT تكاد تكون الترجمة الإكلينيكية الدينية لهذا التشوّه المعرفي بعينه: كلاهما يحدد آلية توليد المعاناة (معيار مستحيل + عقاب ذاتي)، لكن أداة العلاج تختلف: العلاج المعرفي يفكك “الديْن الوهمي” بالتفنيد المنطقي وسؤال الدليل، بينما يفككه TLRT بالتأصيل الشرعي (بيان أن الشرع لم يوجب هذا المعيار أصلاً). الجدول التالي يلخّص أوجه التقا</w:t>
      </w:r>
      <w:r>
        <w:rPr>
          <w:color w:val="1A1A1A"/>
        </w:rPr>
        <w:t>رب والافتراق:</w:t>
      </w:r>
    </w:p>
    <w:tbl>
      <w:tblPr>
        <w:tblW w:w="5000" w:type="pct"/>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CellMar>
          <w:left w:w="10" w:type="dxa"/>
          <w:right w:w="10" w:type="dxa"/>
        </w:tblCellMar>
        <w:tblLook w:val="0000" w:firstRow="0" w:lastRow="0" w:firstColumn="0" w:lastColumn="0" w:noHBand="0" w:noVBand="0"/>
      </w:tblPr>
      <w:tblGrid>
        <w:gridCol w:w="1806"/>
        <w:gridCol w:w="3223"/>
        <w:gridCol w:w="3987"/>
      </w:tblGrid>
      <w:tr w:rsidR="006428B6" w14:paraId="758C6BF0" w14:textId="77777777">
        <w:tblPrEx>
          <w:tblCellMar>
            <w:top w:w="0" w:type="dxa"/>
            <w:bottom w:w="0" w:type="dxa"/>
          </w:tblCellMar>
        </w:tblPrEx>
        <w:tc>
          <w:tcPr>
            <w:tcW w:w="0" w:type="auto"/>
            <w:shd w:val="clear" w:color="auto" w:fill="1B2A4A"/>
            <w:tcMar>
              <w:top w:w="120" w:type="dxa"/>
              <w:left w:w="150" w:type="dxa"/>
              <w:bottom w:w="120" w:type="dxa"/>
              <w:right w:w="150" w:type="dxa"/>
            </w:tcMar>
            <w:vAlign w:val="center"/>
          </w:tcPr>
          <w:p w14:paraId="7E3C2023" w14:textId="77777777" w:rsidR="006428B6" w:rsidRDefault="00506DAD" w:rsidP="00963ECC">
            <w:r>
              <w:rPr>
                <w:b/>
                <w:bCs/>
                <w:color w:val="FFFFFF"/>
                <w:sz w:val="20"/>
                <w:szCs w:val="20"/>
              </w:rPr>
              <w:t>البُعد</w:t>
            </w:r>
          </w:p>
        </w:tc>
        <w:tc>
          <w:tcPr>
            <w:tcW w:w="0" w:type="auto"/>
            <w:shd w:val="clear" w:color="auto" w:fill="1B2A4A"/>
            <w:tcMar>
              <w:top w:w="120" w:type="dxa"/>
              <w:left w:w="150" w:type="dxa"/>
              <w:bottom w:w="120" w:type="dxa"/>
              <w:right w:w="150" w:type="dxa"/>
            </w:tcMar>
            <w:vAlign w:val="center"/>
          </w:tcPr>
          <w:p w14:paraId="63A9ECED" w14:textId="77777777" w:rsidR="006428B6" w:rsidRDefault="00506DAD" w:rsidP="00963ECC">
            <w:r>
              <w:rPr>
                <w:b/>
                <w:bCs/>
                <w:color w:val="FFFFFF"/>
                <w:sz w:val="20"/>
                <w:szCs w:val="20"/>
              </w:rPr>
              <w:t>العلاج المعرفي السلوكي (</w:t>
            </w:r>
            <w:proofErr w:type="spellStart"/>
            <w:r>
              <w:rPr>
                <w:b/>
                <w:bCs/>
                <w:color w:val="FFFFFF"/>
                <w:sz w:val="20"/>
                <w:szCs w:val="20"/>
              </w:rPr>
              <w:t>Beck</w:t>
            </w:r>
            <w:proofErr w:type="spellEnd"/>
            <w:r>
              <w:rPr>
                <w:b/>
                <w:bCs/>
                <w:color w:val="FFFFFF"/>
                <w:sz w:val="20"/>
                <w:szCs w:val="20"/>
              </w:rPr>
              <w:t>)</w:t>
            </w:r>
          </w:p>
        </w:tc>
        <w:tc>
          <w:tcPr>
            <w:tcW w:w="0" w:type="auto"/>
            <w:shd w:val="clear" w:color="auto" w:fill="1B2A4A"/>
            <w:tcMar>
              <w:top w:w="120" w:type="dxa"/>
              <w:left w:w="150" w:type="dxa"/>
              <w:bottom w:w="120" w:type="dxa"/>
              <w:right w:w="150" w:type="dxa"/>
            </w:tcMar>
            <w:vAlign w:val="center"/>
          </w:tcPr>
          <w:p w14:paraId="08F336DD" w14:textId="77777777" w:rsidR="006428B6" w:rsidRDefault="00506DAD" w:rsidP="00963ECC">
            <w:r>
              <w:rPr>
                <w:b/>
                <w:bCs/>
                <w:color w:val="FFFFFF"/>
                <w:sz w:val="20"/>
                <w:szCs w:val="20"/>
              </w:rPr>
              <w:t>TLRT</w:t>
            </w:r>
          </w:p>
        </w:tc>
      </w:tr>
      <w:tr w:rsidR="006428B6" w14:paraId="570E83F8" w14:textId="77777777">
        <w:tblPrEx>
          <w:tblCellMar>
            <w:top w:w="0" w:type="dxa"/>
            <w:bottom w:w="0" w:type="dxa"/>
          </w:tblCellMar>
        </w:tblPrEx>
        <w:tc>
          <w:tcPr>
            <w:tcW w:w="0" w:type="auto"/>
            <w:shd w:val="clear" w:color="auto" w:fill="FFFFFF"/>
            <w:tcMar>
              <w:top w:w="120" w:type="dxa"/>
              <w:left w:w="150" w:type="dxa"/>
              <w:bottom w:w="120" w:type="dxa"/>
              <w:right w:w="150" w:type="dxa"/>
            </w:tcMar>
            <w:vAlign w:val="center"/>
          </w:tcPr>
          <w:p w14:paraId="2715C41C" w14:textId="77777777" w:rsidR="006428B6" w:rsidRDefault="00506DAD" w:rsidP="00963ECC">
            <w:r>
              <w:rPr>
                <w:color w:val="1A1A1A"/>
                <w:sz w:val="20"/>
                <w:szCs w:val="20"/>
              </w:rPr>
              <w:t>مصدر التشخيص</w:t>
            </w:r>
          </w:p>
        </w:tc>
        <w:tc>
          <w:tcPr>
            <w:tcW w:w="0" w:type="auto"/>
            <w:shd w:val="clear" w:color="auto" w:fill="FFFFFF"/>
            <w:tcMar>
              <w:top w:w="120" w:type="dxa"/>
              <w:left w:w="150" w:type="dxa"/>
              <w:bottom w:w="120" w:type="dxa"/>
              <w:right w:w="150" w:type="dxa"/>
            </w:tcMar>
            <w:vAlign w:val="center"/>
          </w:tcPr>
          <w:p w14:paraId="09112BA2" w14:textId="77777777" w:rsidR="006428B6" w:rsidRDefault="00506DAD" w:rsidP="00963ECC">
            <w:r>
              <w:rPr>
                <w:color w:val="1A1A1A"/>
                <w:sz w:val="20"/>
                <w:szCs w:val="20"/>
              </w:rPr>
              <w:t>تحليل منطقي للمعتقدات</w:t>
            </w:r>
          </w:p>
        </w:tc>
        <w:tc>
          <w:tcPr>
            <w:tcW w:w="0" w:type="auto"/>
            <w:shd w:val="clear" w:color="auto" w:fill="FFFFFF"/>
            <w:tcMar>
              <w:top w:w="120" w:type="dxa"/>
              <w:left w:w="150" w:type="dxa"/>
              <w:bottom w:w="120" w:type="dxa"/>
              <w:right w:w="150" w:type="dxa"/>
            </w:tcMar>
            <w:vAlign w:val="center"/>
          </w:tcPr>
          <w:p w14:paraId="72C3A7EF" w14:textId="77777777" w:rsidR="006428B6" w:rsidRDefault="00506DAD" w:rsidP="00963ECC">
            <w:r>
              <w:rPr>
                <w:color w:val="1A1A1A"/>
                <w:sz w:val="20"/>
                <w:szCs w:val="20"/>
              </w:rPr>
              <w:t>خريطة الدين النفسي + المرجعية الشرعية</w:t>
            </w:r>
          </w:p>
        </w:tc>
      </w:tr>
      <w:tr w:rsidR="006428B6" w14:paraId="7553DEBA" w14:textId="77777777">
        <w:tblPrEx>
          <w:tblCellMar>
            <w:top w:w="0" w:type="dxa"/>
            <w:bottom w:w="0" w:type="dxa"/>
          </w:tblCellMar>
        </w:tblPrEx>
        <w:tc>
          <w:tcPr>
            <w:tcW w:w="0" w:type="auto"/>
            <w:shd w:val="clear" w:color="auto" w:fill="FFFFFF"/>
            <w:tcMar>
              <w:top w:w="120" w:type="dxa"/>
              <w:left w:w="150" w:type="dxa"/>
              <w:bottom w:w="120" w:type="dxa"/>
              <w:right w:w="150" w:type="dxa"/>
            </w:tcMar>
            <w:vAlign w:val="center"/>
          </w:tcPr>
          <w:p w14:paraId="62E99C94" w14:textId="77777777" w:rsidR="006428B6" w:rsidRDefault="00506DAD" w:rsidP="00963ECC">
            <w:r>
              <w:rPr>
                <w:color w:val="1A1A1A"/>
                <w:sz w:val="20"/>
                <w:szCs w:val="20"/>
              </w:rPr>
              <w:t>آلية التصحيح</w:t>
            </w:r>
          </w:p>
        </w:tc>
        <w:tc>
          <w:tcPr>
            <w:tcW w:w="0" w:type="auto"/>
            <w:shd w:val="clear" w:color="auto" w:fill="FFFFFF"/>
            <w:tcMar>
              <w:top w:w="120" w:type="dxa"/>
              <w:left w:w="150" w:type="dxa"/>
              <w:bottom w:w="120" w:type="dxa"/>
              <w:right w:w="150" w:type="dxa"/>
            </w:tcMar>
            <w:vAlign w:val="center"/>
          </w:tcPr>
          <w:p w14:paraId="3728D1A7" w14:textId="77777777" w:rsidR="006428B6" w:rsidRDefault="00506DAD" w:rsidP="00963ECC">
            <w:r>
              <w:rPr>
                <w:color w:val="1A1A1A"/>
                <w:sz w:val="20"/>
                <w:szCs w:val="20"/>
              </w:rPr>
              <w:t>تفنيد الدليل وإعادة الصياغة المعرفية</w:t>
            </w:r>
          </w:p>
        </w:tc>
        <w:tc>
          <w:tcPr>
            <w:tcW w:w="0" w:type="auto"/>
            <w:shd w:val="clear" w:color="auto" w:fill="FFFFFF"/>
            <w:tcMar>
              <w:top w:w="120" w:type="dxa"/>
              <w:left w:w="150" w:type="dxa"/>
              <w:bottom w:w="120" w:type="dxa"/>
              <w:right w:w="150" w:type="dxa"/>
            </w:tcMar>
            <w:vAlign w:val="center"/>
          </w:tcPr>
          <w:p w14:paraId="33FFBF1F" w14:textId="77777777" w:rsidR="006428B6" w:rsidRDefault="00506DAD" w:rsidP="00963ECC">
            <w:r>
              <w:rPr>
                <w:color w:val="1A1A1A"/>
                <w:sz w:val="20"/>
                <w:szCs w:val="20"/>
              </w:rPr>
              <w:t>التمييز الشرعي بين واجب حقيقي وتوقع وهمي</w:t>
            </w:r>
          </w:p>
        </w:tc>
      </w:tr>
      <w:tr w:rsidR="006428B6" w14:paraId="2E08EA36" w14:textId="77777777">
        <w:tblPrEx>
          <w:tblCellMar>
            <w:top w:w="0" w:type="dxa"/>
            <w:bottom w:w="0" w:type="dxa"/>
          </w:tblCellMar>
        </w:tblPrEx>
        <w:tc>
          <w:tcPr>
            <w:tcW w:w="0" w:type="auto"/>
            <w:shd w:val="clear" w:color="auto" w:fill="FFFFFF"/>
            <w:tcMar>
              <w:top w:w="120" w:type="dxa"/>
              <w:left w:w="150" w:type="dxa"/>
              <w:bottom w:w="120" w:type="dxa"/>
              <w:right w:w="150" w:type="dxa"/>
            </w:tcMar>
            <w:vAlign w:val="center"/>
          </w:tcPr>
          <w:p w14:paraId="2D9476F0" w14:textId="77777777" w:rsidR="006428B6" w:rsidRDefault="00506DAD" w:rsidP="00963ECC">
            <w:r>
              <w:rPr>
                <w:color w:val="1A1A1A"/>
                <w:sz w:val="20"/>
                <w:szCs w:val="20"/>
              </w:rPr>
              <w:t>غاية التصحيح</w:t>
            </w:r>
          </w:p>
        </w:tc>
        <w:tc>
          <w:tcPr>
            <w:tcW w:w="0" w:type="auto"/>
            <w:shd w:val="clear" w:color="auto" w:fill="FFFFFF"/>
            <w:tcMar>
              <w:top w:w="120" w:type="dxa"/>
              <w:left w:w="150" w:type="dxa"/>
              <w:bottom w:w="120" w:type="dxa"/>
              <w:right w:w="150" w:type="dxa"/>
            </w:tcMar>
            <w:vAlign w:val="center"/>
          </w:tcPr>
          <w:p w14:paraId="33A3A849" w14:textId="77777777" w:rsidR="006428B6" w:rsidRDefault="00506DAD" w:rsidP="00963ECC">
            <w:r>
              <w:rPr>
                <w:color w:val="1A1A1A"/>
                <w:sz w:val="20"/>
                <w:szCs w:val="20"/>
              </w:rPr>
              <w:t>تخفيف الضيق واستعادة الوظيفة</w:t>
            </w:r>
          </w:p>
        </w:tc>
        <w:tc>
          <w:tcPr>
            <w:tcW w:w="0" w:type="auto"/>
            <w:shd w:val="clear" w:color="auto" w:fill="FFFFFF"/>
            <w:tcMar>
              <w:top w:w="120" w:type="dxa"/>
              <w:left w:w="150" w:type="dxa"/>
              <w:bottom w:w="120" w:type="dxa"/>
              <w:right w:w="150" w:type="dxa"/>
            </w:tcMar>
            <w:vAlign w:val="center"/>
          </w:tcPr>
          <w:p w14:paraId="287BBCDB" w14:textId="77777777" w:rsidR="006428B6" w:rsidRDefault="00506DAD" w:rsidP="00963ECC">
            <w:r>
              <w:rPr>
                <w:color w:val="1A1A1A"/>
                <w:sz w:val="20"/>
                <w:szCs w:val="20"/>
              </w:rPr>
              <w:t>تحرير الطاقة لتوجيهها نحو الإحسان</w:t>
            </w:r>
          </w:p>
        </w:tc>
      </w:tr>
    </w:tbl>
    <w:p w14:paraId="270DEC7D" w14:textId="77777777" w:rsidR="006428B6" w:rsidRDefault="006428B6" w:rsidP="00963ECC">
      <w:pPr>
        <w:spacing w:after="200"/>
      </w:pPr>
    </w:p>
    <w:p w14:paraId="5C364D34" w14:textId="77777777" w:rsidR="006428B6" w:rsidRDefault="00506DAD" w:rsidP="00963ECC">
      <w:pPr>
        <w:pStyle w:val="2"/>
        <w:spacing w:before="400" w:after="200"/>
      </w:pPr>
      <w:r>
        <w:rPr>
          <w:b/>
          <w:bCs/>
          <w:color w:val="0F6B72"/>
          <w:sz w:val="30"/>
          <w:szCs w:val="30"/>
        </w:rPr>
        <w:t>2.2 المرحلة الثانية: إعادة بناء صورة الله — المصالحة الوجودية</w:t>
      </w:r>
    </w:p>
    <w:p w14:paraId="2A3C9CE8" w14:textId="77777777" w:rsidR="006428B6" w:rsidRDefault="00506DAD" w:rsidP="00963ECC">
      <w:pPr>
        <w:spacing w:after="200" w:line="360" w:lineRule="auto"/>
      </w:pPr>
      <w:r>
        <w:rPr>
          <w:color w:val="1A1A1A"/>
        </w:rPr>
        <w:t xml:space="preserve">الهدف هنا هو تصحيح </w:t>
      </w:r>
      <w:proofErr w:type="spellStart"/>
      <w:r>
        <w:rPr>
          <w:color w:val="1A1A1A"/>
        </w:rPr>
        <w:t>التمثلات</w:t>
      </w:r>
      <w:proofErr w:type="spellEnd"/>
      <w:r>
        <w:rPr>
          <w:color w:val="1A1A1A"/>
        </w:rPr>
        <w:t xml:space="preserve"> المشوَّهة للإله في اللاوعي: الانتقال من صورة “القاضي السادي” إلى صورة “الشاهد الرحيم” [610، 736، 935]. والتقنيات المستخدمة تشمل:</w:t>
      </w:r>
    </w:p>
    <w:p w14:paraId="725C4206" w14:textId="77777777" w:rsidR="006428B6" w:rsidRDefault="00506DAD" w:rsidP="00963ECC">
      <w:pPr>
        <w:spacing w:after="200" w:line="360" w:lineRule="auto"/>
        <w:ind w:left="400"/>
      </w:pPr>
      <w:r>
        <w:rPr>
          <w:color w:val="1A1A1A"/>
        </w:rPr>
        <w:t>• تمرين الكرسي الفارغ مع الله: للتعبير عن المشاعر المكبوتة وبناء حوار روحاني آمن [612، 756].</w:t>
      </w:r>
    </w:p>
    <w:p w14:paraId="585DE6E6" w14:textId="77777777" w:rsidR="006428B6" w:rsidRDefault="00506DAD" w:rsidP="00963ECC">
      <w:pPr>
        <w:spacing w:after="200" w:line="360" w:lineRule="auto"/>
        <w:ind w:left="400"/>
      </w:pPr>
      <w:r>
        <w:rPr>
          <w:color w:val="1A1A1A"/>
        </w:rPr>
        <w:t>• رسالة من الله: كتابة ما يقوله الله للعبد بناءً على نصوص الرحمة والمغفرة [613، 756].</w:t>
      </w:r>
    </w:p>
    <w:p w14:paraId="256FF606" w14:textId="77777777" w:rsidR="006428B6" w:rsidRDefault="00506DAD" w:rsidP="00963ECC">
      <w:pPr>
        <w:spacing w:after="200" w:line="360" w:lineRule="auto"/>
      </w:pPr>
      <w:r>
        <w:rPr>
          <w:color w:val="1A1A1A"/>
        </w:rPr>
        <w:t>هذه المرحلة، كما يُلاحظ، هي أهم ما يميز TLRT عن المدارس الغربية: فبينما يتوقف العلاج المعرفي عند حد تصحيح الأفكار، يتعمق TLRT إلى إعادة بناء العلاقة مع المتعالي، التي تُعد – في النموذج الاستخلافي – المصدر الأساسي للطمأنينة.</w:t>
      </w:r>
    </w:p>
    <w:p w14:paraId="533E104E" w14:textId="77777777" w:rsidR="006428B6" w:rsidRDefault="00506DAD" w:rsidP="00963ECC">
      <w:pPr>
        <w:spacing w:after="200" w:line="360" w:lineRule="auto"/>
      </w:pPr>
      <w:r>
        <w:rPr>
          <w:color w:val="1A1A1A"/>
        </w:rPr>
        <w:t>ومن الناحية الأكاديمية، يستدعي هذا المفهوم مباشرة نظرية “</w:t>
      </w:r>
      <w:proofErr w:type="spellStart"/>
      <w:r>
        <w:rPr>
          <w:color w:val="1A1A1A"/>
        </w:rPr>
        <w:t>التمثلات</w:t>
      </w:r>
      <w:proofErr w:type="spellEnd"/>
      <w:r>
        <w:rPr>
          <w:color w:val="1A1A1A"/>
        </w:rPr>
        <w:t xml:space="preserve"> الداخلية للإله” (</w:t>
      </w:r>
      <w:proofErr w:type="spellStart"/>
      <w:r>
        <w:rPr>
          <w:color w:val="1A1A1A"/>
        </w:rPr>
        <w:t>Internal</w:t>
      </w:r>
      <w:proofErr w:type="spellEnd"/>
      <w:r>
        <w:rPr>
          <w:color w:val="1A1A1A"/>
        </w:rPr>
        <w:t xml:space="preserve"> </w:t>
      </w:r>
      <w:proofErr w:type="spellStart"/>
      <w:r>
        <w:rPr>
          <w:color w:val="1A1A1A"/>
        </w:rPr>
        <w:t>Representations</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God</w:t>
      </w:r>
      <w:proofErr w:type="spellEnd"/>
      <w:r>
        <w:rPr>
          <w:color w:val="1A1A1A"/>
        </w:rPr>
        <w:t xml:space="preserve">) التي طوّرتها المحللة النفسية آنا-ماريا </w:t>
      </w:r>
      <w:proofErr w:type="spellStart"/>
      <w:r>
        <w:rPr>
          <w:color w:val="1A1A1A"/>
        </w:rPr>
        <w:t>ريزوتو</w:t>
      </w:r>
      <w:proofErr w:type="spellEnd"/>
      <w:r>
        <w:rPr>
          <w:color w:val="1A1A1A"/>
        </w:rPr>
        <w:t xml:space="preserve"> في دراستها المرجعية “مولد الإله الحي”، والتي بيّنت أن صورة الإله لدى الفرد ليست معطى لاهوتياً مجرداً بل بناء نفسي مركّب من خبرات الطفولة المبكرة مع الوالدين والشخصيات المحورية، وأنها قابلة للتحريف (صورة قاسية، مهجورة، غير مبالية) بقدر ما هي قابلة للتصحيح العلاجي (</w:t>
      </w:r>
      <w:proofErr w:type="spellStart"/>
      <w:r>
        <w:rPr>
          <w:color w:val="1A1A1A"/>
        </w:rPr>
        <w:t>Rizzuto</w:t>
      </w:r>
      <w:proofErr w:type="spellEnd"/>
      <w:r>
        <w:rPr>
          <w:color w:val="1A1A1A"/>
        </w:rPr>
        <w:t xml:space="preserve">, 1979). التقاء TLRT مع </w:t>
      </w:r>
      <w:proofErr w:type="spellStart"/>
      <w:r>
        <w:rPr>
          <w:color w:val="1A1A1A"/>
        </w:rPr>
        <w:t>ريزوتو</w:t>
      </w:r>
      <w:proofErr w:type="spellEnd"/>
      <w:r>
        <w:rPr>
          <w:color w:val="1A1A1A"/>
        </w:rPr>
        <w:t xml:space="preserve"> هنا ليس مصادفة، بل هو – كما تُشير أدبيات الدليل النظري ذاته في أحد مصادره الأساسية (“</w:t>
      </w:r>
      <w:proofErr w:type="spellStart"/>
      <w:r>
        <w:rPr>
          <w:color w:val="1A1A1A"/>
        </w:rPr>
        <w:t>التمثلات</w:t>
      </w:r>
      <w:proofErr w:type="spellEnd"/>
      <w:r>
        <w:rPr>
          <w:color w:val="1A1A1A"/>
        </w:rPr>
        <w:t xml:space="preserve"> الداخلية لل</w:t>
      </w:r>
      <w:r>
        <w:rPr>
          <w:color w:val="1A1A1A"/>
        </w:rPr>
        <w:t xml:space="preserve">إله: من نظرية </w:t>
      </w:r>
      <w:proofErr w:type="spellStart"/>
      <w:r>
        <w:rPr>
          <w:color w:val="1A1A1A"/>
        </w:rPr>
        <w:t>ريزوتو</w:t>
      </w:r>
      <w:proofErr w:type="spellEnd"/>
      <w:r>
        <w:rPr>
          <w:color w:val="1A1A1A"/>
        </w:rPr>
        <w:t xml:space="preserve"> إلى إعادة بناء صورة الله في TLRT”) – استلهام واعٍ ومعلن لهذا الإطار التحليلي، مع إعادة توظيفه ضمن غاية تعبدية لا تحليلية محايدة: فالهدف عند </w:t>
      </w:r>
      <w:proofErr w:type="spellStart"/>
      <w:r>
        <w:rPr>
          <w:color w:val="1A1A1A"/>
        </w:rPr>
        <w:t>ريزوتو</w:t>
      </w:r>
      <w:proofErr w:type="spellEnd"/>
      <w:r>
        <w:rPr>
          <w:color w:val="1A1A1A"/>
        </w:rPr>
        <w:t xml:space="preserve"> هو الفهم الإكلينيكي المحايد لأصل الصورة، بينما الهدف عند TLRT هو التصحيح المعياري لها وفق مرجعية نصية محددة (القرآن والسنة) لا وفق تفضيل المعالج أو المريض.</w:t>
      </w:r>
    </w:p>
    <w:p w14:paraId="0F046F28" w14:textId="77777777" w:rsidR="006428B6" w:rsidRDefault="00506DAD" w:rsidP="00963ECC">
      <w:pPr>
        <w:pStyle w:val="2"/>
        <w:spacing w:before="400" w:after="200"/>
      </w:pPr>
      <w:r>
        <w:rPr>
          <w:b/>
          <w:bCs/>
          <w:color w:val="0F6B72"/>
          <w:sz w:val="30"/>
          <w:szCs w:val="30"/>
        </w:rPr>
        <w:t xml:space="preserve">2.3 المرحلة الثالثة: التحويل </w:t>
      </w:r>
      <w:proofErr w:type="spellStart"/>
      <w:r>
        <w:rPr>
          <w:b/>
          <w:bCs/>
          <w:color w:val="0F6B72"/>
          <w:sz w:val="30"/>
          <w:szCs w:val="30"/>
        </w:rPr>
        <w:t>الطاقي</w:t>
      </w:r>
      <w:proofErr w:type="spellEnd"/>
      <w:r>
        <w:rPr>
          <w:b/>
          <w:bCs/>
          <w:color w:val="0F6B72"/>
          <w:sz w:val="30"/>
          <w:szCs w:val="30"/>
        </w:rPr>
        <w:t xml:space="preserve"> — بناء الجسر السلوكي</w:t>
      </w:r>
    </w:p>
    <w:p w14:paraId="38291DCF" w14:textId="77777777" w:rsidR="006428B6" w:rsidRDefault="00506DAD" w:rsidP="00963ECC">
      <w:pPr>
        <w:spacing w:after="200" w:line="360" w:lineRule="auto"/>
      </w:pPr>
      <w:r>
        <w:rPr>
          <w:color w:val="1A1A1A"/>
        </w:rPr>
        <w:t>الهدف في هذه المرحلة هو تحويل طاقة الندم إلى دافع للعمل البنّاء [582، 625]. والأداة المركزية هي “الجسر السلوكي”: فعل إحساني محدد يرتبط رمزياً بالذنب الأصلي (مثال: من أساء لوالديه يتطوع في دار مسنين) [626، 755، 1203]. وهذا الجسر، كما يؤكد، ليس مجرد تعويض، بل هو تحويل للطاقة واكتشاف للهوية الجديدة: المريض ينتقل من موقع المخطئ إلى موقع المحسن، ومن الشعور بالذنب إلى الشعور بالفاعلية.</w:t>
      </w:r>
    </w:p>
    <w:p w14:paraId="1C696498" w14:textId="77777777" w:rsidR="006428B6" w:rsidRDefault="00506DAD" w:rsidP="00963ECC">
      <w:pPr>
        <w:spacing w:after="200" w:line="360" w:lineRule="auto"/>
      </w:pPr>
      <w:r>
        <w:rPr>
          <w:color w:val="1A1A1A"/>
        </w:rPr>
        <w:t>ويكتمل هذا بـ“مشروع الكفارة الإبداعية”: برنامج عملي طويل المدى يحوّل الذنب إلى نفع مجتمعي مستدام [592، 632].</w:t>
      </w:r>
    </w:p>
    <w:p w14:paraId="1244DF42" w14:textId="77777777" w:rsidR="006428B6" w:rsidRDefault="00506DAD" w:rsidP="00963ECC">
      <w:pPr>
        <w:spacing w:after="200" w:line="360" w:lineRule="auto"/>
      </w:pPr>
      <w:r>
        <w:rPr>
          <w:color w:val="1A1A1A"/>
        </w:rPr>
        <w:t>تتقاطع آلية “الجسر السلوكي” مع مبدأ “التفعيل السلوكي” (</w:t>
      </w:r>
      <w:proofErr w:type="spellStart"/>
      <w:r>
        <w:rPr>
          <w:color w:val="1A1A1A"/>
        </w:rPr>
        <w:t>Behavioral</w:t>
      </w:r>
      <w:proofErr w:type="spellEnd"/>
      <w:r>
        <w:rPr>
          <w:color w:val="1A1A1A"/>
        </w:rPr>
        <w:t xml:space="preserve"> </w:t>
      </w:r>
      <w:proofErr w:type="spellStart"/>
      <w:r>
        <w:rPr>
          <w:color w:val="1A1A1A"/>
        </w:rPr>
        <w:t>Activation</w:t>
      </w:r>
      <w:proofErr w:type="spellEnd"/>
      <w:r>
        <w:rPr>
          <w:color w:val="1A1A1A"/>
        </w:rPr>
        <w:t>) الراسخ في العلاج المعرفي السلوكي، والذي يقوم على افتراض أن الانخراط في أفعال ذات معنى وقيمة يُحدث تحسّناً مزاجياً ومعرفياً يسبق – أو يوازي – التغيير الفكري المجرد. الإضافة النوعية التي يقدمها TLRT هنا هي “الرمزية السببية” للفعل: الفعل السلوكي ليس عشوائياً بل مرتبط عمداً بمضمون الذنب الأصلي، بما يمنحه دلالة تكفيرية ونفسية مضاعفة لا يشترطها التفعيل السلوكي التقليدي بالضرورة.</w:t>
      </w:r>
    </w:p>
    <w:p w14:paraId="773597C0" w14:textId="77777777" w:rsidR="006428B6" w:rsidRDefault="00506DAD" w:rsidP="00963ECC">
      <w:pPr>
        <w:pStyle w:val="2"/>
        <w:spacing w:before="400" w:after="200"/>
      </w:pPr>
      <w:r>
        <w:rPr>
          <w:b/>
          <w:bCs/>
          <w:color w:val="0F6B72"/>
          <w:sz w:val="30"/>
          <w:szCs w:val="30"/>
        </w:rPr>
        <w:t>2.4 المرحلة الرابعة: إعادة كتابة السردية — الهوية الجديدة</w:t>
      </w:r>
    </w:p>
    <w:p w14:paraId="5E0BAA77" w14:textId="77777777" w:rsidR="006428B6" w:rsidRDefault="00506DAD" w:rsidP="00963ECC">
      <w:pPr>
        <w:spacing w:after="200" w:line="360" w:lineRule="auto"/>
      </w:pPr>
      <w:r>
        <w:rPr>
          <w:color w:val="1A1A1A"/>
        </w:rPr>
        <w:t>الهدف هنا هو دمج الخطأ في قصة حياة جديدة كفصل للتعلم وليس كخاتمة [644، 647]. والتقنيات تشمل:</w:t>
      </w:r>
    </w:p>
    <w:p w14:paraId="009791E4" w14:textId="77777777" w:rsidR="006428B6" w:rsidRDefault="00506DAD" w:rsidP="00963ECC">
      <w:pPr>
        <w:spacing w:after="200" w:line="360" w:lineRule="auto"/>
        <w:ind w:left="400"/>
      </w:pPr>
      <w:r>
        <w:rPr>
          <w:color w:val="1A1A1A"/>
        </w:rPr>
        <w:t>• تقنية “الشاهد الحكيم”: النظر للذات من منظور المستقبل لاستخلاص الحكمة [654، 665].</w:t>
      </w:r>
    </w:p>
    <w:p w14:paraId="51C49891" w14:textId="77777777" w:rsidR="006428B6" w:rsidRDefault="00506DAD" w:rsidP="00963ECC">
      <w:pPr>
        <w:spacing w:after="200" w:line="360" w:lineRule="auto"/>
        <w:ind w:left="400"/>
      </w:pPr>
      <w:r>
        <w:rPr>
          <w:color w:val="1A1A1A"/>
        </w:rPr>
        <w:t>• إعادة تسمية الفصول: تغيير مسمى “فصل السقوط” إلى “فصل اليقظة” [1].</w:t>
      </w:r>
    </w:p>
    <w:p w14:paraId="7E1DCA1D" w14:textId="77777777" w:rsidR="006428B6" w:rsidRDefault="00506DAD" w:rsidP="00963ECC">
      <w:pPr>
        <w:spacing w:after="200" w:line="360" w:lineRule="auto"/>
      </w:pPr>
      <w:r>
        <w:rPr>
          <w:color w:val="1A1A1A"/>
        </w:rPr>
        <w:t xml:space="preserve">هذه المرحلة، كما نرى، هي ترجمة </w:t>
      </w:r>
      <w:proofErr w:type="spellStart"/>
      <w:r>
        <w:rPr>
          <w:color w:val="1A1A1A"/>
        </w:rPr>
        <w:t>للكينتسوغي</w:t>
      </w:r>
      <w:proofErr w:type="spellEnd"/>
      <w:r>
        <w:rPr>
          <w:color w:val="1A1A1A"/>
        </w:rPr>
        <w:t xml:space="preserve"> النفسي على مستوى السرد والهوية: المريض يعيد كتابة قصته بحيث يصبح الجرح جزءاً من جمال الحكاية لا عيباً فيها.</w:t>
      </w:r>
    </w:p>
    <w:p w14:paraId="57DFC53A" w14:textId="77777777" w:rsidR="006428B6" w:rsidRDefault="00506DAD" w:rsidP="00963ECC">
      <w:pPr>
        <w:spacing w:after="200" w:line="360" w:lineRule="auto"/>
      </w:pPr>
      <w:r>
        <w:rPr>
          <w:color w:val="1A1A1A"/>
        </w:rPr>
        <w:t>وتنتمي هذه الآلية إلى الأسرة العريضة لما يُعرف في الأدبيات الغربية بـ“العلاج السردي” (</w:t>
      </w:r>
      <w:proofErr w:type="spellStart"/>
      <w:r>
        <w:rPr>
          <w:color w:val="1A1A1A"/>
        </w:rPr>
        <w:t>Narrative</w:t>
      </w:r>
      <w:proofErr w:type="spellEnd"/>
      <w:r>
        <w:rPr>
          <w:color w:val="1A1A1A"/>
        </w:rPr>
        <w:t xml:space="preserve"> </w:t>
      </w:r>
      <w:proofErr w:type="spellStart"/>
      <w:r>
        <w:rPr>
          <w:color w:val="1A1A1A"/>
        </w:rPr>
        <w:t>Therapy</w:t>
      </w:r>
      <w:proofErr w:type="spellEnd"/>
      <w:r>
        <w:rPr>
          <w:color w:val="1A1A1A"/>
        </w:rPr>
        <w:t>)، القائم على فكرة أن الأفراد يعيشون وفق “قصص مهيمنة” عن أنفسهم، وأن العلاج مهمته المساعدة على “إعادة تأليف” (</w:t>
      </w:r>
      <w:proofErr w:type="spellStart"/>
      <w:r>
        <w:rPr>
          <w:color w:val="1A1A1A"/>
        </w:rPr>
        <w:t>Re-authoring</w:t>
      </w:r>
      <w:proofErr w:type="spellEnd"/>
      <w:r>
        <w:rPr>
          <w:color w:val="1A1A1A"/>
        </w:rPr>
        <w:t>) هذه القصص بحيث تتسع لمعانٍ بديلة غير مرضية. يضيف TLRT إلى هذا الإطار العام بعداً غائياً محدداً: القصة الجديدة ليست أي بديل ممكن، بل تحديداً “قصة استخلاف” ذات نهاية أخلاقية موجَّهة، وهو ما يميزه عن الحياد القيمي النسبي الذي تتبناه بعض تيارات العلاج السردي الغربي.</w:t>
      </w:r>
    </w:p>
    <w:p w14:paraId="3E9E244D" w14:textId="77777777" w:rsidR="006428B6" w:rsidRDefault="00506DAD" w:rsidP="00963ECC">
      <w:pPr>
        <w:pStyle w:val="2"/>
        <w:spacing w:before="400" w:after="200"/>
      </w:pPr>
      <w:r>
        <w:rPr>
          <w:b/>
          <w:bCs/>
          <w:color w:val="0F6B72"/>
          <w:sz w:val="30"/>
          <w:szCs w:val="30"/>
        </w:rPr>
        <w:t>2.5 المرحلة الخامسة: الاستدامة والنمو — مقام الخبير الحي</w:t>
      </w:r>
    </w:p>
    <w:p w14:paraId="53E37CD5" w14:textId="77777777" w:rsidR="006428B6" w:rsidRDefault="00506DAD" w:rsidP="00963ECC">
      <w:pPr>
        <w:spacing w:after="200" w:line="360" w:lineRule="auto"/>
      </w:pPr>
      <w:r>
        <w:rPr>
          <w:color w:val="1A1A1A"/>
        </w:rPr>
        <w:t xml:space="preserve">الهدف الأخير هو تثبيت التحول وتحويل </w:t>
      </w:r>
      <w:proofErr w:type="spellStart"/>
      <w:r>
        <w:rPr>
          <w:color w:val="1A1A1A"/>
        </w:rPr>
        <w:t>المتعافي</w:t>
      </w:r>
      <w:proofErr w:type="spellEnd"/>
      <w:r>
        <w:rPr>
          <w:color w:val="1A1A1A"/>
        </w:rPr>
        <w:t xml:space="preserve"> إلى فاعل اجتماعي [669، 673]. والأدوات تشمل: دفتر النمو، ونظام الإنذار المبكر ضد الانتكاس، والتحول إلى “خبير حي” يشارك تجربته لمساعدة الآخرين [678، 680، 1040]. هذا التحول، كما يؤكد، هو ذروة الاستخلاف: </w:t>
      </w:r>
      <w:proofErr w:type="spellStart"/>
      <w:r>
        <w:rPr>
          <w:color w:val="1A1A1A"/>
        </w:rPr>
        <w:t>المتعافي</w:t>
      </w:r>
      <w:proofErr w:type="spellEnd"/>
      <w:r>
        <w:rPr>
          <w:color w:val="1A1A1A"/>
        </w:rPr>
        <w:t xml:space="preserve"> لا يكتفي بشفائه الذاتي، بل يصبح وسيلة شفاء لغيره، وشاهداً على قدرة الرحمة على تغيير المصائر.</w:t>
      </w:r>
    </w:p>
    <w:p w14:paraId="5938CF91" w14:textId="0036B32B" w:rsidR="006428B6" w:rsidRDefault="00506DAD" w:rsidP="00963ECC">
      <w:pPr>
        <w:spacing w:after="200" w:line="360" w:lineRule="auto"/>
      </w:pPr>
      <w:r>
        <w:rPr>
          <w:color w:val="1A1A1A"/>
        </w:rPr>
        <w:t>ويستدعي هذا المقام – “الخبير الحي” أو “</w:t>
      </w:r>
      <w:proofErr w:type="spellStart"/>
      <w:r>
        <w:rPr>
          <w:color w:val="1A1A1A"/>
        </w:rPr>
        <w:t>المتعافي</w:t>
      </w:r>
      <w:proofErr w:type="spellEnd"/>
      <w:r>
        <w:rPr>
          <w:color w:val="1A1A1A"/>
        </w:rPr>
        <w:t xml:space="preserve"> كمعين لغيره” – صدى واسعاً في حركات الدعم من الأقران </w:t>
      </w:r>
      <w:r>
        <w:rPr>
          <w:color w:val="1A1A1A"/>
        </w:rPr>
        <w:t xml:space="preserve">المعتمدة إكلينيكياً في مجالات إدمان وصحة نفسية عديدة، والتي تُظهر الأدبيات أن مساعدة الآخرين بعد التعافي تعزز ثبات التعافي ذاته لا أنها مجرد نتيجة له. كما يتقاطع مع </w:t>
      </w:r>
      <w:proofErr w:type="spellStart"/>
      <w:r>
        <w:rPr>
          <w:color w:val="1A1A1A"/>
        </w:rPr>
        <w:t>الأرخيتايب</w:t>
      </w:r>
      <w:proofErr w:type="spellEnd"/>
      <w:r>
        <w:rPr>
          <w:color w:val="1A1A1A"/>
        </w:rPr>
        <w:t xml:space="preserve"> </w:t>
      </w:r>
      <w:r w:rsidR="00787E34">
        <w:rPr>
          <w:rFonts w:hint="cs"/>
          <w:color w:val="1A1A1A"/>
        </w:rPr>
        <w:t xml:space="preserve"> ( النماذج </w:t>
      </w:r>
      <w:r w:rsidR="009C04F6">
        <w:rPr>
          <w:rFonts w:hint="cs"/>
          <w:color w:val="1A1A1A"/>
        </w:rPr>
        <w:t xml:space="preserve">الاولى  ) </w:t>
      </w:r>
      <w:r>
        <w:rPr>
          <w:color w:val="1A1A1A"/>
        </w:rPr>
        <w:t xml:space="preserve">المعروف في علم النفس التحليلي بـ“الشافي الجريح” </w:t>
      </w:r>
      <w:r>
        <w:rPr>
          <w:color w:val="1A1A1A"/>
        </w:rPr>
        <w:t>، الذي يصف كيف تتحول تجربة الجرح الشخصي، حين تُعالَج بعمق، إلى مصدر قدرة فريدة على مرافقة معاناة الآخرين. الفارق أن TLRT يربط هذا المآل بمفهوم “نظام الإنذار المبكر” الوقائي، وهو إضافة عملية منهجية لا تحضر بالضرورة بهذا الشكل المنظّم في الأدبيات الغربية المقابلة.</w:t>
      </w:r>
    </w:p>
    <w:p w14:paraId="737FE5DC" w14:textId="77777777" w:rsidR="006428B6" w:rsidRDefault="00506DAD" w:rsidP="00963ECC">
      <w:r>
        <w:br w:type="page"/>
      </w:r>
    </w:p>
    <w:p w14:paraId="0CA21040" w14:textId="77777777" w:rsidR="006428B6" w:rsidRDefault="00506DAD" w:rsidP="00963ECC">
      <w:pPr>
        <w:pStyle w:val="1"/>
        <w:pBdr>
          <w:bottom w:val="single" w:sz="12" w:space="8" w:color="B8860B"/>
        </w:pBdr>
        <w:spacing w:before="400" w:after="200"/>
      </w:pPr>
      <w:r>
        <w:rPr>
          <w:b/>
          <w:bCs/>
          <w:color w:val="1B2A4A"/>
          <w:sz w:val="34"/>
          <w:szCs w:val="34"/>
        </w:rPr>
        <w:t>الفصل الثالث: التقنيات النوعية في البروتوكول — الأدوات والآليات</w:t>
      </w:r>
    </w:p>
    <w:p w14:paraId="40562D4F" w14:textId="77777777" w:rsidR="006428B6" w:rsidRDefault="00506DAD" w:rsidP="00963ECC">
      <w:pPr>
        <w:pStyle w:val="2"/>
        <w:spacing w:before="400" w:after="200"/>
      </w:pPr>
      <w:r>
        <w:rPr>
          <w:b/>
          <w:bCs/>
          <w:color w:val="0F6B72"/>
          <w:sz w:val="30"/>
          <w:szCs w:val="30"/>
        </w:rPr>
        <w:t>3.1 الاستماع للقرآن في الجلسة الأولى</w:t>
      </w:r>
    </w:p>
    <w:p w14:paraId="4515032B" w14:textId="77777777" w:rsidR="006428B6" w:rsidRDefault="00506DAD" w:rsidP="00963ECC">
      <w:pPr>
        <w:spacing w:after="200" w:line="360" w:lineRule="auto"/>
      </w:pPr>
      <w:r>
        <w:rPr>
          <w:color w:val="1A1A1A"/>
        </w:rPr>
        <w:t xml:space="preserve">التقنية، كما يشير الدليل، تُستخدم “كمدخل فسيولوجي لتنشيط الجهاز العصبي </w:t>
      </w:r>
      <w:proofErr w:type="spellStart"/>
      <w:r>
        <w:rPr>
          <w:color w:val="1A1A1A"/>
        </w:rPr>
        <w:t>الباراسمبثاوي</w:t>
      </w:r>
      <w:proofErr w:type="spellEnd"/>
      <w:r>
        <w:rPr>
          <w:color w:val="1A1A1A"/>
        </w:rPr>
        <w:t xml:space="preserve"> وتهيئة النفس للسكينة” [798، 809]. وهي، كما نرى، تطبيق عملي للتكامل بين الروحي والفسيولوجي في TLRT: القرآن هنا ليس مجرد نص، بل هو محفز عصبي وروحي يهيئ المريض للمصالحة.</w:t>
      </w:r>
    </w:p>
    <w:p w14:paraId="52276FCC" w14:textId="77777777" w:rsidR="006428B6" w:rsidRDefault="00506DAD" w:rsidP="00963ECC">
      <w:pPr>
        <w:spacing w:after="200" w:line="360" w:lineRule="auto"/>
      </w:pPr>
      <w:r>
        <w:rPr>
          <w:color w:val="1A1A1A"/>
        </w:rPr>
        <w:t>ويمكن تعميق هذا التفسير الفسيولوجي بالرجوع إلى “نظرية العصب المتعدد” (</w:t>
      </w:r>
      <w:proofErr w:type="spellStart"/>
      <w:r>
        <w:rPr>
          <w:color w:val="1A1A1A"/>
        </w:rPr>
        <w:t>Polyvagal</w:t>
      </w:r>
      <w:proofErr w:type="spellEnd"/>
      <w:r>
        <w:rPr>
          <w:color w:val="1A1A1A"/>
        </w:rPr>
        <w:t xml:space="preserve"> </w:t>
      </w:r>
      <w:proofErr w:type="spellStart"/>
      <w:r>
        <w:rPr>
          <w:color w:val="1A1A1A"/>
        </w:rPr>
        <w:t>Theory</w:t>
      </w:r>
      <w:proofErr w:type="spellEnd"/>
      <w:r>
        <w:rPr>
          <w:color w:val="1A1A1A"/>
        </w:rPr>
        <w:t xml:space="preserve">) التي طورها ستيفن </w:t>
      </w:r>
      <w:proofErr w:type="spellStart"/>
      <w:r>
        <w:rPr>
          <w:color w:val="1A1A1A"/>
        </w:rPr>
        <w:t>بورجز</w:t>
      </w:r>
      <w:proofErr w:type="spellEnd"/>
      <w:r>
        <w:rPr>
          <w:color w:val="1A1A1A"/>
        </w:rPr>
        <w:t xml:space="preserve">، والتي تصف كيف أن الجهاز العصبي يستشعر لا شعورياً (عبر ما يسميه “الإدراك العصبي” </w:t>
      </w:r>
      <w:proofErr w:type="spellStart"/>
      <w:r>
        <w:rPr>
          <w:color w:val="1A1A1A"/>
        </w:rPr>
        <w:t>Neuroception</w:t>
      </w:r>
      <w:proofErr w:type="spellEnd"/>
      <w:r>
        <w:rPr>
          <w:color w:val="1A1A1A"/>
        </w:rPr>
        <w:t>) إشارات الأمان أو الخطر في البيئة المحيطة، وأن تنشيط “الفرع البطني للعصب المبهم” (</w:t>
      </w:r>
      <w:proofErr w:type="spellStart"/>
      <w:r>
        <w:rPr>
          <w:color w:val="1A1A1A"/>
        </w:rPr>
        <w:t>Ventral</w:t>
      </w:r>
      <w:proofErr w:type="spellEnd"/>
      <w:r>
        <w:rPr>
          <w:color w:val="1A1A1A"/>
        </w:rPr>
        <w:t xml:space="preserve"> </w:t>
      </w:r>
      <w:proofErr w:type="spellStart"/>
      <w:r>
        <w:rPr>
          <w:color w:val="1A1A1A"/>
        </w:rPr>
        <w:t>Vagal</w:t>
      </w:r>
      <w:proofErr w:type="spellEnd"/>
      <w:r>
        <w:rPr>
          <w:color w:val="1A1A1A"/>
        </w:rPr>
        <w:t xml:space="preserve"> </w:t>
      </w:r>
      <w:proofErr w:type="spellStart"/>
      <w:r>
        <w:rPr>
          <w:color w:val="1A1A1A"/>
        </w:rPr>
        <w:t>Complex</w:t>
      </w:r>
      <w:proofErr w:type="spellEnd"/>
      <w:r>
        <w:rPr>
          <w:color w:val="1A1A1A"/>
        </w:rPr>
        <w:t>) هو ما يفتح “نظام الانخراط الاجتماعي” ويمكّن الشعور بالهدوء والثقة اللازمين لأي عمل علاجي عميق (</w:t>
      </w:r>
      <w:proofErr w:type="spellStart"/>
      <w:r>
        <w:rPr>
          <w:color w:val="1A1A1A"/>
        </w:rPr>
        <w:t>Porges</w:t>
      </w:r>
      <w:proofErr w:type="spellEnd"/>
      <w:r>
        <w:rPr>
          <w:color w:val="1A1A1A"/>
        </w:rPr>
        <w:t>, 2011). الاستماع لتلاوة قرآنية هادئة – بإيقاعها الصوتي المتمهل ونبرتها – يمكن قراءته كإشارة “أمان” قوية تُنشِّط هذا المسار العصبي، بما يجعل المريض جاهزاً عصبياً، لا فقط ر</w:t>
      </w:r>
      <w:r>
        <w:rPr>
          <w:color w:val="1A1A1A"/>
        </w:rPr>
        <w:t>وحياً، لخوض عمل المراحل اللاحقة.</w:t>
      </w:r>
    </w:p>
    <w:p w14:paraId="4DF8C385" w14:textId="77777777" w:rsidR="006428B6" w:rsidRDefault="00506DAD" w:rsidP="00963ECC">
      <w:pPr>
        <w:pStyle w:val="2"/>
        <w:spacing w:before="400" w:after="200"/>
      </w:pPr>
      <w:r>
        <w:rPr>
          <w:b/>
          <w:bCs/>
          <w:color w:val="0F6B72"/>
          <w:sz w:val="30"/>
          <w:szCs w:val="30"/>
        </w:rPr>
        <w:t>3.2 تحليل “النفس اللوامة”</w:t>
      </w:r>
    </w:p>
    <w:p w14:paraId="5B719A0F" w14:textId="77777777" w:rsidR="006428B6" w:rsidRDefault="00506DAD" w:rsidP="00963ECC">
      <w:pPr>
        <w:spacing w:after="200" w:line="360" w:lineRule="auto"/>
      </w:pPr>
      <w:r>
        <w:rPr>
          <w:color w:val="1A1A1A"/>
        </w:rPr>
        <w:t>النفس اللوامة، في TLRT، تُستخدم “كبوصلة للرقابة الذاتية بدلاً من اعتبارها مصدر عصاب” [590، 1294]. وهذا، كما يجادل الزراع، تصحيح مهم لرؤية التحليل النفسي التقليدي التي ترى في اللوامة مصدراً للمرض: اللوامة السليمة ليست جلاداً، بل هي حارس ودليل، والعلاج يهدف إلى إعادة ضبطها لا إسكاتها.</w:t>
      </w:r>
    </w:p>
    <w:p w14:paraId="30301C00" w14:textId="77777777" w:rsidR="006428B6" w:rsidRDefault="00506DAD" w:rsidP="00963ECC">
      <w:pPr>
        <w:spacing w:after="200" w:line="360" w:lineRule="auto"/>
      </w:pPr>
      <w:r>
        <w:rPr>
          <w:color w:val="1A1A1A"/>
        </w:rPr>
        <w:t>ويتقاطع هذا المفهوم مع “نافذة التحمل” (</w:t>
      </w:r>
      <w:proofErr w:type="spellStart"/>
      <w:r>
        <w:rPr>
          <w:color w:val="1A1A1A"/>
        </w:rPr>
        <w:t>Window</w:t>
      </w:r>
      <w:proofErr w:type="spellEnd"/>
      <w:r>
        <w:rPr>
          <w:color w:val="1A1A1A"/>
        </w:rPr>
        <w:t xml:space="preserve"> </w:t>
      </w:r>
      <w:proofErr w:type="spellStart"/>
      <w:r>
        <w:rPr>
          <w:color w:val="1A1A1A"/>
        </w:rPr>
        <w:t>of</w:t>
      </w:r>
      <w:proofErr w:type="spellEnd"/>
      <w:r>
        <w:rPr>
          <w:color w:val="1A1A1A"/>
        </w:rPr>
        <w:t xml:space="preserve"> </w:t>
      </w:r>
      <w:proofErr w:type="spellStart"/>
      <w:r>
        <w:rPr>
          <w:color w:val="1A1A1A"/>
        </w:rPr>
        <w:t>Tolerance</w:t>
      </w:r>
      <w:proofErr w:type="spellEnd"/>
      <w:r>
        <w:rPr>
          <w:color w:val="1A1A1A"/>
        </w:rPr>
        <w:t>) التي صاغها دانيال سيغل، والتي تصف المدى الأمثل من الاستثارة العاطفية الذي يستطيع الفرد ضمنه المعالجة والتفكير والتنظيم الذاتي دون الانزلاق إلى فرط الاستثارة (</w:t>
      </w:r>
      <w:proofErr w:type="spellStart"/>
      <w:r>
        <w:rPr>
          <w:color w:val="1A1A1A"/>
        </w:rPr>
        <w:t>Hyperarousal</w:t>
      </w:r>
      <w:proofErr w:type="spellEnd"/>
      <w:r>
        <w:rPr>
          <w:color w:val="1A1A1A"/>
        </w:rPr>
        <w:t>) أو الخمود (</w:t>
      </w:r>
      <w:proofErr w:type="spellStart"/>
      <w:r>
        <w:rPr>
          <w:color w:val="1A1A1A"/>
        </w:rPr>
        <w:t>Hypoarousal</w:t>
      </w:r>
      <w:proofErr w:type="spellEnd"/>
      <w:r>
        <w:rPr>
          <w:color w:val="1A1A1A"/>
        </w:rPr>
        <w:t>) (</w:t>
      </w:r>
      <w:proofErr w:type="spellStart"/>
      <w:r>
        <w:rPr>
          <w:color w:val="1A1A1A"/>
        </w:rPr>
        <w:t>Siegel</w:t>
      </w:r>
      <w:proofErr w:type="spellEnd"/>
      <w:r>
        <w:rPr>
          <w:color w:val="1A1A1A"/>
        </w:rPr>
        <w:t>, 2007). “إعادة ضبط اللوامة” في TLRT يمكن فهمها وظيفياً كإعادة إدخال هذا الجهاز الرقابي الداخلي إلى نافذة تحمّله الصحية: فحين تكون اللوامة “مريضة” فهي غالباً في حالة فرط استثارة دائم (جلد ذات مستمر)، والعلاج – بدلاً من كبتها – يعيد معايرتها لتعمل ضمن مداها الوظيفي السليم.</w:t>
      </w:r>
    </w:p>
    <w:p w14:paraId="40AEEAB7" w14:textId="77777777" w:rsidR="006428B6" w:rsidRDefault="00506DAD" w:rsidP="00963ECC">
      <w:pPr>
        <w:pStyle w:val="2"/>
        <w:spacing w:before="400" w:after="200"/>
      </w:pPr>
      <w:r>
        <w:rPr>
          <w:b/>
          <w:bCs/>
          <w:color w:val="0F6B72"/>
          <w:sz w:val="30"/>
          <w:szCs w:val="30"/>
        </w:rPr>
        <w:t>3.3 إعادة ضبط المصنع (</w:t>
      </w:r>
      <w:proofErr w:type="spellStart"/>
      <w:r>
        <w:rPr>
          <w:b/>
          <w:bCs/>
          <w:color w:val="0F6B72"/>
          <w:sz w:val="30"/>
          <w:szCs w:val="30"/>
        </w:rPr>
        <w:t>Factory</w:t>
      </w:r>
      <w:proofErr w:type="spellEnd"/>
      <w:r>
        <w:rPr>
          <w:b/>
          <w:bCs/>
          <w:color w:val="0F6B72"/>
          <w:sz w:val="30"/>
          <w:szCs w:val="30"/>
        </w:rPr>
        <w:t xml:space="preserve"> </w:t>
      </w:r>
      <w:proofErr w:type="spellStart"/>
      <w:r>
        <w:rPr>
          <w:b/>
          <w:bCs/>
          <w:color w:val="0F6B72"/>
          <w:sz w:val="30"/>
          <w:szCs w:val="30"/>
        </w:rPr>
        <w:t>Reset</w:t>
      </w:r>
      <w:proofErr w:type="spellEnd"/>
      <w:r>
        <w:rPr>
          <w:b/>
          <w:bCs/>
          <w:color w:val="0F6B72"/>
          <w:sz w:val="30"/>
          <w:szCs w:val="30"/>
        </w:rPr>
        <w:t>)</w:t>
      </w:r>
    </w:p>
    <w:p w14:paraId="116F4999" w14:textId="77777777" w:rsidR="006428B6" w:rsidRDefault="00506DAD" w:rsidP="00963ECC">
      <w:pPr>
        <w:spacing w:after="200" w:line="360" w:lineRule="auto"/>
      </w:pPr>
      <w:r>
        <w:rPr>
          <w:color w:val="1A1A1A"/>
        </w:rPr>
        <w:t>توظيف العبادات، في TLRT، هو آلية لإعادة ضبط النظام الأخلاقي واستعادة نقاء الفطرة [1000، 1261، 1400]. الصلاة والذكر والصيام هنا ليست طقوساً، بل هي تمارين وجودية تزيل غبار الجسد وتعيد للنفس صفاءها.</w:t>
      </w:r>
    </w:p>
    <w:p w14:paraId="75672142" w14:textId="77777777" w:rsidR="006428B6" w:rsidRDefault="00506DAD" w:rsidP="00963ECC">
      <w:pPr>
        <w:spacing w:after="200" w:line="360" w:lineRule="auto"/>
      </w:pPr>
      <w:r>
        <w:rPr>
          <w:color w:val="1A1A1A"/>
        </w:rPr>
        <w:t>ومن منظور فسيولوجي مكمّل لما سبق، تتضمن هذه العبادات مكونات معروفة في أدبيات تنظيم الانفعال الجسدي: الإيقاع الحركي المتكرر (السجود والركوع)، والتنفس المنضبط أثناء التلاوة والذكر، والتوقيت الدوري المنتظم عبر اليوم (الصلوات الخمس) الذي يفرض نقاط “إعادة معايرة” منتظمة للجهاز العصبي بدل تركه لتراكم الشدة دون تفريغ. هذا لا يُختزل الوظيفة التعبدية لهذه الشعائر إلى بعدها الفسيولوجي فحسب، لكنه يوضح لماذا يمكن أن تحمل، إضافة إلى دلالتها الإيمانية، أثراً تنظيمياً ملموساً يخدم غايات العلاج.</w:t>
      </w:r>
    </w:p>
    <w:p w14:paraId="1073E767" w14:textId="77777777" w:rsidR="006428B6" w:rsidRDefault="00506DAD" w:rsidP="00963ECC">
      <w:pPr>
        <w:pStyle w:val="2"/>
        <w:spacing w:before="400" w:after="200"/>
      </w:pPr>
      <w:r>
        <w:rPr>
          <w:b/>
          <w:bCs/>
          <w:color w:val="0F6B72"/>
          <w:sz w:val="30"/>
          <w:szCs w:val="30"/>
        </w:rPr>
        <w:t>3.4 أدوات القياس والتقييم</w:t>
      </w:r>
    </w:p>
    <w:p w14:paraId="498108A6" w14:textId="77777777" w:rsidR="006428B6" w:rsidRDefault="00506DAD" w:rsidP="00963ECC">
      <w:pPr>
        <w:spacing w:after="200" w:line="360" w:lineRule="auto"/>
      </w:pPr>
      <w:r>
        <w:rPr>
          <w:color w:val="1A1A1A"/>
        </w:rPr>
        <w:t xml:space="preserve">يتضمن مشروع علم النفس الاستخلافي، إلى جانب البروتوكول الإكلينيكي، محاولة لتطوير “نموذج قياس الشعور بالذنب: مقاربة تكاملية متعددة الأبعاد” بوصفه أداة تشخيصية مساندة لخريطة الدين النفسي المذكورة في المرحلة الأولى. ومن الناحية المنهجية، فإن أي أداة قياس نفسي جديدة، مهما كانت دقة تصورها النظري، تحتاج إلى مسار تحقق </w:t>
      </w:r>
      <w:proofErr w:type="spellStart"/>
      <w:r>
        <w:rPr>
          <w:color w:val="1A1A1A"/>
        </w:rPr>
        <w:t>سيكومتري</w:t>
      </w:r>
      <w:proofErr w:type="spellEnd"/>
      <w:r>
        <w:rPr>
          <w:color w:val="1A1A1A"/>
        </w:rPr>
        <w:t xml:space="preserve"> كامل (صدق البناء، صدق المحك، الثبات عبر الزمن وبين المقيّمين، والتقنين على عينات ممثلة) قبل اعتمادها إكلينيكياً على نطاق واسع. وهذا التحدي المنهجي، الذي يُعد شائعاً في المراحل التأسيسية لأي أداة قياس جديدة في علم النفس عموماً، يُناقَش بتفصيل أكبر في الفصل السادس ضمن آفاق البحث المستقبلي.</w:t>
      </w:r>
    </w:p>
    <w:p w14:paraId="7635A4EA" w14:textId="77777777" w:rsidR="006428B6" w:rsidRDefault="00506DAD" w:rsidP="00963ECC">
      <w:r>
        <w:br w:type="page"/>
      </w:r>
    </w:p>
    <w:p w14:paraId="03049255" w14:textId="77777777" w:rsidR="006428B6" w:rsidRDefault="00506DAD" w:rsidP="00963ECC">
      <w:pPr>
        <w:pStyle w:val="1"/>
        <w:pBdr>
          <w:bottom w:val="single" w:sz="12" w:space="8" w:color="B8860B"/>
        </w:pBdr>
        <w:spacing w:before="400" w:after="200"/>
      </w:pPr>
      <w:r>
        <w:rPr>
          <w:b/>
          <w:bCs/>
          <w:color w:val="1B2A4A"/>
          <w:sz w:val="34"/>
          <w:szCs w:val="34"/>
        </w:rPr>
        <w:t>الفصل الرابع: TLRT في الميزان المقارن الأكاديمي — نحو تموضع نقدي</w:t>
      </w:r>
    </w:p>
    <w:p w14:paraId="616E7AF4" w14:textId="77777777" w:rsidR="006428B6" w:rsidRDefault="00506DAD" w:rsidP="00963ECC">
      <w:pPr>
        <w:spacing w:after="200" w:line="360" w:lineRule="auto"/>
      </w:pPr>
      <w:r>
        <w:rPr>
          <w:color w:val="1A1A1A"/>
        </w:rPr>
        <w:t>يهدف هذا الفصل إلى وضع TLRT صراحة في خريطة المدارس العلاجية المعاصرة، ليس بغرض تصنيفه ضمن إحداها، بل لإبراز نقاط التقائه وافتراقه معها بدقة، بما يخدم فهماً أكاديمياً أكثر دقة لموقعه.</w:t>
      </w:r>
    </w:p>
    <w:p w14:paraId="666FC5B2" w14:textId="77777777" w:rsidR="006428B6" w:rsidRDefault="00506DAD" w:rsidP="00963ECC">
      <w:pPr>
        <w:pStyle w:val="2"/>
        <w:spacing w:before="400" w:after="200"/>
      </w:pPr>
      <w:r>
        <w:rPr>
          <w:b/>
          <w:bCs/>
          <w:color w:val="0F6B72"/>
          <w:sz w:val="30"/>
          <w:szCs w:val="30"/>
        </w:rPr>
        <w:t>4.1 TLRT والعلاج المعرفي السلوكي</w:t>
      </w:r>
    </w:p>
    <w:p w14:paraId="69003373" w14:textId="77777777" w:rsidR="006428B6" w:rsidRDefault="00506DAD" w:rsidP="00963ECC">
      <w:pPr>
        <w:spacing w:after="200" w:line="360" w:lineRule="auto"/>
      </w:pPr>
      <w:r>
        <w:rPr>
          <w:color w:val="1A1A1A"/>
        </w:rPr>
        <w:t xml:space="preserve">يشترك النموذجان في افتراض أساسي: أن المعتقدات (سواء سُمّيت “تشوهات معرفية” أو “ديوناً وهمية”) هي المولّد المباشر للمعاناة، وأن تصحيحها يخفف الألم. يفترق النموذجان في مصدر معيار “التصحيح”: العلاج المعرفي يحتكم إلى المنطق والدليل التجريبي المتاح للفرد، بينما يحتكم TLRT إلى نص شرعي متعالٍ. هذا يمنح TLRT قوة </w:t>
      </w:r>
      <w:proofErr w:type="spellStart"/>
      <w:r>
        <w:rPr>
          <w:color w:val="1A1A1A"/>
        </w:rPr>
        <w:t>إقناعية</w:t>
      </w:r>
      <w:proofErr w:type="spellEnd"/>
      <w:r>
        <w:rPr>
          <w:color w:val="1A1A1A"/>
        </w:rPr>
        <w:t xml:space="preserve"> خاصة لدى الملتزمين دينياً (لأن مصدر التصحيح ذو سلطة مطلقة عندهم)، لكنه يحدّ من قابليته للتعميم خارج هذا السياق العقدي.</w:t>
      </w:r>
    </w:p>
    <w:p w14:paraId="47C2B14C" w14:textId="77777777" w:rsidR="006428B6" w:rsidRDefault="00506DAD" w:rsidP="00963ECC">
      <w:pPr>
        <w:pStyle w:val="2"/>
        <w:spacing w:before="400" w:after="200"/>
      </w:pPr>
      <w:r>
        <w:rPr>
          <w:b/>
          <w:bCs/>
          <w:color w:val="0F6B72"/>
          <w:sz w:val="30"/>
          <w:szCs w:val="30"/>
        </w:rPr>
        <w:t>4.2 TLRT والعلاج الوجودي وعلاج المعنى</w:t>
      </w:r>
    </w:p>
    <w:p w14:paraId="13188761" w14:textId="77777777" w:rsidR="006428B6" w:rsidRDefault="00506DAD" w:rsidP="00963ECC">
      <w:pPr>
        <w:spacing w:after="200" w:line="360" w:lineRule="auto"/>
      </w:pPr>
      <w:r>
        <w:rPr>
          <w:color w:val="1A1A1A"/>
        </w:rPr>
        <w:t xml:space="preserve">كما نوقش في الفصل الأول، يلتقي TLRT مع </w:t>
      </w:r>
      <w:proofErr w:type="spellStart"/>
      <w:r>
        <w:rPr>
          <w:color w:val="1A1A1A"/>
        </w:rPr>
        <w:t>فرانكل</w:t>
      </w:r>
      <w:proofErr w:type="spellEnd"/>
      <w:r>
        <w:rPr>
          <w:color w:val="1A1A1A"/>
        </w:rPr>
        <w:t xml:space="preserve"> </w:t>
      </w:r>
      <w:proofErr w:type="spellStart"/>
      <w:r>
        <w:rPr>
          <w:color w:val="1A1A1A"/>
        </w:rPr>
        <w:t>ويالوم</w:t>
      </w:r>
      <w:proofErr w:type="spellEnd"/>
      <w:r>
        <w:rPr>
          <w:color w:val="1A1A1A"/>
        </w:rPr>
        <w:t xml:space="preserve"> في التعامل الجاد مع أسئلة المعنى والمعاناة بوصفها أسئلة علاجية مركزية لا هامشية، ويفترق عنهما في حسم مصدر المعنى </w:t>
      </w:r>
      <w:proofErr w:type="spellStart"/>
      <w:r>
        <w:rPr>
          <w:color w:val="1A1A1A"/>
        </w:rPr>
        <w:t>ومرجعيته</w:t>
      </w:r>
      <w:proofErr w:type="spellEnd"/>
      <w:r>
        <w:rPr>
          <w:color w:val="1A1A1A"/>
        </w:rPr>
        <w:t xml:space="preserve"> سلفاً بدل تركه لاكتشاف الفرد الحر.</w:t>
      </w:r>
    </w:p>
    <w:p w14:paraId="2F0E54C1" w14:textId="77777777" w:rsidR="006428B6" w:rsidRDefault="00506DAD" w:rsidP="00963ECC">
      <w:pPr>
        <w:pStyle w:val="2"/>
        <w:spacing w:before="400" w:after="200"/>
      </w:pPr>
      <w:r>
        <w:rPr>
          <w:b/>
          <w:bCs/>
          <w:color w:val="0F6B72"/>
          <w:sz w:val="30"/>
          <w:szCs w:val="30"/>
        </w:rPr>
        <w:t>4.3 TLRT والتحليل النفسي</w:t>
      </w:r>
    </w:p>
    <w:p w14:paraId="53D632A6" w14:textId="77777777" w:rsidR="006428B6" w:rsidRDefault="00506DAD" w:rsidP="00963ECC">
      <w:pPr>
        <w:spacing w:after="200" w:line="360" w:lineRule="auto"/>
      </w:pPr>
      <w:r>
        <w:rPr>
          <w:color w:val="1A1A1A"/>
        </w:rPr>
        <w:t xml:space="preserve">يستعير TLRT من التحليل النفسي مفهوم “التمثل الداخلي” (كما في حالة صورة الله عند </w:t>
      </w:r>
      <w:proofErr w:type="spellStart"/>
      <w:r>
        <w:rPr>
          <w:color w:val="1A1A1A"/>
        </w:rPr>
        <w:t>ريزوتو</w:t>
      </w:r>
      <w:proofErr w:type="spellEnd"/>
      <w:r>
        <w:rPr>
          <w:color w:val="1A1A1A"/>
        </w:rPr>
        <w:t xml:space="preserve">) وفكرة الصراع </w:t>
      </w:r>
      <w:proofErr w:type="spellStart"/>
      <w:r>
        <w:rPr>
          <w:color w:val="1A1A1A"/>
        </w:rPr>
        <w:t>اللاواعي</w:t>
      </w:r>
      <w:proofErr w:type="spellEnd"/>
      <w:r>
        <w:rPr>
          <w:color w:val="1A1A1A"/>
        </w:rPr>
        <w:t xml:space="preserve"> بين طبقات النفس، لكنه يرفض الحياد القيمي الذي يميز الموقف التحليلي الكلاسيكي تجاه الدين (الذي عومل تاريخياً، منذ فرويد، بوصفه “وهماً” أو تسامياً دفاعياً)، ويقلب هذا الموقف: الدين هنا ليس موضوع تحليل بل أداة تحليل وعلاج في آنٍ واحد.</w:t>
      </w:r>
    </w:p>
    <w:p w14:paraId="5B61EF88" w14:textId="77777777" w:rsidR="006428B6" w:rsidRDefault="00506DAD" w:rsidP="00963ECC">
      <w:pPr>
        <w:pStyle w:val="2"/>
        <w:spacing w:before="400" w:after="200"/>
      </w:pPr>
      <w:r>
        <w:rPr>
          <w:b/>
          <w:bCs/>
          <w:color w:val="0F6B72"/>
          <w:sz w:val="30"/>
          <w:szCs w:val="30"/>
        </w:rPr>
        <w:t>4.4 موقع TLRT ضمن حركة علم النفس الإسلامي المعاصر</w:t>
      </w:r>
    </w:p>
    <w:p w14:paraId="572F1D74" w14:textId="77777777" w:rsidR="006428B6" w:rsidRDefault="00506DAD" w:rsidP="00963ECC">
      <w:pPr>
        <w:spacing w:after="200" w:line="360" w:lineRule="auto"/>
      </w:pPr>
      <w:r>
        <w:rPr>
          <w:color w:val="1A1A1A"/>
        </w:rPr>
        <w:t xml:space="preserve">لا يقف TLRT في فراغ تاريخي، بل يندرج ضمن حركة أكاديمية أوسع تُعرف بـ“علم النفس الإسلامي”، التي تمتد جذورها الفكرية إلى كتابات محمد إقبال وإسماعيل الفاروقي ونقد سيد نقيب العطاس للعلمنة المعرفية، ومروراً بجهود مالك بدري التأسيسية في “أسلمة علم النفس”، وصولاً إلى محاولات معاصرة أكثر تنظيماً مثل “النموذج الإسلامي المتكامل للصحة النفسية” (TIIP) الذي طوّره كل من رانيا عوض </w:t>
      </w:r>
      <w:proofErr w:type="spellStart"/>
      <w:r>
        <w:rPr>
          <w:color w:val="1A1A1A"/>
        </w:rPr>
        <w:t>وأمبر</w:t>
      </w:r>
      <w:proofErr w:type="spellEnd"/>
      <w:r>
        <w:rPr>
          <w:color w:val="1A1A1A"/>
        </w:rPr>
        <w:t xml:space="preserve"> حق، وجمعيات أكاديمية متخصصة كالجمعية الدولية لعلماء النفس المسلمين. يتميز TLRT ضمن هذا التيار العريض بتركيزه النوعي على “الذنب” بوصفه مدخلاً علاجياً مركزياً وحيداً تُبنى حوله كل المراحل، وهو تخصص موضوعي دقيق يمنحه عمقاً في هذا المحور تحديداً، وإن كان يحتاج – كما هو حال أي إطار ناشئ ضمن هذا التيار – إلى مزيد من الحوار النقدي مع أقرانه من النماذج الإسلامية الأخرى لتحديد موقعه بدقة أكبر ضمنها.</w:t>
      </w:r>
    </w:p>
    <w:p w14:paraId="4589DE4E" w14:textId="77777777" w:rsidR="006428B6" w:rsidRDefault="00506DAD" w:rsidP="00963ECC">
      <w:r>
        <w:br w:type="page"/>
      </w:r>
    </w:p>
    <w:p w14:paraId="55223724" w14:textId="77777777" w:rsidR="006428B6" w:rsidRDefault="00506DAD" w:rsidP="00963ECC">
      <w:pPr>
        <w:pStyle w:val="1"/>
        <w:pBdr>
          <w:bottom w:val="single" w:sz="12" w:space="8" w:color="B8860B"/>
        </w:pBdr>
        <w:spacing w:before="400" w:after="200"/>
      </w:pPr>
      <w:r>
        <w:rPr>
          <w:b/>
          <w:bCs/>
          <w:color w:val="1B2A4A"/>
          <w:sz w:val="34"/>
          <w:szCs w:val="34"/>
        </w:rPr>
        <w:t>الفصل الخامس: الجذور التراثية الإسلامية المؤصِّلة</w:t>
      </w:r>
    </w:p>
    <w:p w14:paraId="1CAA53FF" w14:textId="77777777" w:rsidR="006428B6" w:rsidRDefault="00506DAD" w:rsidP="00963ECC">
      <w:pPr>
        <w:pStyle w:val="2"/>
        <w:spacing w:before="400" w:after="200"/>
      </w:pPr>
      <w:r>
        <w:rPr>
          <w:b/>
          <w:bCs/>
          <w:color w:val="0F6B72"/>
          <w:sz w:val="30"/>
          <w:szCs w:val="30"/>
        </w:rPr>
        <w:t>5.1 القرآن الكريم كمرجعية تأسيسية: مراتب النفس الثلاث</w:t>
      </w:r>
    </w:p>
    <w:p w14:paraId="4D651109" w14:textId="77777777" w:rsidR="006428B6" w:rsidRDefault="00506DAD" w:rsidP="00963ECC">
      <w:pPr>
        <w:spacing w:after="200" w:line="360" w:lineRule="auto"/>
      </w:pPr>
      <w:r>
        <w:rPr>
          <w:color w:val="1A1A1A"/>
        </w:rPr>
        <w:t>يستمد TLRT تصنيفه لمراتب النفس مباشرة من الخطاب القرآني، حيث ترد النفس الأمارة في سياق قصة يوسف عليه السلام، والنفس اللوامة في سياق القسم الإلهي بها، والنفس المطمئنة في سياق البشارة بالرجوع الراضي المرضي.</w:t>
      </w:r>
    </w:p>
    <w:tbl>
      <w:tblPr>
        <w:tblW w:w="5000" w:type="pct"/>
        <w:tblBorders>
          <w:top w:val="single" w:sz="16" w:space="0" w:color="B8860B"/>
          <w:left w:val="single" w:sz="16" w:space="0" w:color="B8860B"/>
          <w:bottom w:val="single" w:sz="16" w:space="0" w:color="B8860B"/>
          <w:right w:val="single" w:sz="16" w:space="0" w:color="B8860B"/>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986"/>
      </w:tblGrid>
      <w:tr w:rsidR="006428B6" w14:paraId="421FE8F7" w14:textId="77777777">
        <w:tblPrEx>
          <w:tblCellMar>
            <w:top w:w="0" w:type="dxa"/>
            <w:bottom w:w="0" w:type="dxa"/>
          </w:tblCellMar>
        </w:tblPrEx>
        <w:tc>
          <w:tcPr>
            <w:tcW w:w="0" w:type="auto"/>
            <w:shd w:val="clear" w:color="auto" w:fill="F4E8C1"/>
            <w:tcMar>
              <w:top w:w="200" w:type="dxa"/>
              <w:left w:w="300" w:type="dxa"/>
              <w:bottom w:w="200" w:type="dxa"/>
              <w:right w:w="300" w:type="dxa"/>
            </w:tcMar>
          </w:tcPr>
          <w:p w14:paraId="394B7756" w14:textId="77777777" w:rsidR="006428B6" w:rsidRDefault="00506DAD" w:rsidP="00963ECC">
            <w:pPr>
              <w:spacing w:after="100"/>
            </w:pPr>
            <w:r>
              <w:rPr>
                <w:b/>
                <w:bCs/>
                <w:color w:val="1B2A4A"/>
                <w:sz w:val="26"/>
                <w:szCs w:val="26"/>
              </w:rPr>
              <w:t xml:space="preserve">“يَا أَيَّتُهَا النَّفْسُ الْمُطْمَئِنَّةُ (27) ارْجِعِي </w:t>
            </w:r>
            <w:proofErr w:type="spellStart"/>
            <w:r>
              <w:rPr>
                <w:b/>
                <w:bCs/>
                <w:color w:val="1B2A4A"/>
                <w:sz w:val="26"/>
                <w:szCs w:val="26"/>
              </w:rPr>
              <w:t>إِلَىٰ</w:t>
            </w:r>
            <w:proofErr w:type="spellEnd"/>
            <w:r>
              <w:rPr>
                <w:b/>
                <w:bCs/>
                <w:color w:val="1B2A4A"/>
                <w:sz w:val="26"/>
                <w:szCs w:val="26"/>
              </w:rPr>
              <w:t xml:space="preserve"> رَبِّكِ رَاضِيَةً مَّرْضِيَّةً (28)”</w:t>
            </w:r>
          </w:p>
          <w:p w14:paraId="1F2DFBC1" w14:textId="77777777" w:rsidR="006428B6" w:rsidRDefault="00506DAD" w:rsidP="00963ECC">
            <w:r>
              <w:rPr>
                <w:i/>
                <w:iCs/>
                <w:color w:val="0F6B72"/>
                <w:sz w:val="20"/>
                <w:szCs w:val="20"/>
              </w:rPr>
              <w:t>سورة الفجر: 27-28 — الغاية النهائية لمسار التحول في TLRT</w:t>
            </w:r>
          </w:p>
        </w:tc>
      </w:tr>
    </w:tbl>
    <w:p w14:paraId="5D391B01" w14:textId="77777777" w:rsidR="006428B6" w:rsidRDefault="006428B6" w:rsidP="00963ECC">
      <w:pPr>
        <w:spacing w:after="200"/>
      </w:pPr>
    </w:p>
    <w:p w14:paraId="72CDD5F1" w14:textId="77777777" w:rsidR="006428B6" w:rsidRDefault="00506DAD" w:rsidP="00963ECC">
      <w:pPr>
        <w:pStyle w:val="2"/>
        <w:spacing w:before="400" w:after="200"/>
      </w:pPr>
      <w:r>
        <w:rPr>
          <w:b/>
          <w:bCs/>
          <w:color w:val="0F6B72"/>
          <w:sz w:val="30"/>
          <w:szCs w:val="30"/>
        </w:rPr>
        <w:t>5.2 الغزالي: منازل التزكية في “إحياء علوم الدين”</w:t>
      </w:r>
    </w:p>
    <w:p w14:paraId="5D9583EC" w14:textId="77777777" w:rsidR="006428B6" w:rsidRDefault="00506DAD" w:rsidP="00963ECC">
      <w:pPr>
        <w:spacing w:after="200" w:line="360" w:lineRule="auto"/>
      </w:pPr>
      <w:r>
        <w:rPr>
          <w:color w:val="1A1A1A"/>
        </w:rPr>
        <w:t xml:space="preserve">يجد التصور الاستخلافي لتدرج النفس سنداً تراثياً عميقاً في تقسيم أبي حامد الغزالي لعلم “المعاملة” القلبية في “إحياء علوم الدين”، حيث يُفصّل الغزالي منازل تزكية النفس من تخلية الرذائل (كالكِبر والحسد والرياء) إلى تحلية الفضائل، منبهاً إلى أن المجاهدة تسبق المشاهدة، وأن تزكية القلب عملية تدريجية ذات مراتب لا قفزة واحدة (الغزالي، د.ت.). هذا التدرج المرحلي هو بالضبط البنية المنطقية التي يتبناها TLRT في مساره الخماسي: لا يمكن القفز من “التشخيص” إلى “مقام الخبير الحي” دون المرور بمراحل المصالحة والتحويل والسردية، </w:t>
      </w:r>
      <w:r>
        <w:rPr>
          <w:color w:val="1A1A1A"/>
        </w:rPr>
        <w:t>تماماً كما لا يمكن عند الغزالي بلوغ مقامات القرب دون المرور بمنازل التخلية والتحلية.</w:t>
      </w:r>
    </w:p>
    <w:p w14:paraId="4BF2DADC" w14:textId="77777777" w:rsidR="006428B6" w:rsidRDefault="00506DAD" w:rsidP="00963ECC">
      <w:pPr>
        <w:pStyle w:val="2"/>
        <w:spacing w:before="400" w:after="200"/>
      </w:pPr>
      <w:r>
        <w:rPr>
          <w:b/>
          <w:bCs/>
          <w:color w:val="0F6B72"/>
          <w:sz w:val="30"/>
          <w:szCs w:val="30"/>
        </w:rPr>
        <w:t>5.3 ابن القيم: منازل السالكين والتوبة في “مدارج السالكين”</w:t>
      </w:r>
    </w:p>
    <w:p w14:paraId="3EC319DD" w14:textId="77777777" w:rsidR="006428B6" w:rsidRDefault="00506DAD" w:rsidP="00963ECC">
      <w:pPr>
        <w:spacing w:after="200" w:line="360" w:lineRule="auto"/>
      </w:pPr>
      <w:r>
        <w:rPr>
          <w:color w:val="1A1A1A"/>
        </w:rPr>
        <w:t>كما يستند التصور العلاجي لـ“الجسر السلوكي” وتحويل الذنب إلى فعل صالح إلى تراث غني في “مدارج السالكين” لابن قيم الجوزية، الذي يفصّل منزلة “التوبة” بوصفها أول منازل السالكين وآخرها، ويصف كيف أن التوبة النصوح تستلزم – إلى جانب الندم والإقلاع – عزماً على عمل صالح يقوم مقام ما فات، بل يذهب إلى أن بعض العصاة التائبين قد يبلغون بعد توبتهم مقاماً في القرب لم يكونوا ليبلغوه لولا سابق الذنب، وهو ما يُعرف في هذا التراث بمقام “من يُحبهم الله ويحبونه” بعد التوبة (ابن القيم الجوزية، د.ت.). هذه الفكرة – أن الذنب المصحوب ب</w:t>
      </w:r>
      <w:r>
        <w:rPr>
          <w:color w:val="1A1A1A"/>
        </w:rPr>
        <w:t>توبة صادقة قد يكون طريقاً إلى مقام أرفع لا مجرد عودة إلى نقطة الصفر – هي الجذر التراثي المباشر لمبدأ “الكينتسوغي النفسي” الذي يفتتح به الدليل النظري رؤيته الفلسفية بأكملها.</w:t>
      </w:r>
    </w:p>
    <w:p w14:paraId="5DC41B5C" w14:textId="77777777" w:rsidR="006428B6" w:rsidRDefault="00506DAD" w:rsidP="00963ECC">
      <w:r>
        <w:br w:type="page"/>
      </w:r>
    </w:p>
    <w:p w14:paraId="475A7DBA" w14:textId="77777777" w:rsidR="006428B6" w:rsidRDefault="00506DAD" w:rsidP="00963ECC">
      <w:pPr>
        <w:pStyle w:val="1"/>
        <w:pBdr>
          <w:bottom w:val="single" w:sz="12" w:space="8" w:color="B8860B"/>
        </w:pBdr>
        <w:spacing w:before="400" w:after="200"/>
      </w:pPr>
      <w:r>
        <w:rPr>
          <w:b/>
          <w:bCs/>
          <w:color w:val="1B2A4A"/>
          <w:sz w:val="34"/>
          <w:szCs w:val="34"/>
        </w:rPr>
        <w:t>الفصل السادس: مقاربة نقدية منهجية وآفاق بحثية مستقبلية</w:t>
      </w:r>
    </w:p>
    <w:p w14:paraId="75961239" w14:textId="77777777" w:rsidR="006428B6" w:rsidRDefault="00506DAD" w:rsidP="00963ECC">
      <w:pPr>
        <w:spacing w:after="200" w:line="360" w:lineRule="auto"/>
      </w:pPr>
      <w:r>
        <w:rPr>
          <w:color w:val="1A1A1A"/>
        </w:rPr>
        <w:t>انسجاماً مع متطلبات الكتابة الأكاديمية الرصينة، لا يكتمل عرض أي نموذج علاجي ناشئ دون مساءلة نقدية صريحة لحدوده الراهنة وشروط تطوره العلمي، وهو ما يقدمه هذا الفصل بإيجاز مركّز.</w:t>
      </w:r>
    </w:p>
    <w:p w14:paraId="194603C1" w14:textId="77777777" w:rsidR="006428B6" w:rsidRDefault="00506DAD" w:rsidP="00963ECC">
      <w:pPr>
        <w:pStyle w:val="2"/>
        <w:spacing w:before="400" w:after="200"/>
      </w:pPr>
      <w:r>
        <w:rPr>
          <w:b/>
          <w:bCs/>
          <w:color w:val="0F6B72"/>
          <w:sz w:val="30"/>
          <w:szCs w:val="30"/>
        </w:rPr>
        <w:t>6.1 غياب التحقق التجريبي المضبوط</w:t>
      </w:r>
    </w:p>
    <w:p w14:paraId="2E0ABDEF" w14:textId="77777777" w:rsidR="006428B6" w:rsidRDefault="00506DAD" w:rsidP="00963ECC">
      <w:pPr>
        <w:spacing w:after="200" w:line="360" w:lineRule="auto"/>
      </w:pPr>
      <w:r>
        <w:rPr>
          <w:color w:val="1A1A1A"/>
        </w:rPr>
        <w:t xml:space="preserve">يستند TLRT حتى الآن، بحسب المصادر المتاحة، إلى صياغة نظرية متماسكة وتجربة إكلينيكية </w:t>
      </w:r>
      <w:proofErr w:type="spellStart"/>
      <w:r>
        <w:rPr>
          <w:color w:val="1A1A1A"/>
        </w:rPr>
        <w:t>استرشادية</w:t>
      </w:r>
      <w:proofErr w:type="spellEnd"/>
      <w:r>
        <w:rPr>
          <w:color w:val="1A1A1A"/>
        </w:rPr>
        <w:t>، دون أن يخضع بعد لدراسات محكمة (تجارب عشوائية مضبوطة، أو دراسات حالة منشورة في دوريات محكّمة) تقيس فعاليته مقارنة بمجموعة ضابطة أو بعلاجات قائمة على أدلة. هذا لا يقلل من قيمته النظرية والفلسفية، لكنه يستوجب الحذر الأكاديمي من إطلاق أحكام تعميمية على “فعاليته” العلاجية قبل توفر هذه الأدلة.</w:t>
      </w:r>
    </w:p>
    <w:p w14:paraId="6D2543DA" w14:textId="77777777" w:rsidR="006428B6" w:rsidRDefault="00506DAD" w:rsidP="00963ECC">
      <w:pPr>
        <w:pStyle w:val="2"/>
        <w:spacing w:before="400" w:after="200"/>
      </w:pPr>
      <w:r>
        <w:rPr>
          <w:b/>
          <w:bCs/>
          <w:color w:val="0F6B72"/>
          <w:sz w:val="30"/>
          <w:szCs w:val="30"/>
        </w:rPr>
        <w:t xml:space="preserve">6.2 التحقق </w:t>
      </w:r>
      <w:proofErr w:type="spellStart"/>
      <w:r>
        <w:rPr>
          <w:b/>
          <w:bCs/>
          <w:color w:val="0F6B72"/>
          <w:sz w:val="30"/>
          <w:szCs w:val="30"/>
        </w:rPr>
        <w:t>السيكومتري</w:t>
      </w:r>
      <w:proofErr w:type="spellEnd"/>
      <w:r>
        <w:rPr>
          <w:b/>
          <w:bCs/>
          <w:color w:val="0F6B72"/>
          <w:sz w:val="30"/>
          <w:szCs w:val="30"/>
        </w:rPr>
        <w:t xml:space="preserve"> لأدوات القياس</w:t>
      </w:r>
    </w:p>
    <w:p w14:paraId="49A8EDB8" w14:textId="77777777" w:rsidR="006428B6" w:rsidRDefault="00506DAD" w:rsidP="00963ECC">
      <w:pPr>
        <w:spacing w:after="200" w:line="360" w:lineRule="auto"/>
      </w:pPr>
      <w:r>
        <w:rPr>
          <w:color w:val="1A1A1A"/>
        </w:rPr>
        <w:t>كما أُشير في الفصل الثالث، فإن “نموذج قياس الشعور بالذنب” الذي يطرحه المشروع بحاجة إلى مسار تقنين كامل (عينات كبيرة وممثلة، تحليل عاملي، حساب معاملات الثبات والصدق) قبل أن يصلح أداة تشخيصية معتمدة، تماماً كما هو حال أي مقياس نفسي جديد في مراحله التأسيسية.</w:t>
      </w:r>
    </w:p>
    <w:p w14:paraId="70B4787E" w14:textId="77777777" w:rsidR="006428B6" w:rsidRDefault="00506DAD" w:rsidP="00963ECC">
      <w:pPr>
        <w:pStyle w:val="2"/>
        <w:spacing w:before="400" w:after="200"/>
      </w:pPr>
      <w:r>
        <w:rPr>
          <w:b/>
          <w:bCs/>
          <w:color w:val="0F6B72"/>
          <w:sz w:val="30"/>
          <w:szCs w:val="30"/>
        </w:rPr>
        <w:t>6.3 قابلية التعميم عبر السياقات الثقافية والعقدية</w:t>
      </w:r>
    </w:p>
    <w:p w14:paraId="567F7302" w14:textId="77777777" w:rsidR="006428B6" w:rsidRDefault="00506DAD" w:rsidP="00963ECC">
      <w:pPr>
        <w:spacing w:after="200" w:line="360" w:lineRule="auto"/>
      </w:pPr>
      <w:r>
        <w:rPr>
          <w:color w:val="1A1A1A"/>
        </w:rPr>
        <w:t xml:space="preserve">بما أن TLRT يبني معيار تصحيح “الديون الوهمية” وغاية “النفس المطمئنة” على مرجعية عقدية إسلامية محددة، فإن قابليته للتطبيق تبقى مرتبطة عضوياً بمدى التزام المسترشد بهذه المرجعية أو انفتاحه عليها. وهذا يثير سؤالاً منهجياً مشروعاً حول حدود قابلية تعميم النموذج على فئات غير ملتزمة دينياً أو تنتمي إلى مرجعيات عقدية أخرى، وهو سؤال </w:t>
      </w:r>
      <w:proofErr w:type="spellStart"/>
      <w:r>
        <w:rPr>
          <w:color w:val="1A1A1A"/>
        </w:rPr>
        <w:t>يواجهه</w:t>
      </w:r>
      <w:proofErr w:type="spellEnd"/>
      <w:r>
        <w:rPr>
          <w:color w:val="1A1A1A"/>
        </w:rPr>
        <w:t xml:space="preserve"> كل نموذج علاجي ديني التأصيل (وليس TLRT وحده)، ويستحق معالجة صريحة بدل تجاوزه.</w:t>
      </w:r>
    </w:p>
    <w:p w14:paraId="726BE984" w14:textId="77777777" w:rsidR="006428B6" w:rsidRDefault="00506DAD" w:rsidP="00963ECC">
      <w:pPr>
        <w:pStyle w:val="2"/>
        <w:spacing w:before="400" w:after="200"/>
      </w:pPr>
      <w:r>
        <w:rPr>
          <w:b/>
          <w:bCs/>
          <w:color w:val="0F6B72"/>
          <w:sz w:val="30"/>
          <w:szCs w:val="30"/>
        </w:rPr>
        <w:t>6.4 توصيات لأبحاث مستقبلية</w:t>
      </w:r>
    </w:p>
    <w:p w14:paraId="30EA6C55" w14:textId="77777777" w:rsidR="006428B6" w:rsidRDefault="00506DAD" w:rsidP="00963ECC">
      <w:pPr>
        <w:spacing w:after="200" w:line="360" w:lineRule="auto"/>
        <w:ind w:left="400"/>
      </w:pPr>
      <w:r>
        <w:rPr>
          <w:color w:val="1A1A1A"/>
        </w:rPr>
        <w:t>• إجراء دراسات حالة موثقة منهجياً (</w:t>
      </w:r>
      <w:proofErr w:type="spellStart"/>
      <w:r>
        <w:rPr>
          <w:color w:val="1A1A1A"/>
        </w:rPr>
        <w:t>Single-Case</w:t>
      </w:r>
      <w:proofErr w:type="spellEnd"/>
      <w:r>
        <w:rPr>
          <w:color w:val="1A1A1A"/>
        </w:rPr>
        <w:t xml:space="preserve"> </w:t>
      </w:r>
      <w:proofErr w:type="spellStart"/>
      <w:r>
        <w:rPr>
          <w:color w:val="1A1A1A"/>
        </w:rPr>
        <w:t>Experimental</w:t>
      </w:r>
      <w:proofErr w:type="spellEnd"/>
      <w:r>
        <w:rPr>
          <w:color w:val="1A1A1A"/>
        </w:rPr>
        <w:t xml:space="preserve"> </w:t>
      </w:r>
      <w:proofErr w:type="spellStart"/>
      <w:r>
        <w:rPr>
          <w:color w:val="1A1A1A"/>
        </w:rPr>
        <w:t>Designs</w:t>
      </w:r>
      <w:proofErr w:type="spellEnd"/>
      <w:r>
        <w:rPr>
          <w:color w:val="1A1A1A"/>
        </w:rPr>
        <w:t>) لتوثيق أثر البروتوكول الخماسي على عيّنات إكلينيكية محددة قبل الانتقال إلى تصاميم أوسع.</w:t>
      </w:r>
    </w:p>
    <w:p w14:paraId="2C4ACAA1" w14:textId="77777777" w:rsidR="006428B6" w:rsidRDefault="00506DAD" w:rsidP="00963ECC">
      <w:pPr>
        <w:spacing w:after="200" w:line="360" w:lineRule="auto"/>
        <w:ind w:left="400"/>
      </w:pPr>
      <w:r>
        <w:rPr>
          <w:color w:val="1A1A1A"/>
        </w:rPr>
        <w:t xml:space="preserve">• الشروع في مسار تقنين </w:t>
      </w:r>
      <w:proofErr w:type="spellStart"/>
      <w:r>
        <w:rPr>
          <w:color w:val="1A1A1A"/>
        </w:rPr>
        <w:t>سيكومتري</w:t>
      </w:r>
      <w:proofErr w:type="spellEnd"/>
      <w:r>
        <w:rPr>
          <w:color w:val="1A1A1A"/>
        </w:rPr>
        <w:t xml:space="preserve"> كامل لمقياس الشعور بالذنب المرفق بالنموذج.</w:t>
      </w:r>
    </w:p>
    <w:p w14:paraId="4C4C3C7B" w14:textId="77777777" w:rsidR="006428B6" w:rsidRDefault="00506DAD" w:rsidP="00963ECC">
      <w:pPr>
        <w:spacing w:after="200" w:line="360" w:lineRule="auto"/>
        <w:ind w:left="400"/>
      </w:pPr>
      <w:r>
        <w:rPr>
          <w:color w:val="1A1A1A"/>
        </w:rPr>
        <w:t>• عقد مقارنات تجريبية مباشرة (لا نظرية فقط) بين TLRT وبروتوكولات قائمة على الأدلة كالعلاج المعرفي السلوكي المركّز على الصدمة، لدى عينات من نفس الخلفية الثقافية.</w:t>
      </w:r>
    </w:p>
    <w:p w14:paraId="23B92B27" w14:textId="77777777" w:rsidR="006428B6" w:rsidRDefault="00506DAD" w:rsidP="00963ECC">
      <w:pPr>
        <w:spacing w:after="200" w:line="360" w:lineRule="auto"/>
        <w:ind w:left="400"/>
      </w:pPr>
      <w:r>
        <w:rPr>
          <w:color w:val="1A1A1A"/>
        </w:rPr>
        <w:t>• توسيع الحوار الأكاديمي بين TLRT ونظائره ضمن حركة علم النفس الإسلامي (كنموذج TIIP) لتحديد أوجه التكامل الممكنة بدل التوازي المنعزل.</w:t>
      </w:r>
    </w:p>
    <w:p w14:paraId="11B9434C" w14:textId="77777777" w:rsidR="006428B6" w:rsidRDefault="00506DAD" w:rsidP="00963ECC">
      <w:pPr>
        <w:spacing w:after="200" w:line="360" w:lineRule="auto"/>
        <w:ind w:left="400"/>
      </w:pPr>
      <w:r>
        <w:rPr>
          <w:color w:val="1A1A1A"/>
        </w:rPr>
        <w:t>• دراسة استكشافية حول قابلية تكييف عناصر البروتوكول غير المرتبطة عقدياً بشكل صارم (كالجسر السلوكي وإعادة كتابة السردية) لسياقات علاجية أوسع.</w:t>
      </w:r>
    </w:p>
    <w:p w14:paraId="0B578312" w14:textId="77777777" w:rsidR="006428B6" w:rsidRDefault="00506DAD" w:rsidP="00963ECC">
      <w:r>
        <w:br w:type="page"/>
      </w:r>
    </w:p>
    <w:p w14:paraId="374BEF74" w14:textId="77777777" w:rsidR="006428B6" w:rsidRDefault="00506DAD" w:rsidP="00963ECC">
      <w:pPr>
        <w:pStyle w:val="1"/>
        <w:pBdr>
          <w:bottom w:val="single" w:sz="12" w:space="8" w:color="B8860B"/>
        </w:pBdr>
        <w:spacing w:before="400" w:after="200"/>
      </w:pPr>
      <w:r>
        <w:rPr>
          <w:b/>
          <w:bCs/>
          <w:color w:val="1B2A4A"/>
          <w:sz w:val="34"/>
          <w:szCs w:val="34"/>
        </w:rPr>
        <w:t>خاتمة: TLRT — رحلة من الحرث إلى الحصاد</w:t>
      </w:r>
    </w:p>
    <w:p w14:paraId="772E0B88" w14:textId="77777777" w:rsidR="006428B6" w:rsidRDefault="00506DAD" w:rsidP="00963ECC">
      <w:pPr>
        <w:spacing w:after="200" w:line="360" w:lineRule="auto"/>
      </w:pPr>
      <w:r>
        <w:rPr>
          <w:color w:val="1A1A1A"/>
        </w:rPr>
        <w:t xml:space="preserve">في ختام هذه الدراسة الموسّعة، نخلص إلى أن “العلاج بحرث المصالحة التحويلية”، كما صاغه عبد السلام الزراع، هو نموذج فريد ومتكامل يجمع بين العمق التحليلي والرؤية الوجودية والتأصيل الإسلامي، ويقدم بديلاً حقيقياً للمدارس التي تكتفي بتخفيف الأعراض أو تعديل الأفكار، ويفتح أفقاً أوسع هو أفق التحول والإحسان </w:t>
      </w:r>
      <w:proofErr w:type="spellStart"/>
      <w:r>
        <w:rPr>
          <w:color w:val="1A1A1A"/>
        </w:rPr>
        <w:t>والاستخلاف</w:t>
      </w:r>
      <w:proofErr w:type="spellEnd"/>
      <w:r>
        <w:rPr>
          <w:color w:val="1A1A1A"/>
        </w:rPr>
        <w:t>.</w:t>
      </w:r>
    </w:p>
    <w:p w14:paraId="3C7D4ACE" w14:textId="77777777" w:rsidR="006428B6" w:rsidRDefault="00506DAD" w:rsidP="00963ECC">
      <w:pPr>
        <w:spacing w:after="200" w:line="360" w:lineRule="auto"/>
      </w:pPr>
      <w:r>
        <w:rPr>
          <w:color w:val="1A1A1A"/>
        </w:rPr>
        <w:t xml:space="preserve">وقد حاولت هذه الدراسة أن تُظهر، عبر المقارنة الدقيقة مع بيك </w:t>
      </w:r>
      <w:proofErr w:type="spellStart"/>
      <w:r>
        <w:rPr>
          <w:color w:val="1A1A1A"/>
        </w:rPr>
        <w:t>ويالوم</w:t>
      </w:r>
      <w:proofErr w:type="spellEnd"/>
      <w:r>
        <w:rPr>
          <w:color w:val="1A1A1A"/>
        </w:rPr>
        <w:t xml:space="preserve"> </w:t>
      </w:r>
      <w:proofErr w:type="spellStart"/>
      <w:r>
        <w:rPr>
          <w:color w:val="1A1A1A"/>
        </w:rPr>
        <w:t>وفرانكل</w:t>
      </w:r>
      <w:proofErr w:type="spellEnd"/>
      <w:r>
        <w:rPr>
          <w:color w:val="1A1A1A"/>
        </w:rPr>
        <w:t xml:space="preserve"> </w:t>
      </w:r>
      <w:proofErr w:type="spellStart"/>
      <w:r>
        <w:rPr>
          <w:color w:val="1A1A1A"/>
        </w:rPr>
        <w:t>وريزوتو</w:t>
      </w:r>
      <w:proofErr w:type="spellEnd"/>
      <w:r>
        <w:rPr>
          <w:color w:val="1A1A1A"/>
        </w:rPr>
        <w:t xml:space="preserve"> </w:t>
      </w:r>
      <w:proofErr w:type="spellStart"/>
      <w:r>
        <w:rPr>
          <w:color w:val="1A1A1A"/>
        </w:rPr>
        <w:t>وبورجز</w:t>
      </w:r>
      <w:proofErr w:type="spellEnd"/>
      <w:r>
        <w:rPr>
          <w:color w:val="1A1A1A"/>
        </w:rPr>
        <w:t xml:space="preserve"> وسيغل، ومع التأصيل التراثي عند الغزالي وابن القيم، أن قوة TLRT لا تكمن في عزلته عن الحقل الأكاديمي العالمي، بل بالضبط في قدرته على محاورة هذا الحقل من موقع مرجعي مستقل واثق، يستعير أدواته التحليلية حيث تفيد، ويرفض حياده القيمي حيث يتعارض مع غايته التعبدية المعلنة.</w:t>
      </w:r>
    </w:p>
    <w:p w14:paraId="2DAB97FB" w14:textId="77777777" w:rsidR="006428B6" w:rsidRDefault="00506DAD" w:rsidP="00963ECC">
      <w:pPr>
        <w:spacing w:after="200" w:line="360" w:lineRule="auto"/>
      </w:pPr>
      <w:r>
        <w:rPr>
          <w:color w:val="1A1A1A"/>
        </w:rPr>
        <w:t>وتبقى الخطوة الحاسمة القادمة في مسيرة هذا النموذج، كما بيّن الفصل السادس، هي الانتقال من مرحلة النضج النظري والفلسفي – وهي مرحلة بلغها TLRT بوضوح – إلى مرحلة التحقق الإكلينيكي المنهجي الذي يثبت فعاليته بأدوات العلم التجريبي ذاتها التي يحاور نتائجها بثقة. ورحلته، كما يُعبَّر في الدليل، هي رحلة من الحرث (تفكيك العقد) إلى الحصاد (الاستخلاف والإحسان)، لا يُعامَل فيها المريض كضحية، بل كخليفة مؤتمن يعاني من انسداد مؤقت في قنوات عطائه [904، 913، 988].</w:t>
      </w:r>
    </w:p>
    <w:p w14:paraId="2AF2352D" w14:textId="77777777" w:rsidR="006428B6" w:rsidRDefault="00506DAD">
      <w:r>
        <w:br w:type="page"/>
      </w:r>
    </w:p>
    <w:p w14:paraId="28EED3A5" w14:textId="77777777" w:rsidR="006428B6" w:rsidRDefault="00506DAD" w:rsidP="00750646">
      <w:pPr>
        <w:pStyle w:val="1"/>
        <w:pBdr>
          <w:bottom w:val="single" w:sz="12" w:space="8" w:color="B8860B"/>
        </w:pBdr>
        <w:spacing w:before="400" w:after="200"/>
      </w:pPr>
      <w:r>
        <w:rPr>
          <w:b/>
          <w:bCs/>
          <w:color w:val="1B2A4A"/>
          <w:sz w:val="34"/>
          <w:szCs w:val="34"/>
        </w:rPr>
        <w:t>المراجع والمصادر</w:t>
      </w:r>
    </w:p>
    <w:p w14:paraId="6D3A21AD" w14:textId="77777777" w:rsidR="006428B6" w:rsidRDefault="00506DAD" w:rsidP="00750646">
      <w:pPr>
        <w:pStyle w:val="2"/>
        <w:spacing w:before="400" w:after="200"/>
      </w:pPr>
      <w:r>
        <w:rPr>
          <w:b/>
          <w:bCs/>
          <w:color w:val="0F6B72"/>
          <w:sz w:val="30"/>
          <w:szCs w:val="30"/>
        </w:rPr>
        <w:t>أولاً: المصادر الأساسية (النموذج الاستخلافي)</w:t>
      </w:r>
    </w:p>
    <w:p w14:paraId="6A2AE7A6" w14:textId="77777777" w:rsidR="006428B6" w:rsidRDefault="00506DAD" w:rsidP="00750646">
      <w:pPr>
        <w:spacing w:after="140" w:line="300" w:lineRule="auto"/>
        <w:ind w:left="300" w:hanging="300"/>
      </w:pPr>
      <w:r>
        <w:rPr>
          <w:color w:val="1A1A1A"/>
          <w:sz w:val="22"/>
          <w:szCs w:val="22"/>
        </w:rPr>
        <w:t>1. الزراع، عبد السلام. (2026). العلاج بحرث المصالحة التحويلية (TLRT): الدليل النظري والإكلينيكي. (الطبعة التجريبية الأولى).</w:t>
      </w:r>
    </w:p>
    <w:p w14:paraId="0B05CA9D" w14:textId="0E567B40" w:rsidR="006428B6" w:rsidRDefault="00506DAD" w:rsidP="00750646">
      <w:pPr>
        <w:spacing w:after="140" w:line="300" w:lineRule="auto"/>
        <w:ind w:left="300" w:hanging="300"/>
      </w:pPr>
      <w:r>
        <w:rPr>
          <w:color w:val="1A1A1A"/>
          <w:sz w:val="22"/>
          <w:szCs w:val="22"/>
        </w:rPr>
        <w:t>2. الزراع، عبد السلام. (2026). الفصام الأخلاقي ومصدر الأزمات النفسية: قراءة في ضوء نظرية TLRT.</w:t>
      </w:r>
      <w:r w:rsidR="00E36392">
        <w:rPr>
          <w:rFonts w:hint="cs"/>
          <w:rtl w:val="0"/>
          <w:lang w:bidi="ar-EG"/>
        </w:rPr>
        <w:t xml:space="preserve">zaraapsychology.com </w:t>
      </w:r>
    </w:p>
    <w:p w14:paraId="783A8D72" w14:textId="77777777" w:rsidR="006428B6" w:rsidRDefault="00506DAD" w:rsidP="00750646">
      <w:pPr>
        <w:spacing w:after="140" w:line="300" w:lineRule="auto"/>
        <w:ind w:left="300" w:hanging="300"/>
      </w:pPr>
      <w:r>
        <w:rPr>
          <w:color w:val="1A1A1A"/>
          <w:sz w:val="22"/>
          <w:szCs w:val="22"/>
        </w:rPr>
        <w:t xml:space="preserve">3. الزراع، عبد السلام. (2026). </w:t>
      </w:r>
      <w:proofErr w:type="spellStart"/>
      <w:r>
        <w:rPr>
          <w:color w:val="1A1A1A"/>
          <w:sz w:val="22"/>
          <w:szCs w:val="22"/>
        </w:rPr>
        <w:t>التمثلات</w:t>
      </w:r>
      <w:proofErr w:type="spellEnd"/>
      <w:r>
        <w:rPr>
          <w:color w:val="1A1A1A"/>
          <w:sz w:val="22"/>
          <w:szCs w:val="22"/>
        </w:rPr>
        <w:t xml:space="preserve"> الداخلية للإله: من نظرية </w:t>
      </w:r>
      <w:proofErr w:type="spellStart"/>
      <w:r>
        <w:rPr>
          <w:color w:val="1A1A1A"/>
          <w:sz w:val="22"/>
          <w:szCs w:val="22"/>
        </w:rPr>
        <w:t>ريزوتو</w:t>
      </w:r>
      <w:proofErr w:type="spellEnd"/>
      <w:r>
        <w:rPr>
          <w:color w:val="1A1A1A"/>
          <w:sz w:val="22"/>
          <w:szCs w:val="22"/>
        </w:rPr>
        <w:t xml:space="preserve"> إلى إعادة بناء صورة الله في TLRT.</w:t>
      </w:r>
    </w:p>
    <w:p w14:paraId="79515941" w14:textId="77777777" w:rsidR="006428B6" w:rsidRDefault="00506DAD" w:rsidP="00750646">
      <w:pPr>
        <w:spacing w:after="140" w:line="300" w:lineRule="auto"/>
        <w:ind w:left="300" w:hanging="300"/>
      </w:pPr>
      <w:r>
        <w:rPr>
          <w:color w:val="1A1A1A"/>
          <w:sz w:val="22"/>
          <w:szCs w:val="22"/>
        </w:rPr>
        <w:t>4. الزراع، عبد السلام. (2026). نموذج قياس الشعور بالذنب: مقاربة تكاملية متعددة الأبعاد.</w:t>
      </w:r>
    </w:p>
    <w:p w14:paraId="40DA02C8" w14:textId="77777777" w:rsidR="006428B6" w:rsidRDefault="00506DAD" w:rsidP="00750646">
      <w:pPr>
        <w:pStyle w:val="2"/>
        <w:spacing w:before="400" w:after="200"/>
      </w:pPr>
      <w:r>
        <w:rPr>
          <w:b/>
          <w:bCs/>
          <w:color w:val="0F6B72"/>
          <w:sz w:val="30"/>
          <w:szCs w:val="30"/>
        </w:rPr>
        <w:t>ثانياً: مراجع في العلاج النفسي وعلم النفس الإكلينيكي</w:t>
      </w:r>
    </w:p>
    <w:p w14:paraId="06A9895A" w14:textId="77777777" w:rsidR="006428B6" w:rsidRDefault="00506DAD">
      <w:pPr>
        <w:spacing w:after="140" w:line="300" w:lineRule="auto"/>
        <w:ind w:left="300" w:hanging="300"/>
        <w:jc w:val="both"/>
      </w:pPr>
      <w:r>
        <w:rPr>
          <w:color w:val="1A1A1A"/>
          <w:sz w:val="22"/>
          <w:szCs w:val="22"/>
        </w:rPr>
        <w:t xml:space="preserve">5. </w:t>
      </w:r>
      <w:proofErr w:type="spellStart"/>
      <w:r>
        <w:rPr>
          <w:color w:val="1A1A1A"/>
          <w:sz w:val="22"/>
          <w:szCs w:val="22"/>
        </w:rPr>
        <w:t>Beck</w:t>
      </w:r>
      <w:proofErr w:type="spellEnd"/>
      <w:r>
        <w:rPr>
          <w:color w:val="1A1A1A"/>
          <w:sz w:val="22"/>
          <w:szCs w:val="22"/>
        </w:rPr>
        <w:t xml:space="preserve">, A. T. (1976). </w:t>
      </w:r>
      <w:proofErr w:type="spellStart"/>
      <w:r>
        <w:rPr>
          <w:color w:val="1A1A1A"/>
          <w:sz w:val="22"/>
          <w:szCs w:val="22"/>
        </w:rPr>
        <w:t>Cognitive</w:t>
      </w:r>
      <w:proofErr w:type="spellEnd"/>
      <w:r>
        <w:rPr>
          <w:color w:val="1A1A1A"/>
          <w:sz w:val="22"/>
          <w:szCs w:val="22"/>
        </w:rPr>
        <w:t xml:space="preserve"> </w:t>
      </w:r>
      <w:proofErr w:type="spellStart"/>
      <w:r>
        <w:rPr>
          <w:color w:val="1A1A1A"/>
          <w:sz w:val="22"/>
          <w:szCs w:val="22"/>
        </w:rPr>
        <w:t>Therapy</w:t>
      </w:r>
      <w:proofErr w:type="spellEnd"/>
      <w:r>
        <w:rPr>
          <w:color w:val="1A1A1A"/>
          <w:sz w:val="22"/>
          <w:szCs w:val="22"/>
        </w:rPr>
        <w:t xml:space="preserve"> </w:t>
      </w:r>
      <w:proofErr w:type="spellStart"/>
      <w:r>
        <w:rPr>
          <w:color w:val="1A1A1A"/>
          <w:sz w:val="22"/>
          <w:szCs w:val="22"/>
        </w:rPr>
        <w:t>and</w:t>
      </w:r>
      <w:proofErr w:type="spellEnd"/>
      <w:r>
        <w:rPr>
          <w:color w:val="1A1A1A"/>
          <w:sz w:val="22"/>
          <w:szCs w:val="22"/>
        </w:rPr>
        <w:t xml:space="preserve"> </w:t>
      </w:r>
      <w:proofErr w:type="spellStart"/>
      <w:r>
        <w:rPr>
          <w:color w:val="1A1A1A"/>
          <w:sz w:val="22"/>
          <w:szCs w:val="22"/>
        </w:rPr>
        <w:t>the</w:t>
      </w:r>
      <w:proofErr w:type="spellEnd"/>
      <w:r>
        <w:rPr>
          <w:color w:val="1A1A1A"/>
          <w:sz w:val="22"/>
          <w:szCs w:val="22"/>
        </w:rPr>
        <w:t xml:space="preserve"> </w:t>
      </w:r>
      <w:proofErr w:type="spellStart"/>
      <w:r>
        <w:rPr>
          <w:color w:val="1A1A1A"/>
          <w:sz w:val="22"/>
          <w:szCs w:val="22"/>
        </w:rPr>
        <w:t>Emotional</w:t>
      </w:r>
      <w:proofErr w:type="spellEnd"/>
      <w:r>
        <w:rPr>
          <w:color w:val="1A1A1A"/>
          <w:sz w:val="22"/>
          <w:szCs w:val="22"/>
        </w:rPr>
        <w:t xml:space="preserve"> </w:t>
      </w:r>
      <w:proofErr w:type="spellStart"/>
      <w:r>
        <w:rPr>
          <w:color w:val="1A1A1A"/>
          <w:sz w:val="22"/>
          <w:szCs w:val="22"/>
        </w:rPr>
        <w:t>Disorders</w:t>
      </w:r>
      <w:proofErr w:type="spellEnd"/>
      <w:r>
        <w:rPr>
          <w:color w:val="1A1A1A"/>
          <w:sz w:val="22"/>
          <w:szCs w:val="22"/>
        </w:rPr>
        <w:t xml:space="preserve">. </w:t>
      </w:r>
      <w:proofErr w:type="spellStart"/>
      <w:r>
        <w:rPr>
          <w:color w:val="1A1A1A"/>
          <w:sz w:val="22"/>
          <w:szCs w:val="22"/>
        </w:rPr>
        <w:t>New</w:t>
      </w:r>
      <w:proofErr w:type="spellEnd"/>
      <w:r>
        <w:rPr>
          <w:color w:val="1A1A1A"/>
          <w:sz w:val="22"/>
          <w:szCs w:val="22"/>
        </w:rPr>
        <w:t xml:space="preserve"> </w:t>
      </w:r>
      <w:proofErr w:type="spellStart"/>
      <w:r>
        <w:rPr>
          <w:color w:val="1A1A1A"/>
          <w:sz w:val="22"/>
          <w:szCs w:val="22"/>
        </w:rPr>
        <w:t>York</w:t>
      </w:r>
      <w:proofErr w:type="spellEnd"/>
      <w:r>
        <w:rPr>
          <w:color w:val="1A1A1A"/>
          <w:sz w:val="22"/>
          <w:szCs w:val="22"/>
        </w:rPr>
        <w:t xml:space="preserve">: </w:t>
      </w:r>
      <w:proofErr w:type="spellStart"/>
      <w:r>
        <w:rPr>
          <w:color w:val="1A1A1A"/>
          <w:sz w:val="22"/>
          <w:szCs w:val="22"/>
        </w:rPr>
        <w:t>International</w:t>
      </w:r>
      <w:proofErr w:type="spellEnd"/>
      <w:r>
        <w:rPr>
          <w:color w:val="1A1A1A"/>
          <w:sz w:val="22"/>
          <w:szCs w:val="22"/>
        </w:rPr>
        <w:t xml:space="preserve"> </w:t>
      </w:r>
      <w:proofErr w:type="spellStart"/>
      <w:r>
        <w:rPr>
          <w:color w:val="1A1A1A"/>
          <w:sz w:val="22"/>
          <w:szCs w:val="22"/>
        </w:rPr>
        <w:t>Universities</w:t>
      </w:r>
      <w:proofErr w:type="spellEnd"/>
      <w:r>
        <w:rPr>
          <w:color w:val="1A1A1A"/>
          <w:sz w:val="22"/>
          <w:szCs w:val="22"/>
        </w:rPr>
        <w:t xml:space="preserve"> </w:t>
      </w:r>
      <w:proofErr w:type="spellStart"/>
      <w:r>
        <w:rPr>
          <w:color w:val="1A1A1A"/>
          <w:sz w:val="22"/>
          <w:szCs w:val="22"/>
        </w:rPr>
        <w:t>Press</w:t>
      </w:r>
      <w:proofErr w:type="spellEnd"/>
      <w:r>
        <w:rPr>
          <w:color w:val="1A1A1A"/>
          <w:sz w:val="22"/>
          <w:szCs w:val="22"/>
        </w:rPr>
        <w:t>.</w:t>
      </w:r>
    </w:p>
    <w:p w14:paraId="3106FB3E" w14:textId="77777777" w:rsidR="006428B6" w:rsidRDefault="00506DAD">
      <w:pPr>
        <w:spacing w:after="140" w:line="300" w:lineRule="auto"/>
        <w:ind w:left="300" w:hanging="300"/>
        <w:jc w:val="both"/>
      </w:pPr>
      <w:r>
        <w:rPr>
          <w:color w:val="1A1A1A"/>
          <w:sz w:val="22"/>
          <w:szCs w:val="22"/>
        </w:rPr>
        <w:t xml:space="preserve">6. </w:t>
      </w:r>
      <w:proofErr w:type="spellStart"/>
      <w:r>
        <w:rPr>
          <w:color w:val="1A1A1A"/>
          <w:sz w:val="22"/>
          <w:szCs w:val="22"/>
        </w:rPr>
        <w:t>Yalom</w:t>
      </w:r>
      <w:proofErr w:type="spellEnd"/>
      <w:r>
        <w:rPr>
          <w:color w:val="1A1A1A"/>
          <w:sz w:val="22"/>
          <w:szCs w:val="22"/>
        </w:rPr>
        <w:t xml:space="preserve">, I. D. (1980). </w:t>
      </w:r>
      <w:proofErr w:type="spellStart"/>
      <w:r>
        <w:rPr>
          <w:color w:val="1A1A1A"/>
          <w:sz w:val="22"/>
          <w:szCs w:val="22"/>
        </w:rPr>
        <w:t>Existential</w:t>
      </w:r>
      <w:proofErr w:type="spellEnd"/>
      <w:r>
        <w:rPr>
          <w:color w:val="1A1A1A"/>
          <w:sz w:val="22"/>
          <w:szCs w:val="22"/>
        </w:rPr>
        <w:t xml:space="preserve"> </w:t>
      </w:r>
      <w:proofErr w:type="spellStart"/>
      <w:r>
        <w:rPr>
          <w:color w:val="1A1A1A"/>
          <w:sz w:val="22"/>
          <w:szCs w:val="22"/>
        </w:rPr>
        <w:t>Psychotherapy</w:t>
      </w:r>
      <w:proofErr w:type="spellEnd"/>
      <w:r>
        <w:rPr>
          <w:color w:val="1A1A1A"/>
          <w:sz w:val="22"/>
          <w:szCs w:val="22"/>
        </w:rPr>
        <w:t xml:space="preserve">. </w:t>
      </w:r>
      <w:proofErr w:type="spellStart"/>
      <w:r>
        <w:rPr>
          <w:color w:val="1A1A1A"/>
          <w:sz w:val="22"/>
          <w:szCs w:val="22"/>
        </w:rPr>
        <w:t>New</w:t>
      </w:r>
      <w:proofErr w:type="spellEnd"/>
      <w:r>
        <w:rPr>
          <w:color w:val="1A1A1A"/>
          <w:sz w:val="22"/>
          <w:szCs w:val="22"/>
        </w:rPr>
        <w:t xml:space="preserve"> </w:t>
      </w:r>
      <w:proofErr w:type="spellStart"/>
      <w:r>
        <w:rPr>
          <w:color w:val="1A1A1A"/>
          <w:sz w:val="22"/>
          <w:szCs w:val="22"/>
        </w:rPr>
        <w:t>York</w:t>
      </w:r>
      <w:proofErr w:type="spellEnd"/>
      <w:r>
        <w:rPr>
          <w:color w:val="1A1A1A"/>
          <w:sz w:val="22"/>
          <w:szCs w:val="22"/>
        </w:rPr>
        <w:t xml:space="preserve">: </w:t>
      </w:r>
      <w:proofErr w:type="spellStart"/>
      <w:r>
        <w:rPr>
          <w:color w:val="1A1A1A"/>
          <w:sz w:val="22"/>
          <w:szCs w:val="22"/>
        </w:rPr>
        <w:t>Basic</w:t>
      </w:r>
      <w:proofErr w:type="spellEnd"/>
      <w:r>
        <w:rPr>
          <w:color w:val="1A1A1A"/>
          <w:sz w:val="22"/>
          <w:szCs w:val="22"/>
        </w:rPr>
        <w:t xml:space="preserve"> </w:t>
      </w:r>
      <w:proofErr w:type="spellStart"/>
      <w:r>
        <w:rPr>
          <w:color w:val="1A1A1A"/>
          <w:sz w:val="22"/>
          <w:szCs w:val="22"/>
        </w:rPr>
        <w:t>Books</w:t>
      </w:r>
      <w:proofErr w:type="spellEnd"/>
      <w:r>
        <w:rPr>
          <w:color w:val="1A1A1A"/>
          <w:sz w:val="22"/>
          <w:szCs w:val="22"/>
        </w:rPr>
        <w:t>.</w:t>
      </w:r>
    </w:p>
    <w:p w14:paraId="73E1402E" w14:textId="77777777" w:rsidR="006428B6" w:rsidRDefault="00506DAD">
      <w:pPr>
        <w:spacing w:after="140" w:line="300" w:lineRule="auto"/>
        <w:ind w:left="300" w:hanging="300"/>
        <w:jc w:val="both"/>
      </w:pPr>
      <w:r>
        <w:rPr>
          <w:color w:val="1A1A1A"/>
          <w:sz w:val="22"/>
          <w:szCs w:val="22"/>
        </w:rPr>
        <w:t xml:space="preserve">7. </w:t>
      </w:r>
      <w:proofErr w:type="spellStart"/>
      <w:r>
        <w:rPr>
          <w:color w:val="1A1A1A"/>
          <w:sz w:val="22"/>
          <w:szCs w:val="22"/>
        </w:rPr>
        <w:t>Frankl</w:t>
      </w:r>
      <w:proofErr w:type="spellEnd"/>
      <w:r>
        <w:rPr>
          <w:color w:val="1A1A1A"/>
          <w:sz w:val="22"/>
          <w:szCs w:val="22"/>
        </w:rPr>
        <w:t xml:space="preserve">, V. E. (1959). </w:t>
      </w:r>
      <w:proofErr w:type="spellStart"/>
      <w:r>
        <w:rPr>
          <w:color w:val="1A1A1A"/>
          <w:sz w:val="22"/>
          <w:szCs w:val="22"/>
        </w:rPr>
        <w:t>Man's</w:t>
      </w:r>
      <w:proofErr w:type="spellEnd"/>
      <w:r>
        <w:rPr>
          <w:color w:val="1A1A1A"/>
          <w:sz w:val="22"/>
          <w:szCs w:val="22"/>
        </w:rPr>
        <w:t xml:space="preserve"> </w:t>
      </w:r>
      <w:proofErr w:type="spellStart"/>
      <w:r>
        <w:rPr>
          <w:color w:val="1A1A1A"/>
          <w:sz w:val="22"/>
          <w:szCs w:val="22"/>
        </w:rPr>
        <w:t>Search</w:t>
      </w:r>
      <w:proofErr w:type="spellEnd"/>
      <w:r>
        <w:rPr>
          <w:color w:val="1A1A1A"/>
          <w:sz w:val="22"/>
          <w:szCs w:val="22"/>
        </w:rPr>
        <w:t xml:space="preserve"> </w:t>
      </w:r>
      <w:proofErr w:type="spellStart"/>
      <w:r>
        <w:rPr>
          <w:color w:val="1A1A1A"/>
          <w:sz w:val="22"/>
          <w:szCs w:val="22"/>
        </w:rPr>
        <w:t>for</w:t>
      </w:r>
      <w:proofErr w:type="spellEnd"/>
      <w:r>
        <w:rPr>
          <w:color w:val="1A1A1A"/>
          <w:sz w:val="22"/>
          <w:szCs w:val="22"/>
        </w:rPr>
        <w:t xml:space="preserve"> </w:t>
      </w:r>
      <w:proofErr w:type="spellStart"/>
      <w:r>
        <w:rPr>
          <w:color w:val="1A1A1A"/>
          <w:sz w:val="22"/>
          <w:szCs w:val="22"/>
        </w:rPr>
        <w:t>Meaning</w:t>
      </w:r>
      <w:proofErr w:type="spellEnd"/>
      <w:r>
        <w:rPr>
          <w:color w:val="1A1A1A"/>
          <w:sz w:val="22"/>
          <w:szCs w:val="22"/>
        </w:rPr>
        <w:t xml:space="preserve">. </w:t>
      </w:r>
      <w:proofErr w:type="spellStart"/>
      <w:r>
        <w:rPr>
          <w:color w:val="1A1A1A"/>
          <w:sz w:val="22"/>
          <w:szCs w:val="22"/>
        </w:rPr>
        <w:t>Boston</w:t>
      </w:r>
      <w:proofErr w:type="spellEnd"/>
      <w:r>
        <w:rPr>
          <w:color w:val="1A1A1A"/>
          <w:sz w:val="22"/>
          <w:szCs w:val="22"/>
        </w:rPr>
        <w:t xml:space="preserve">: </w:t>
      </w:r>
      <w:proofErr w:type="spellStart"/>
      <w:r>
        <w:rPr>
          <w:color w:val="1A1A1A"/>
          <w:sz w:val="22"/>
          <w:szCs w:val="22"/>
        </w:rPr>
        <w:t>Beacon</w:t>
      </w:r>
      <w:proofErr w:type="spellEnd"/>
      <w:r>
        <w:rPr>
          <w:color w:val="1A1A1A"/>
          <w:sz w:val="22"/>
          <w:szCs w:val="22"/>
        </w:rPr>
        <w:t xml:space="preserve"> </w:t>
      </w:r>
      <w:proofErr w:type="spellStart"/>
      <w:r>
        <w:rPr>
          <w:color w:val="1A1A1A"/>
          <w:sz w:val="22"/>
          <w:szCs w:val="22"/>
        </w:rPr>
        <w:t>Press</w:t>
      </w:r>
      <w:proofErr w:type="spellEnd"/>
      <w:r>
        <w:rPr>
          <w:color w:val="1A1A1A"/>
          <w:sz w:val="22"/>
          <w:szCs w:val="22"/>
        </w:rPr>
        <w:t>.</w:t>
      </w:r>
    </w:p>
    <w:p w14:paraId="23680991" w14:textId="77777777" w:rsidR="006428B6" w:rsidRDefault="00506DAD">
      <w:pPr>
        <w:spacing w:after="140" w:line="300" w:lineRule="auto"/>
        <w:ind w:left="300" w:hanging="300"/>
        <w:jc w:val="both"/>
      </w:pPr>
      <w:r>
        <w:rPr>
          <w:color w:val="1A1A1A"/>
          <w:sz w:val="22"/>
          <w:szCs w:val="22"/>
        </w:rPr>
        <w:t xml:space="preserve">8. </w:t>
      </w:r>
      <w:proofErr w:type="spellStart"/>
      <w:r>
        <w:rPr>
          <w:color w:val="1A1A1A"/>
          <w:sz w:val="22"/>
          <w:szCs w:val="22"/>
        </w:rPr>
        <w:t>Rizzuto</w:t>
      </w:r>
      <w:proofErr w:type="spellEnd"/>
      <w:r>
        <w:rPr>
          <w:color w:val="1A1A1A"/>
          <w:sz w:val="22"/>
          <w:szCs w:val="22"/>
        </w:rPr>
        <w:t xml:space="preserve">, A.-M. (1979). </w:t>
      </w:r>
      <w:proofErr w:type="spellStart"/>
      <w:r>
        <w:rPr>
          <w:color w:val="1A1A1A"/>
          <w:sz w:val="22"/>
          <w:szCs w:val="22"/>
        </w:rPr>
        <w:t>The</w:t>
      </w:r>
      <w:proofErr w:type="spellEnd"/>
      <w:r>
        <w:rPr>
          <w:color w:val="1A1A1A"/>
          <w:sz w:val="22"/>
          <w:szCs w:val="22"/>
        </w:rPr>
        <w:t xml:space="preserve"> </w:t>
      </w:r>
      <w:proofErr w:type="spellStart"/>
      <w:r>
        <w:rPr>
          <w:color w:val="1A1A1A"/>
          <w:sz w:val="22"/>
          <w:szCs w:val="22"/>
        </w:rPr>
        <w:t>Birth</w:t>
      </w:r>
      <w:proofErr w:type="spellEnd"/>
      <w:r>
        <w:rPr>
          <w:color w:val="1A1A1A"/>
          <w:sz w:val="22"/>
          <w:szCs w:val="22"/>
        </w:rPr>
        <w:t xml:space="preserve"> </w:t>
      </w:r>
      <w:proofErr w:type="spellStart"/>
      <w:r>
        <w:rPr>
          <w:color w:val="1A1A1A"/>
          <w:sz w:val="22"/>
          <w:szCs w:val="22"/>
        </w:rPr>
        <w:t>of</w:t>
      </w:r>
      <w:proofErr w:type="spellEnd"/>
      <w:r>
        <w:rPr>
          <w:color w:val="1A1A1A"/>
          <w:sz w:val="22"/>
          <w:szCs w:val="22"/>
        </w:rPr>
        <w:t xml:space="preserve"> </w:t>
      </w:r>
      <w:proofErr w:type="spellStart"/>
      <w:r>
        <w:rPr>
          <w:color w:val="1A1A1A"/>
          <w:sz w:val="22"/>
          <w:szCs w:val="22"/>
        </w:rPr>
        <w:t>the</w:t>
      </w:r>
      <w:proofErr w:type="spellEnd"/>
      <w:r>
        <w:rPr>
          <w:color w:val="1A1A1A"/>
          <w:sz w:val="22"/>
          <w:szCs w:val="22"/>
        </w:rPr>
        <w:t xml:space="preserve"> </w:t>
      </w:r>
      <w:proofErr w:type="spellStart"/>
      <w:r>
        <w:rPr>
          <w:color w:val="1A1A1A"/>
          <w:sz w:val="22"/>
          <w:szCs w:val="22"/>
        </w:rPr>
        <w:t>Living</w:t>
      </w:r>
      <w:proofErr w:type="spellEnd"/>
      <w:r>
        <w:rPr>
          <w:color w:val="1A1A1A"/>
          <w:sz w:val="22"/>
          <w:szCs w:val="22"/>
        </w:rPr>
        <w:t xml:space="preserve"> </w:t>
      </w:r>
      <w:proofErr w:type="spellStart"/>
      <w:r>
        <w:rPr>
          <w:color w:val="1A1A1A"/>
          <w:sz w:val="22"/>
          <w:szCs w:val="22"/>
        </w:rPr>
        <w:t>God</w:t>
      </w:r>
      <w:proofErr w:type="spellEnd"/>
      <w:r>
        <w:rPr>
          <w:color w:val="1A1A1A"/>
          <w:sz w:val="22"/>
          <w:szCs w:val="22"/>
        </w:rPr>
        <w:t xml:space="preserve">: A </w:t>
      </w:r>
      <w:proofErr w:type="spellStart"/>
      <w:r>
        <w:rPr>
          <w:color w:val="1A1A1A"/>
          <w:sz w:val="22"/>
          <w:szCs w:val="22"/>
        </w:rPr>
        <w:t>Psychoanalytic</w:t>
      </w:r>
      <w:proofErr w:type="spellEnd"/>
      <w:r>
        <w:rPr>
          <w:color w:val="1A1A1A"/>
          <w:sz w:val="22"/>
          <w:szCs w:val="22"/>
        </w:rPr>
        <w:t xml:space="preserve"> </w:t>
      </w:r>
      <w:proofErr w:type="spellStart"/>
      <w:r>
        <w:rPr>
          <w:color w:val="1A1A1A"/>
          <w:sz w:val="22"/>
          <w:szCs w:val="22"/>
        </w:rPr>
        <w:t>Study</w:t>
      </w:r>
      <w:proofErr w:type="spellEnd"/>
      <w:r>
        <w:rPr>
          <w:color w:val="1A1A1A"/>
          <w:sz w:val="22"/>
          <w:szCs w:val="22"/>
        </w:rPr>
        <w:t xml:space="preserve">. </w:t>
      </w:r>
      <w:proofErr w:type="spellStart"/>
      <w:r>
        <w:rPr>
          <w:color w:val="1A1A1A"/>
          <w:sz w:val="22"/>
          <w:szCs w:val="22"/>
        </w:rPr>
        <w:t>Chicago</w:t>
      </w:r>
      <w:proofErr w:type="spellEnd"/>
      <w:r>
        <w:rPr>
          <w:color w:val="1A1A1A"/>
          <w:sz w:val="22"/>
          <w:szCs w:val="22"/>
        </w:rPr>
        <w:t xml:space="preserve">: </w:t>
      </w:r>
      <w:proofErr w:type="spellStart"/>
      <w:r>
        <w:rPr>
          <w:color w:val="1A1A1A"/>
          <w:sz w:val="22"/>
          <w:szCs w:val="22"/>
        </w:rPr>
        <w:t>University</w:t>
      </w:r>
      <w:proofErr w:type="spellEnd"/>
      <w:r>
        <w:rPr>
          <w:color w:val="1A1A1A"/>
          <w:sz w:val="22"/>
          <w:szCs w:val="22"/>
        </w:rPr>
        <w:t xml:space="preserve"> </w:t>
      </w:r>
      <w:proofErr w:type="spellStart"/>
      <w:r>
        <w:rPr>
          <w:color w:val="1A1A1A"/>
          <w:sz w:val="22"/>
          <w:szCs w:val="22"/>
        </w:rPr>
        <w:t>of</w:t>
      </w:r>
      <w:proofErr w:type="spellEnd"/>
      <w:r>
        <w:rPr>
          <w:color w:val="1A1A1A"/>
          <w:sz w:val="22"/>
          <w:szCs w:val="22"/>
        </w:rPr>
        <w:t xml:space="preserve"> </w:t>
      </w:r>
      <w:proofErr w:type="spellStart"/>
      <w:r>
        <w:rPr>
          <w:color w:val="1A1A1A"/>
          <w:sz w:val="22"/>
          <w:szCs w:val="22"/>
        </w:rPr>
        <w:t>Chicago</w:t>
      </w:r>
      <w:proofErr w:type="spellEnd"/>
      <w:r>
        <w:rPr>
          <w:color w:val="1A1A1A"/>
          <w:sz w:val="22"/>
          <w:szCs w:val="22"/>
        </w:rPr>
        <w:t xml:space="preserve"> </w:t>
      </w:r>
      <w:proofErr w:type="spellStart"/>
      <w:r>
        <w:rPr>
          <w:color w:val="1A1A1A"/>
          <w:sz w:val="22"/>
          <w:szCs w:val="22"/>
        </w:rPr>
        <w:t>Press</w:t>
      </w:r>
      <w:proofErr w:type="spellEnd"/>
      <w:r>
        <w:rPr>
          <w:color w:val="1A1A1A"/>
          <w:sz w:val="22"/>
          <w:szCs w:val="22"/>
        </w:rPr>
        <w:t>.</w:t>
      </w:r>
    </w:p>
    <w:p w14:paraId="6943C5E2" w14:textId="77777777" w:rsidR="006428B6" w:rsidRDefault="00506DAD">
      <w:pPr>
        <w:pStyle w:val="2"/>
        <w:spacing w:before="400" w:after="200"/>
        <w:jc w:val="right"/>
      </w:pPr>
      <w:r>
        <w:rPr>
          <w:b/>
          <w:bCs/>
          <w:color w:val="0F6B72"/>
          <w:sz w:val="30"/>
          <w:szCs w:val="30"/>
        </w:rPr>
        <w:t>ثالثاً: مراجع في علم الأعصاب وعلم النفس الفسيولوجي</w:t>
      </w:r>
    </w:p>
    <w:p w14:paraId="680B5082" w14:textId="77777777" w:rsidR="006428B6" w:rsidRDefault="00506DAD">
      <w:pPr>
        <w:spacing w:after="140" w:line="300" w:lineRule="auto"/>
        <w:ind w:left="300" w:hanging="300"/>
        <w:jc w:val="both"/>
      </w:pPr>
      <w:r>
        <w:rPr>
          <w:color w:val="1A1A1A"/>
          <w:sz w:val="22"/>
          <w:szCs w:val="22"/>
        </w:rPr>
        <w:t xml:space="preserve">9. </w:t>
      </w:r>
      <w:proofErr w:type="spellStart"/>
      <w:r>
        <w:rPr>
          <w:color w:val="1A1A1A"/>
          <w:sz w:val="22"/>
          <w:szCs w:val="22"/>
        </w:rPr>
        <w:t>Porges</w:t>
      </w:r>
      <w:proofErr w:type="spellEnd"/>
      <w:r>
        <w:rPr>
          <w:color w:val="1A1A1A"/>
          <w:sz w:val="22"/>
          <w:szCs w:val="22"/>
        </w:rPr>
        <w:t xml:space="preserve">, S. W. (2011). </w:t>
      </w:r>
      <w:proofErr w:type="spellStart"/>
      <w:r>
        <w:rPr>
          <w:color w:val="1A1A1A"/>
          <w:sz w:val="22"/>
          <w:szCs w:val="22"/>
        </w:rPr>
        <w:t>The</w:t>
      </w:r>
      <w:proofErr w:type="spellEnd"/>
      <w:r>
        <w:rPr>
          <w:color w:val="1A1A1A"/>
          <w:sz w:val="22"/>
          <w:szCs w:val="22"/>
        </w:rPr>
        <w:t xml:space="preserve"> </w:t>
      </w:r>
      <w:proofErr w:type="spellStart"/>
      <w:r>
        <w:rPr>
          <w:color w:val="1A1A1A"/>
          <w:sz w:val="22"/>
          <w:szCs w:val="22"/>
        </w:rPr>
        <w:t>Polyvagal</w:t>
      </w:r>
      <w:proofErr w:type="spellEnd"/>
      <w:r>
        <w:rPr>
          <w:color w:val="1A1A1A"/>
          <w:sz w:val="22"/>
          <w:szCs w:val="22"/>
        </w:rPr>
        <w:t xml:space="preserve"> </w:t>
      </w:r>
      <w:proofErr w:type="spellStart"/>
      <w:r>
        <w:rPr>
          <w:color w:val="1A1A1A"/>
          <w:sz w:val="22"/>
          <w:szCs w:val="22"/>
        </w:rPr>
        <w:t>Theory</w:t>
      </w:r>
      <w:proofErr w:type="spellEnd"/>
      <w:r>
        <w:rPr>
          <w:color w:val="1A1A1A"/>
          <w:sz w:val="22"/>
          <w:szCs w:val="22"/>
        </w:rPr>
        <w:t xml:space="preserve">: </w:t>
      </w:r>
      <w:proofErr w:type="spellStart"/>
      <w:r>
        <w:rPr>
          <w:color w:val="1A1A1A"/>
          <w:sz w:val="22"/>
          <w:szCs w:val="22"/>
        </w:rPr>
        <w:t>Neurophysiological</w:t>
      </w:r>
      <w:proofErr w:type="spellEnd"/>
      <w:r>
        <w:rPr>
          <w:color w:val="1A1A1A"/>
          <w:sz w:val="22"/>
          <w:szCs w:val="22"/>
        </w:rPr>
        <w:t xml:space="preserve"> </w:t>
      </w:r>
      <w:proofErr w:type="spellStart"/>
      <w:r>
        <w:rPr>
          <w:color w:val="1A1A1A"/>
          <w:sz w:val="22"/>
          <w:szCs w:val="22"/>
        </w:rPr>
        <w:t>Foundations</w:t>
      </w:r>
      <w:proofErr w:type="spellEnd"/>
      <w:r>
        <w:rPr>
          <w:color w:val="1A1A1A"/>
          <w:sz w:val="22"/>
          <w:szCs w:val="22"/>
        </w:rPr>
        <w:t xml:space="preserve"> </w:t>
      </w:r>
      <w:proofErr w:type="spellStart"/>
      <w:r>
        <w:rPr>
          <w:color w:val="1A1A1A"/>
          <w:sz w:val="22"/>
          <w:szCs w:val="22"/>
        </w:rPr>
        <w:t>of</w:t>
      </w:r>
      <w:proofErr w:type="spellEnd"/>
      <w:r>
        <w:rPr>
          <w:color w:val="1A1A1A"/>
          <w:sz w:val="22"/>
          <w:szCs w:val="22"/>
        </w:rPr>
        <w:t xml:space="preserve"> </w:t>
      </w:r>
      <w:proofErr w:type="spellStart"/>
      <w:r>
        <w:rPr>
          <w:color w:val="1A1A1A"/>
          <w:sz w:val="22"/>
          <w:szCs w:val="22"/>
        </w:rPr>
        <w:t>Emotions</w:t>
      </w:r>
      <w:proofErr w:type="spellEnd"/>
      <w:r>
        <w:rPr>
          <w:color w:val="1A1A1A"/>
          <w:sz w:val="22"/>
          <w:szCs w:val="22"/>
        </w:rPr>
        <w:t xml:space="preserve">, </w:t>
      </w:r>
      <w:proofErr w:type="spellStart"/>
      <w:r>
        <w:rPr>
          <w:color w:val="1A1A1A"/>
          <w:sz w:val="22"/>
          <w:szCs w:val="22"/>
        </w:rPr>
        <w:t>Attachment</w:t>
      </w:r>
      <w:proofErr w:type="spellEnd"/>
      <w:r>
        <w:rPr>
          <w:color w:val="1A1A1A"/>
          <w:sz w:val="22"/>
          <w:szCs w:val="22"/>
        </w:rPr>
        <w:t xml:space="preserve">, </w:t>
      </w:r>
      <w:proofErr w:type="spellStart"/>
      <w:r>
        <w:rPr>
          <w:color w:val="1A1A1A"/>
          <w:sz w:val="22"/>
          <w:szCs w:val="22"/>
        </w:rPr>
        <w:t>Communication</w:t>
      </w:r>
      <w:proofErr w:type="spellEnd"/>
      <w:r>
        <w:rPr>
          <w:color w:val="1A1A1A"/>
          <w:sz w:val="22"/>
          <w:szCs w:val="22"/>
        </w:rPr>
        <w:t xml:space="preserve">, </w:t>
      </w:r>
      <w:proofErr w:type="spellStart"/>
      <w:r>
        <w:rPr>
          <w:color w:val="1A1A1A"/>
          <w:sz w:val="22"/>
          <w:szCs w:val="22"/>
        </w:rPr>
        <w:t>and</w:t>
      </w:r>
      <w:proofErr w:type="spellEnd"/>
      <w:r>
        <w:rPr>
          <w:color w:val="1A1A1A"/>
          <w:sz w:val="22"/>
          <w:szCs w:val="22"/>
        </w:rPr>
        <w:t xml:space="preserve"> </w:t>
      </w:r>
      <w:proofErr w:type="spellStart"/>
      <w:r>
        <w:rPr>
          <w:color w:val="1A1A1A"/>
          <w:sz w:val="22"/>
          <w:szCs w:val="22"/>
        </w:rPr>
        <w:t>Self-Regulation</w:t>
      </w:r>
      <w:proofErr w:type="spellEnd"/>
      <w:r>
        <w:rPr>
          <w:color w:val="1A1A1A"/>
          <w:sz w:val="22"/>
          <w:szCs w:val="22"/>
        </w:rPr>
        <w:t xml:space="preserve">. </w:t>
      </w:r>
      <w:proofErr w:type="spellStart"/>
      <w:r>
        <w:rPr>
          <w:color w:val="1A1A1A"/>
          <w:sz w:val="22"/>
          <w:szCs w:val="22"/>
        </w:rPr>
        <w:t>New</w:t>
      </w:r>
      <w:proofErr w:type="spellEnd"/>
      <w:r>
        <w:rPr>
          <w:color w:val="1A1A1A"/>
          <w:sz w:val="22"/>
          <w:szCs w:val="22"/>
        </w:rPr>
        <w:t xml:space="preserve"> </w:t>
      </w:r>
      <w:proofErr w:type="spellStart"/>
      <w:r>
        <w:rPr>
          <w:color w:val="1A1A1A"/>
          <w:sz w:val="22"/>
          <w:szCs w:val="22"/>
        </w:rPr>
        <w:t>York</w:t>
      </w:r>
      <w:proofErr w:type="spellEnd"/>
      <w:r>
        <w:rPr>
          <w:color w:val="1A1A1A"/>
          <w:sz w:val="22"/>
          <w:szCs w:val="22"/>
        </w:rPr>
        <w:t xml:space="preserve">: W. W. </w:t>
      </w:r>
      <w:proofErr w:type="spellStart"/>
      <w:r>
        <w:rPr>
          <w:color w:val="1A1A1A"/>
          <w:sz w:val="22"/>
          <w:szCs w:val="22"/>
        </w:rPr>
        <w:t>Norton</w:t>
      </w:r>
      <w:proofErr w:type="spellEnd"/>
      <w:r>
        <w:rPr>
          <w:color w:val="1A1A1A"/>
          <w:sz w:val="22"/>
          <w:szCs w:val="22"/>
        </w:rPr>
        <w:t xml:space="preserve"> &amp; </w:t>
      </w:r>
      <w:proofErr w:type="spellStart"/>
      <w:r>
        <w:rPr>
          <w:color w:val="1A1A1A"/>
          <w:sz w:val="22"/>
          <w:szCs w:val="22"/>
        </w:rPr>
        <w:t>Company</w:t>
      </w:r>
      <w:proofErr w:type="spellEnd"/>
      <w:r>
        <w:rPr>
          <w:color w:val="1A1A1A"/>
          <w:sz w:val="22"/>
          <w:szCs w:val="22"/>
        </w:rPr>
        <w:t>.</w:t>
      </w:r>
    </w:p>
    <w:p w14:paraId="151C6A2A" w14:textId="77777777" w:rsidR="006428B6" w:rsidRDefault="00506DAD">
      <w:pPr>
        <w:spacing w:after="140" w:line="300" w:lineRule="auto"/>
        <w:ind w:left="300" w:hanging="300"/>
        <w:jc w:val="both"/>
      </w:pPr>
      <w:r>
        <w:rPr>
          <w:color w:val="1A1A1A"/>
          <w:sz w:val="22"/>
          <w:szCs w:val="22"/>
        </w:rPr>
        <w:t xml:space="preserve">10. </w:t>
      </w:r>
      <w:proofErr w:type="spellStart"/>
      <w:r>
        <w:rPr>
          <w:color w:val="1A1A1A"/>
          <w:sz w:val="22"/>
          <w:szCs w:val="22"/>
        </w:rPr>
        <w:t>Siegel</w:t>
      </w:r>
      <w:proofErr w:type="spellEnd"/>
      <w:r>
        <w:rPr>
          <w:color w:val="1A1A1A"/>
          <w:sz w:val="22"/>
          <w:szCs w:val="22"/>
        </w:rPr>
        <w:t xml:space="preserve">, D. J. (2007). </w:t>
      </w:r>
      <w:proofErr w:type="spellStart"/>
      <w:r>
        <w:rPr>
          <w:color w:val="1A1A1A"/>
          <w:sz w:val="22"/>
          <w:szCs w:val="22"/>
        </w:rPr>
        <w:t>The</w:t>
      </w:r>
      <w:proofErr w:type="spellEnd"/>
      <w:r>
        <w:rPr>
          <w:color w:val="1A1A1A"/>
          <w:sz w:val="22"/>
          <w:szCs w:val="22"/>
        </w:rPr>
        <w:t xml:space="preserve"> </w:t>
      </w:r>
      <w:proofErr w:type="spellStart"/>
      <w:r>
        <w:rPr>
          <w:color w:val="1A1A1A"/>
          <w:sz w:val="22"/>
          <w:szCs w:val="22"/>
        </w:rPr>
        <w:t>Mindful</w:t>
      </w:r>
      <w:proofErr w:type="spellEnd"/>
      <w:r>
        <w:rPr>
          <w:color w:val="1A1A1A"/>
          <w:sz w:val="22"/>
          <w:szCs w:val="22"/>
        </w:rPr>
        <w:t xml:space="preserve"> </w:t>
      </w:r>
      <w:proofErr w:type="spellStart"/>
      <w:r>
        <w:rPr>
          <w:color w:val="1A1A1A"/>
          <w:sz w:val="22"/>
          <w:szCs w:val="22"/>
        </w:rPr>
        <w:t>Brain</w:t>
      </w:r>
      <w:proofErr w:type="spellEnd"/>
      <w:r>
        <w:rPr>
          <w:color w:val="1A1A1A"/>
          <w:sz w:val="22"/>
          <w:szCs w:val="22"/>
        </w:rPr>
        <w:t xml:space="preserve">: </w:t>
      </w:r>
      <w:proofErr w:type="spellStart"/>
      <w:r>
        <w:rPr>
          <w:color w:val="1A1A1A"/>
          <w:sz w:val="22"/>
          <w:szCs w:val="22"/>
        </w:rPr>
        <w:t>Reflection</w:t>
      </w:r>
      <w:proofErr w:type="spellEnd"/>
      <w:r>
        <w:rPr>
          <w:color w:val="1A1A1A"/>
          <w:sz w:val="22"/>
          <w:szCs w:val="22"/>
        </w:rPr>
        <w:t xml:space="preserve"> </w:t>
      </w:r>
      <w:proofErr w:type="spellStart"/>
      <w:r>
        <w:rPr>
          <w:color w:val="1A1A1A"/>
          <w:sz w:val="22"/>
          <w:szCs w:val="22"/>
        </w:rPr>
        <w:t>and</w:t>
      </w:r>
      <w:proofErr w:type="spellEnd"/>
      <w:r>
        <w:rPr>
          <w:color w:val="1A1A1A"/>
          <w:sz w:val="22"/>
          <w:szCs w:val="22"/>
        </w:rPr>
        <w:t xml:space="preserve"> </w:t>
      </w:r>
      <w:proofErr w:type="spellStart"/>
      <w:r>
        <w:rPr>
          <w:color w:val="1A1A1A"/>
          <w:sz w:val="22"/>
          <w:szCs w:val="22"/>
        </w:rPr>
        <w:t>Attunement</w:t>
      </w:r>
      <w:proofErr w:type="spellEnd"/>
      <w:r>
        <w:rPr>
          <w:color w:val="1A1A1A"/>
          <w:sz w:val="22"/>
          <w:szCs w:val="22"/>
        </w:rPr>
        <w:t xml:space="preserve"> </w:t>
      </w:r>
      <w:proofErr w:type="spellStart"/>
      <w:r>
        <w:rPr>
          <w:color w:val="1A1A1A"/>
          <w:sz w:val="22"/>
          <w:szCs w:val="22"/>
        </w:rPr>
        <w:t>in</w:t>
      </w:r>
      <w:proofErr w:type="spellEnd"/>
      <w:r>
        <w:rPr>
          <w:color w:val="1A1A1A"/>
          <w:sz w:val="22"/>
          <w:szCs w:val="22"/>
        </w:rPr>
        <w:t xml:space="preserve"> </w:t>
      </w:r>
      <w:proofErr w:type="spellStart"/>
      <w:r>
        <w:rPr>
          <w:color w:val="1A1A1A"/>
          <w:sz w:val="22"/>
          <w:szCs w:val="22"/>
        </w:rPr>
        <w:t>the</w:t>
      </w:r>
      <w:proofErr w:type="spellEnd"/>
      <w:r>
        <w:rPr>
          <w:color w:val="1A1A1A"/>
          <w:sz w:val="22"/>
          <w:szCs w:val="22"/>
        </w:rPr>
        <w:t xml:space="preserve"> </w:t>
      </w:r>
      <w:proofErr w:type="spellStart"/>
      <w:r>
        <w:rPr>
          <w:color w:val="1A1A1A"/>
          <w:sz w:val="22"/>
          <w:szCs w:val="22"/>
        </w:rPr>
        <w:t>Cultivation</w:t>
      </w:r>
      <w:proofErr w:type="spellEnd"/>
      <w:r>
        <w:rPr>
          <w:color w:val="1A1A1A"/>
          <w:sz w:val="22"/>
          <w:szCs w:val="22"/>
        </w:rPr>
        <w:t xml:space="preserve"> </w:t>
      </w:r>
      <w:proofErr w:type="spellStart"/>
      <w:r>
        <w:rPr>
          <w:color w:val="1A1A1A"/>
          <w:sz w:val="22"/>
          <w:szCs w:val="22"/>
        </w:rPr>
        <w:t>of</w:t>
      </w:r>
      <w:proofErr w:type="spellEnd"/>
      <w:r>
        <w:rPr>
          <w:color w:val="1A1A1A"/>
          <w:sz w:val="22"/>
          <w:szCs w:val="22"/>
        </w:rPr>
        <w:t xml:space="preserve"> </w:t>
      </w:r>
      <w:proofErr w:type="spellStart"/>
      <w:r>
        <w:rPr>
          <w:color w:val="1A1A1A"/>
          <w:sz w:val="22"/>
          <w:szCs w:val="22"/>
        </w:rPr>
        <w:t>Well-Being</w:t>
      </w:r>
      <w:proofErr w:type="spellEnd"/>
      <w:r>
        <w:rPr>
          <w:color w:val="1A1A1A"/>
          <w:sz w:val="22"/>
          <w:szCs w:val="22"/>
        </w:rPr>
        <w:t xml:space="preserve">. </w:t>
      </w:r>
      <w:proofErr w:type="spellStart"/>
      <w:r>
        <w:rPr>
          <w:color w:val="1A1A1A"/>
          <w:sz w:val="22"/>
          <w:szCs w:val="22"/>
        </w:rPr>
        <w:t>New</w:t>
      </w:r>
      <w:proofErr w:type="spellEnd"/>
      <w:r>
        <w:rPr>
          <w:color w:val="1A1A1A"/>
          <w:sz w:val="22"/>
          <w:szCs w:val="22"/>
        </w:rPr>
        <w:t xml:space="preserve"> </w:t>
      </w:r>
      <w:proofErr w:type="spellStart"/>
      <w:r>
        <w:rPr>
          <w:color w:val="1A1A1A"/>
          <w:sz w:val="22"/>
          <w:szCs w:val="22"/>
        </w:rPr>
        <w:t>York</w:t>
      </w:r>
      <w:proofErr w:type="spellEnd"/>
      <w:r>
        <w:rPr>
          <w:color w:val="1A1A1A"/>
          <w:sz w:val="22"/>
          <w:szCs w:val="22"/>
        </w:rPr>
        <w:t xml:space="preserve">: W. W. </w:t>
      </w:r>
      <w:proofErr w:type="spellStart"/>
      <w:r>
        <w:rPr>
          <w:color w:val="1A1A1A"/>
          <w:sz w:val="22"/>
          <w:szCs w:val="22"/>
        </w:rPr>
        <w:t>Norton</w:t>
      </w:r>
      <w:proofErr w:type="spellEnd"/>
      <w:r>
        <w:rPr>
          <w:color w:val="1A1A1A"/>
          <w:sz w:val="22"/>
          <w:szCs w:val="22"/>
        </w:rPr>
        <w:t xml:space="preserve"> &amp; </w:t>
      </w:r>
      <w:proofErr w:type="spellStart"/>
      <w:r>
        <w:rPr>
          <w:color w:val="1A1A1A"/>
          <w:sz w:val="22"/>
          <w:szCs w:val="22"/>
        </w:rPr>
        <w:t>Company</w:t>
      </w:r>
      <w:proofErr w:type="spellEnd"/>
      <w:r>
        <w:rPr>
          <w:color w:val="1A1A1A"/>
          <w:sz w:val="22"/>
          <w:szCs w:val="22"/>
        </w:rPr>
        <w:t>.</w:t>
      </w:r>
    </w:p>
    <w:p w14:paraId="7E21860D" w14:textId="77777777" w:rsidR="006428B6" w:rsidRDefault="00506DAD">
      <w:pPr>
        <w:pStyle w:val="2"/>
        <w:spacing w:before="400" w:after="200"/>
        <w:jc w:val="right"/>
      </w:pPr>
      <w:r>
        <w:rPr>
          <w:b/>
          <w:bCs/>
          <w:color w:val="0F6B72"/>
          <w:sz w:val="30"/>
          <w:szCs w:val="30"/>
        </w:rPr>
        <w:t>رابعاً: مراجع في التراث الإسلامي</w:t>
      </w:r>
    </w:p>
    <w:p w14:paraId="672094C9" w14:textId="77777777" w:rsidR="006428B6" w:rsidRDefault="00506DAD">
      <w:pPr>
        <w:spacing w:after="140" w:line="300" w:lineRule="auto"/>
        <w:ind w:left="300" w:hanging="300"/>
        <w:jc w:val="both"/>
      </w:pPr>
      <w:r>
        <w:rPr>
          <w:color w:val="1A1A1A"/>
          <w:sz w:val="22"/>
          <w:szCs w:val="22"/>
        </w:rPr>
        <w:t>11. القرآن الكريم.</w:t>
      </w:r>
    </w:p>
    <w:p w14:paraId="67F8CACB" w14:textId="77777777" w:rsidR="006428B6" w:rsidRDefault="00506DAD">
      <w:pPr>
        <w:spacing w:after="140" w:line="300" w:lineRule="auto"/>
        <w:ind w:left="300" w:hanging="300"/>
        <w:jc w:val="both"/>
      </w:pPr>
      <w:r>
        <w:rPr>
          <w:color w:val="1A1A1A"/>
          <w:sz w:val="22"/>
          <w:szCs w:val="22"/>
        </w:rPr>
        <w:t>12. الغزالي، أبو حامد. (د.ت.). إحياء علوم الدين. بيروت: دار المعرفة.</w:t>
      </w:r>
    </w:p>
    <w:p w14:paraId="4E88BD8A" w14:textId="77777777" w:rsidR="006428B6" w:rsidRDefault="00506DAD">
      <w:pPr>
        <w:spacing w:after="140" w:line="300" w:lineRule="auto"/>
        <w:ind w:left="300" w:hanging="300"/>
        <w:jc w:val="both"/>
      </w:pPr>
      <w:r>
        <w:rPr>
          <w:color w:val="1A1A1A"/>
          <w:sz w:val="22"/>
          <w:szCs w:val="22"/>
        </w:rPr>
        <w:t>13. ابن القيم الجوزية. (د.ت.). مدارج السالكين. تحقيق: محمد حامد الفقي. بيروت: دار الكتاب العربي.</w:t>
      </w:r>
    </w:p>
    <w:sectPr w:rsidR="006428B6">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33326" w14:textId="77777777" w:rsidR="00506DAD" w:rsidRDefault="00506DAD">
      <w:r>
        <w:separator/>
      </w:r>
    </w:p>
  </w:endnote>
  <w:endnote w:type="continuationSeparator" w:id="0">
    <w:p w14:paraId="6EDBBC86" w14:textId="77777777" w:rsidR="00506DAD" w:rsidRDefault="00506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2615F" w14:textId="77777777" w:rsidR="006428B6" w:rsidRDefault="00506DAD">
    <w:pPr>
      <w:jc w:val="center"/>
    </w:pPr>
    <w:r>
      <w:rPr>
        <w:color w:val="1B2A4A"/>
        <w:sz w:val="18"/>
        <w:szCs w:val="18"/>
      </w:rPr>
      <w:fldChar w:fldCharType="begin"/>
    </w:r>
    <w:r>
      <w:rPr>
        <w:color w:val="1B2A4A"/>
        <w:sz w:val="18"/>
        <w:szCs w:val="18"/>
      </w:rPr>
      <w:instrText>PAGE</w:instrText>
    </w:r>
    <w:r>
      <w:rPr>
        <w:color w:val="1B2A4A"/>
        <w:sz w:val="18"/>
        <w:szCs w:val="18"/>
      </w:rPr>
      <w:fldChar w:fldCharType="separate"/>
    </w:r>
    <w:r>
      <w:rPr>
        <w:color w:val="1B2A4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B119D" w14:textId="77777777" w:rsidR="00506DAD" w:rsidRDefault="00506DAD">
      <w:r>
        <w:separator/>
      </w:r>
    </w:p>
  </w:footnote>
  <w:footnote w:type="continuationSeparator" w:id="0">
    <w:p w14:paraId="1D28F947" w14:textId="77777777" w:rsidR="00506DAD" w:rsidRDefault="00506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8483C" w14:textId="77777777" w:rsidR="006428B6" w:rsidRDefault="00506DAD">
    <w:pPr>
      <w:pBdr>
        <w:bottom w:val="single" w:sz="6" w:space="4" w:color="B8860B"/>
      </w:pBdr>
      <w:jc w:val="center"/>
    </w:pPr>
    <w:r>
      <w:rPr>
        <w:i/>
        <w:iCs/>
        <w:color w:val="0F6B72"/>
        <w:sz w:val="16"/>
        <w:szCs w:val="16"/>
      </w:rPr>
      <w:t>علم النفس الاستخلافي — الدليل الإرشادي لـTLRT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926429"/>
    <w:multiLevelType w:val="hybridMultilevel"/>
    <w:tmpl w:val="FFFFFFFF"/>
    <w:lvl w:ilvl="0" w:tplc="AFD05280">
      <w:start w:val="1"/>
      <w:numFmt w:val="bullet"/>
      <w:lvlText w:val="●"/>
      <w:lvlJc w:val="left"/>
      <w:pPr>
        <w:ind w:left="720" w:hanging="360"/>
      </w:pPr>
    </w:lvl>
    <w:lvl w:ilvl="1" w:tplc="7C1CE2B2">
      <w:start w:val="1"/>
      <w:numFmt w:val="bullet"/>
      <w:lvlText w:val="○"/>
      <w:lvlJc w:val="left"/>
      <w:pPr>
        <w:ind w:left="1440" w:hanging="360"/>
      </w:pPr>
    </w:lvl>
    <w:lvl w:ilvl="2" w:tplc="7BACE834">
      <w:start w:val="1"/>
      <w:numFmt w:val="bullet"/>
      <w:lvlText w:val="■"/>
      <w:lvlJc w:val="left"/>
      <w:pPr>
        <w:ind w:left="2160" w:hanging="360"/>
      </w:pPr>
    </w:lvl>
    <w:lvl w:ilvl="3" w:tplc="9A064B10">
      <w:start w:val="1"/>
      <w:numFmt w:val="bullet"/>
      <w:lvlText w:val="●"/>
      <w:lvlJc w:val="left"/>
      <w:pPr>
        <w:ind w:left="2880" w:hanging="360"/>
      </w:pPr>
    </w:lvl>
    <w:lvl w:ilvl="4" w:tplc="1BE6AF16">
      <w:start w:val="1"/>
      <w:numFmt w:val="bullet"/>
      <w:lvlText w:val="○"/>
      <w:lvlJc w:val="left"/>
      <w:pPr>
        <w:ind w:left="3600" w:hanging="360"/>
      </w:pPr>
    </w:lvl>
    <w:lvl w:ilvl="5" w:tplc="63AC43C8">
      <w:start w:val="1"/>
      <w:numFmt w:val="bullet"/>
      <w:lvlText w:val="■"/>
      <w:lvlJc w:val="left"/>
      <w:pPr>
        <w:ind w:left="4320" w:hanging="360"/>
      </w:pPr>
    </w:lvl>
    <w:lvl w:ilvl="6" w:tplc="C8B8BEC6">
      <w:start w:val="1"/>
      <w:numFmt w:val="bullet"/>
      <w:lvlText w:val="●"/>
      <w:lvlJc w:val="left"/>
      <w:pPr>
        <w:ind w:left="5040" w:hanging="360"/>
      </w:pPr>
    </w:lvl>
    <w:lvl w:ilvl="7" w:tplc="467A4290">
      <w:start w:val="1"/>
      <w:numFmt w:val="bullet"/>
      <w:lvlText w:val="●"/>
      <w:lvlJc w:val="left"/>
      <w:pPr>
        <w:ind w:left="5760" w:hanging="360"/>
      </w:pPr>
    </w:lvl>
    <w:lvl w:ilvl="8" w:tplc="FD622F20">
      <w:start w:val="1"/>
      <w:numFmt w:val="bullet"/>
      <w:lvlText w:val="●"/>
      <w:lvlJc w:val="left"/>
      <w:pPr>
        <w:ind w:left="6480" w:hanging="360"/>
      </w:pPr>
    </w:lvl>
  </w:abstractNum>
  <w:num w:numId="1" w16cid:durableId="7268004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8B6"/>
    <w:rsid w:val="00072D9A"/>
    <w:rsid w:val="000E1263"/>
    <w:rsid w:val="002C1937"/>
    <w:rsid w:val="00362F0B"/>
    <w:rsid w:val="00506DAD"/>
    <w:rsid w:val="006428B6"/>
    <w:rsid w:val="00750646"/>
    <w:rsid w:val="00787E34"/>
    <w:rsid w:val="00963ECC"/>
    <w:rsid w:val="009C04F6"/>
    <w:rsid w:val="00A45C0C"/>
    <w:rsid w:val="00E36392"/>
    <w:rsid w:val="00E774E9"/>
    <w:rsid w:val="00EF63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3B25E88"/>
  <w15:docId w15:val="{A6783424-97AA-F344-AD14-9FD5AF54F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4"/>
        <w:szCs w:val="24"/>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4093</Words>
  <Characters>23331</Characters>
  <Application>Microsoft Office Word</Application>
  <DocSecurity>0</DocSecurity>
  <Lines>194</Lines>
  <Paragraphs>54</Paragraphs>
  <ScaleCrop>false</ScaleCrop>
  <Company/>
  <LinksUpToDate>false</LinksUpToDate>
  <CharactersWithSpaces>27370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الدليل الإرشادي المتكامل للعلاج بحرث المصالحة التحويلية (TLRT)</dc:title>
  <dc:creator>Narcissique</dc:creator>
  <cp:lastModifiedBy>zaraaabdesslem@gmail.com</cp:lastModifiedBy>
  <cp:revision>2</cp:revision>
  <dcterms:created xsi:type="dcterms:W3CDTF">2026-09-06T18:08:00Z</dcterms:created>
  <dcterms:modified xsi:type="dcterms:W3CDTF">2026-09-06T18:08:00Z</dcterms:modified>
</cp:coreProperties>
</file>