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025ED" w14:textId="77777777" w:rsidR="00331CF8" w:rsidRDefault="00331CF8">
      <w:pPr>
        <w:spacing w:before="1400"/>
      </w:pPr>
    </w:p>
    <w:p w14:paraId="70BBBC80" w14:textId="77777777" w:rsidR="00331CF8" w:rsidRDefault="009604E8">
      <w:pPr>
        <w:spacing w:after="200"/>
        <w:jc w:val="center"/>
      </w:pPr>
      <w:r>
        <w:rPr>
          <w:b/>
          <w:bCs/>
          <w:color w:val="0E6E6E"/>
        </w:rPr>
        <w:t>مشروع علم النفس الاستخلافي</w:t>
      </w:r>
    </w:p>
    <w:p w14:paraId="6D3B7EAC" w14:textId="77777777" w:rsidR="00331CF8" w:rsidRDefault="009604E8">
      <w:pPr>
        <w:spacing w:after="120" w:line="380" w:lineRule="auto"/>
        <w:jc w:val="center"/>
      </w:pPr>
      <w:r>
        <w:rPr>
          <w:b/>
          <w:bCs/>
          <w:color w:val="1B2A4A"/>
          <w:sz w:val="44"/>
          <w:szCs w:val="44"/>
        </w:rPr>
        <w:t>التمييز السريري بين سلوك حماية الممتلكات الشخصية</w:t>
      </w:r>
    </w:p>
    <w:p w14:paraId="1E777636" w14:textId="77777777" w:rsidR="00331CF8" w:rsidRDefault="009604E8">
      <w:pPr>
        <w:spacing w:after="300" w:line="380" w:lineRule="auto"/>
        <w:jc w:val="center"/>
      </w:pPr>
      <w:r>
        <w:rPr>
          <w:b/>
          <w:bCs/>
          <w:color w:val="1B2A4A"/>
          <w:sz w:val="44"/>
          <w:szCs w:val="44"/>
        </w:rPr>
        <w:t>والوسواس القهري والسمات البارانويا</w:t>
      </w:r>
    </w:p>
    <w:p w14:paraId="67FEB47B" w14:textId="77777777" w:rsidR="00331CF8" w:rsidRDefault="009604E8">
      <w:pPr>
        <w:pBdr>
          <w:top w:val="single" w:sz="10" w:space="10" w:color="B8860B"/>
        </w:pBdr>
        <w:spacing w:after="60"/>
        <w:jc w:val="center"/>
      </w:pPr>
      <w:r>
        <w:rPr>
          <w:i/>
          <w:iCs/>
          <w:color w:val="0E6E6E"/>
          <w:sz w:val="28"/>
          <w:szCs w:val="28"/>
        </w:rPr>
        <w:t>قراءة عيادية معمَّقة وقراءة استخلافية تكاملية</w:t>
      </w:r>
    </w:p>
    <w:p w14:paraId="2924AE24" w14:textId="550030D9" w:rsidR="00464633" w:rsidRDefault="00464633">
      <w:pPr>
        <w:pBdr>
          <w:top w:val="single" w:sz="10" w:space="10" w:color="B8860B"/>
        </w:pBdr>
        <w:spacing w:after="60"/>
        <w:jc w:val="center"/>
      </w:pPr>
      <w:r>
        <w:rPr>
          <w:rFonts w:hint="cs"/>
        </w:rPr>
        <w:t xml:space="preserve">بقلم </w:t>
      </w:r>
      <w:r w:rsidR="0055088D">
        <w:rPr>
          <w:rFonts w:hint="cs"/>
        </w:rPr>
        <w:t xml:space="preserve">: عبد السلام الزراع </w:t>
      </w:r>
    </w:p>
    <w:p w14:paraId="315EBBBC" w14:textId="77777777" w:rsidR="00331CF8" w:rsidRDefault="009604E8">
      <w:pPr>
        <w:spacing w:before="400" w:after="600"/>
        <w:jc w:val="center"/>
      </w:pPr>
      <w:r>
        <w:rPr>
          <w:color w:val="5B5B5B"/>
          <w:sz w:val="22"/>
          <w:szCs w:val="22"/>
        </w:rPr>
        <w:t>دراسة موحَّدة: من التصنيف العيادي إلى التشخيص الوجودي</w:t>
      </w:r>
    </w:p>
    <w:tbl>
      <w:tblPr>
        <w:tblW w:w="5000" w:type="pct"/>
        <w:tblInd w:w="1" w:type="dxa"/>
        <w:tblBorders>
          <w:top w:val="single" w:sz="18" w:space="0" w:color="B8860B"/>
          <w:left w:val="single" w:sz="18" w:space="0" w:color="B8860B"/>
          <w:bottom w:val="single" w:sz="18" w:space="0" w:color="B8860B"/>
          <w:right w:val="single" w:sz="18" w:space="0" w:color="B8860B"/>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60"/>
      </w:tblGrid>
      <w:tr w:rsidR="00331CF8" w14:paraId="5BC4E361" w14:textId="77777777">
        <w:tc>
          <w:tcPr>
            <w:tcW w:w="0" w:type="auto"/>
            <w:shd w:val="clear" w:color="auto" w:fill="F5E9C9"/>
            <w:tcMar>
              <w:top w:w="220" w:type="dxa"/>
              <w:left w:w="300" w:type="dxa"/>
              <w:bottom w:w="220" w:type="dxa"/>
              <w:right w:w="300" w:type="dxa"/>
            </w:tcMar>
          </w:tcPr>
          <w:p w14:paraId="1A54E81A" w14:textId="77777777" w:rsidR="00331CF8" w:rsidRDefault="009604E8">
            <w:pPr>
              <w:spacing w:after="100"/>
              <w:jc w:val="center"/>
            </w:pPr>
            <w:r>
              <w:rPr>
                <w:b/>
                <w:bCs/>
                <w:color w:val="1B2A4A"/>
                <w:sz w:val="27"/>
                <w:szCs w:val="27"/>
              </w:rPr>
              <w:t>﴿وَمَا خَلَقْتُ الْجِنَّ وَالْإِنسَ إِلَّا لِيَعْبُدُونِ﴾</w:t>
            </w:r>
          </w:p>
          <w:p w14:paraId="4658E7E4" w14:textId="77777777" w:rsidR="00331CF8" w:rsidRDefault="009604E8">
            <w:pPr>
              <w:jc w:val="center"/>
            </w:pPr>
            <w:r>
              <w:rPr>
                <w:i/>
                <w:iCs/>
                <w:color w:val="0E6E6E"/>
                <w:sz w:val="21"/>
                <w:szCs w:val="21"/>
              </w:rPr>
              <w:t>سورة الذاريات: 56</w:t>
            </w:r>
          </w:p>
        </w:tc>
      </w:tr>
    </w:tbl>
    <w:p w14:paraId="2B53DA01" w14:textId="77777777" w:rsidR="00331CF8" w:rsidRDefault="00331CF8">
      <w:pPr>
        <w:pageBreakBefore/>
      </w:pPr>
    </w:p>
    <w:p w14:paraId="4ADF2311" w14:textId="77777777" w:rsidR="00331CF8" w:rsidRDefault="009604E8">
      <w:pPr>
        <w:pStyle w:val="1"/>
        <w:pBdr>
          <w:bottom w:val="single" w:sz="12" w:space="6" w:color="B8860B"/>
        </w:pBdr>
        <w:spacing w:before="480" w:after="240"/>
        <w:jc w:val="right"/>
      </w:pPr>
      <w:r>
        <w:rPr>
          <w:b/>
          <w:bCs/>
          <w:color w:val="1B2A4A"/>
          <w:sz w:val="34"/>
          <w:szCs w:val="34"/>
        </w:rPr>
        <w:t>تمهيد عام: في وحدة القراءتين</w:t>
      </w:r>
    </w:p>
    <w:p w14:paraId="6D5120AF" w14:textId="77777777" w:rsidR="00331CF8" w:rsidRDefault="009604E8">
      <w:pPr>
        <w:spacing w:after="160" w:line="336" w:lineRule="auto"/>
        <w:jc w:val="both"/>
      </w:pPr>
      <w:r>
        <w:rPr>
          <w:color w:val="1A1A1A"/>
        </w:rPr>
        <w:t>قد يبدو في بعض الحالات أن رفض الشخص السماح للآخرين بلمس أغراضه الشخصية، مثل الكوب أو الملابس أو الفراش أو الطعام، دليلًا مباشرًا على الخوف من الجراثيم أو التلوث. غير أن الملاحظة السريرية الدقيقة للسلوك، وللسياق المعرفي والانفعالي المصاحب له، قد تكشف عن آليات نفسية مختلفة تمامًا، بل متباعدة في جذورها التشخيصية والوجودية على حدٍّ سواء.</w:t>
      </w:r>
    </w:p>
    <w:p w14:paraId="5C5FCDC9" w14:textId="77777777" w:rsidR="00331CF8" w:rsidRDefault="009604E8">
      <w:pPr>
        <w:spacing w:after="160" w:line="336" w:lineRule="auto"/>
        <w:jc w:val="both"/>
      </w:pPr>
      <w:r>
        <w:rPr>
          <w:color w:val="1A1A1A"/>
        </w:rPr>
        <w:t>فإذا كانت فتاة تتناول الطعام من أطباق الآخرين، وتستخدم أغراضهم أو تلمسها دون قلق ظاهر، لكنها في المقابل ترفض بصورة شديدة أن يلمس الآخرون أغراضها الخاصة، فإن هذا النمط السلوكي لا يتوافق بصورة نموذجية مع الصورة الكلاسيكية لرهاب الجراثيم أو وسواس التلوث الجسدي. فالخوف هنا قد لا يكون متمحورًا حول فكرة «سأتلوث إذا لامست الآخرين»، بل حول معنى آخر تمامًا: الخصوصية، أو حدود الملكية الشخصية، أو فقدان السيطرة، أو الاشتباه في نوايا الآخرين.</w:t>
      </w:r>
    </w:p>
    <w:p w14:paraId="62668DBB" w14:textId="77777777" w:rsidR="00331CF8" w:rsidRDefault="009604E8">
      <w:pPr>
        <w:spacing w:after="160" w:line="336" w:lineRule="auto"/>
        <w:jc w:val="both"/>
      </w:pPr>
      <w:r>
        <w:rPr>
          <w:color w:val="1A1A1A"/>
        </w:rPr>
        <w:t>تسعى هذه الدراسة إلى توحيد مستويين من التحليل كانا يُعرَضان بصورة متجاورة: مستوى «التشخيص الإكلينيكي التفريقي» القائم على أدوات الطب النفسي المعاصر — الدليل التشخيصي والإحصائي للاضطرابات النفسية في نسخته المنقَّحة (DSM-5-TR)، ونظريات الوسواس القهري والملكية النفسية والتنظيم الزوراني للشخصية — ومستوى «القراءة الاستخلافية» القائم على النموذج الهرمي القرآني الذي صاغه الباحث عبد السلام الزراع ضمن مشروع علم النفس الاستخلافي. والغاية من هذا التوحيد ليست إذابة الفوارق المنهجية بين المستويين في قالب واحد، بل إظهار كيف يُخصِّب كلٌّ منهما الآخر: فالتشخيص الإكلينيكي يمنح الدقة الوصفية والاحتراز المنهجي من القفز إلى الاستنتاج، بينما تمنح القراءة الاستخلافية عمقًا وجوديًا وغائيًا يسأل: «ما الذي انحرف في هذا الإنسان عن فطرته واستخلافه؟» — وهو سؤال لا تطرحه التصنيفات الوصفية بحكم طبيعتها الوظيفية المحدودة.</w:t>
      </w:r>
    </w:p>
    <w:p w14:paraId="1358267D" w14:textId="77777777" w:rsidR="00331CF8" w:rsidRDefault="009604E8">
      <w:pPr>
        <w:spacing w:after="160" w:line="336" w:lineRule="auto"/>
        <w:jc w:val="both"/>
      </w:pPr>
      <w:r>
        <w:rPr>
          <w:color w:val="1A1A1A"/>
        </w:rPr>
        <w:t>وعليه، ينبغي منذ البداية تجنُّب الانتقال المباشر من «السلوك الظاهر» إلى التشخيص في أيٍّ من المستويين، ذلك أن السلوك الواحد يمكن أن يظهر ضمن اضطرابات أو أنماط شخصية مختلفة تمامًا، بل يمكن أحيانًا ألا يكون مرضيًا على الإطلاق. وتتوزع هذه الدراسة على ثلاثة أبواب: الأول يُقيم البنية العيادية التفريقية للحالة بحرفية أكاديمية مدعَّمة بأحدث الأدبيات المُتحقَّق منها، والثاني يقدِّم القراءة الاستخلافية للحالة نفسها، والثالث يعقد بينهما تركيبًا معرفيًا يُبرز نقاط التقاطع والتمايز بين الإطارين.</w:t>
      </w:r>
    </w:p>
    <w:p w14:paraId="37C93DF0" w14:textId="77777777" w:rsidR="00331CF8" w:rsidRDefault="00331CF8">
      <w:pPr>
        <w:pageBreakBefore/>
      </w:pPr>
    </w:p>
    <w:p w14:paraId="3E59E054" w14:textId="77777777" w:rsidR="00331CF8" w:rsidRDefault="009604E8">
      <w:pPr>
        <w:pStyle w:val="1"/>
        <w:pBdr>
          <w:bottom w:val="single" w:sz="12" w:space="6" w:color="B8860B"/>
        </w:pBdr>
        <w:spacing w:before="480" w:after="240"/>
        <w:jc w:val="right"/>
      </w:pPr>
      <w:r>
        <w:rPr>
          <w:b/>
          <w:bCs/>
          <w:color w:val="1B2A4A"/>
          <w:sz w:val="34"/>
          <w:szCs w:val="34"/>
        </w:rPr>
        <w:t>الباب الأول: التمييز السريري الإكلينيكي</w:t>
      </w:r>
    </w:p>
    <w:p w14:paraId="18FFBC94" w14:textId="77777777" w:rsidR="00331CF8" w:rsidRDefault="009604E8">
      <w:pPr>
        <w:pStyle w:val="2"/>
        <w:spacing w:before="360" w:after="180"/>
        <w:jc w:val="right"/>
      </w:pPr>
      <w:r>
        <w:rPr>
          <w:b/>
          <w:bCs/>
          <w:color w:val="0E6E6E"/>
          <w:sz w:val="28"/>
          <w:szCs w:val="28"/>
        </w:rPr>
        <w:t>الفصل الأول: منهجية التقييم — عدم القفز من العرض إلى التشخيص</w:t>
      </w:r>
    </w:p>
    <w:p w14:paraId="25F226E0" w14:textId="77777777" w:rsidR="00331CF8" w:rsidRDefault="009604E8">
      <w:pPr>
        <w:spacing w:after="160" w:line="336" w:lineRule="auto"/>
        <w:jc w:val="both"/>
      </w:pPr>
      <w:r>
        <w:rPr>
          <w:color w:val="1A1A1A"/>
        </w:rPr>
        <w:t>من أقدم القواعد المنهجية في الطب النفسي الوصفي أن «العرض الواحد» لا يُحدِّد التشخيص، وأن كل سلوك ينبغي أن يُفهَم من خلال محتواه المعرفي (ماذا يعتقد الشخص؟)، ومكوِّنه الانفعالي (بمَ يشعر؟)، ووظيفته السلوكية (ما الذي يخفِّضه أو يحقِّقه هذا السلوك؟)، ودرجة استمراريته وانتشاره عبر السياقات. وهذا الاحتراز متجذِّر تاريخيًّا في تمييز كريبلين المبكِّر بين أنماط الزَّور المتعدِّدة، ولا تزال الأدلة التشخيصية المعاصرة تُقرُّه صراحةً حين تشترط في معايير اضطرابات الشخصية أن يكون النمط «شاملًا وثابتًا وممتدًّا عبر مجالٍ واسع من السياقات الشخصية والاجتماعية» (American Psychiatric Association, 2022).</w:t>
      </w:r>
    </w:p>
    <w:p w14:paraId="55CA2030" w14:textId="77777777" w:rsidR="00331CF8" w:rsidRDefault="009604E8">
      <w:pPr>
        <w:spacing w:after="160" w:line="336" w:lineRule="auto"/>
        <w:jc w:val="both"/>
      </w:pPr>
      <w:r>
        <w:rPr>
          <w:color w:val="1A1A1A"/>
        </w:rPr>
        <w:t>فالسؤال السريري الأساسي إزاء حالة الفتاة التي ترفض لمس أغراضها الشخصية ليس: «هل ترفض أن يلمس أحدٌ أغراضها؟»، وإنما: «ما الفكرة التي تجعل لمس الآخرين لأغراضها غير مقبول بالنسبة إليها؟». وإجابة هذا السؤال هي التي تفتح ثلاثة مسارات تشخيصية متمايزة تمامًا في جذورها المعرفية والانفعالية، سنتناولها تباعًا، مع التذكير بأن هذه المسارات ليست حصرية متبادلة بالضرورة، إذ يمكن أن تتراكب جزئيًّا في بعض الحالات المركَّبة.</w:t>
      </w:r>
    </w:p>
    <w:p w14:paraId="4641AFD9" w14:textId="77777777" w:rsidR="00331CF8" w:rsidRDefault="009604E8">
      <w:pPr>
        <w:pStyle w:val="2"/>
        <w:spacing w:before="360" w:after="180"/>
        <w:jc w:val="right"/>
      </w:pPr>
      <w:r>
        <w:rPr>
          <w:b/>
          <w:bCs/>
          <w:color w:val="0E6E6E"/>
          <w:sz w:val="28"/>
          <w:szCs w:val="28"/>
        </w:rPr>
        <w:t>الفصل الثاني: الفرضية الأولى — الوسواس القهري ذو المحتوى المرتبط بالتلوث</w:t>
      </w:r>
    </w:p>
    <w:p w14:paraId="6103EC93" w14:textId="77777777" w:rsidR="00331CF8" w:rsidRDefault="009604E8">
      <w:pPr>
        <w:spacing w:after="160" w:line="336" w:lineRule="auto"/>
        <w:jc w:val="both"/>
      </w:pPr>
      <w:r>
        <w:rPr>
          <w:color w:val="1A1A1A"/>
        </w:rPr>
        <w:t>في الوسواس القهري ذي المحتوى المتعلق بالتلوث، يكون المحور عادةً أفكارًا أو مخاوف اقتحامية متكررة مرتبطة بالتلوث أو الإصابة بالمرض، يعقبها غالبًا سلوك قهري يهدف إلى خفض القلق: الغسل المتكرر، أو التعقيم، أو التجنُّب، أو طلب الطمأنة.</w:t>
      </w:r>
    </w:p>
    <w:p w14:paraId="6E97ADF3" w14:textId="77777777" w:rsidR="00331CF8" w:rsidRDefault="009604E8">
      <w:pPr>
        <w:spacing w:after="160" w:line="336" w:lineRule="auto"/>
        <w:jc w:val="both"/>
      </w:pPr>
      <w:r>
        <w:rPr>
          <w:color w:val="1A1A1A"/>
        </w:rPr>
        <w:t>غير أن الأدبيات المعاصرة في هذا الحقل — وأبرزها أعمال ستانلي راخمان — ميَّزت بدقة بين نمطين من التلوث: «التلوث التلامسي» (contact contamination) الذي يستوجب ملامسة فعلية لمصدر التلويث، و«تلوُّث العقل» أو «التلوث الذهني» (mental pollution) الذي عرَّفه راخمان بأنه شعورٌ داخلي بالقذارة أو الانتهاك قد ينشأ دون أي تلامس مادي، بل بمجرد فكرة أو تذكُّر أو تخيُّل (Rachman, 1994). وقد وسَّع راخمان لاحقًا هذا التصوُّر في نظريته الشاملة عن «الخوف من التلوث»، مُعرِّفًا إياه بأنه شعورٌ شديد ومستمر بالتلوث أو الإصابة أو التهديد نتيجة تماسٍّ مباشر أو غير مباشر مع شخصٍ أو مكانٍ أو شيءٍ يُدرَك على أنه غير نظيف أو مُعدٍ أو ضار (Rachman, 2004).</w:t>
      </w:r>
    </w:p>
    <w:p w14:paraId="4BF9285B" w14:textId="77777777" w:rsidR="00331CF8" w:rsidRDefault="009604E8">
      <w:pPr>
        <w:spacing w:after="160" w:line="336" w:lineRule="auto"/>
        <w:jc w:val="both"/>
      </w:pPr>
      <w:r>
        <w:rPr>
          <w:color w:val="1A1A1A"/>
        </w:rPr>
        <w:t>وهذا التمييز حاسمٌ إكلينيكيًّا في حالتنا: فحتى لو لم يكن الخوف متمحورًا حول جرثومة مادية بعينها، يظل الوسواس القهري المتعلق بالتلوث الذهني احتمالًا واردًا ما دام المحور المعرفي هو الانتقال أو الانتهاك أو التلوث بمعناه الرمزي أو النفسي، لا الملكية أو الشك في النوايا بحدِّ ذاتها. أما إذا كان الشخص لا يبالي بلمس أغراض الآخرين أو تناول الطعام معهم، ولكنه يشعر بأن لمس الآخرين لأغراضه الخاصة يمثِّل انتهاكًا لخصوصيته أو ملكيته أو سيطرته عليها — دون أن يتضمَّن ذلك فكرة تلوُّث أو عدوى أو «ضرر جسدي» — فإن تفسير السلوك باعتباره «وسواس نظافة» يصبح أقل اتساقًا مع المعطيات، ويستوجب الانتقال إلى الفرضية الثانية.</w:t>
      </w:r>
    </w:p>
    <w:p w14:paraId="308E063F" w14:textId="77777777" w:rsidR="00331CF8" w:rsidRDefault="009604E8">
      <w:pPr>
        <w:spacing w:before="80" w:after="80" w:line="320" w:lineRule="auto"/>
        <w:jc w:val="center"/>
      </w:pPr>
      <w:r>
        <w:rPr>
          <w:i/>
          <w:iCs/>
          <w:color w:val="1B2A4A"/>
          <w:sz w:val="23"/>
          <w:szCs w:val="23"/>
        </w:rPr>
        <w:t>«ما الفكرة التي تجعل لمس الآخرين لأغراضها غير مقبول بالنسبة إليها؟»</w:t>
      </w:r>
    </w:p>
    <w:p w14:paraId="53927AE6" w14:textId="77777777" w:rsidR="00331CF8" w:rsidRDefault="009604E8">
      <w:pPr>
        <w:pStyle w:val="2"/>
        <w:spacing w:before="360" w:after="180"/>
        <w:jc w:val="right"/>
      </w:pPr>
      <w:r>
        <w:rPr>
          <w:b/>
          <w:bCs/>
          <w:color w:val="0E6E6E"/>
          <w:sz w:val="28"/>
          <w:szCs w:val="28"/>
        </w:rPr>
        <w:t>الفصل الثالث: الفرضية الثانية — الملكية النفسية والحدود الشخصية والحاجة إلى السيطرة</w:t>
      </w:r>
    </w:p>
    <w:p w14:paraId="3581A57E" w14:textId="77777777" w:rsidR="00331CF8" w:rsidRDefault="009604E8">
      <w:pPr>
        <w:spacing w:after="160" w:line="336" w:lineRule="auto"/>
        <w:jc w:val="both"/>
      </w:pPr>
      <w:r>
        <w:rPr>
          <w:color w:val="1A1A1A"/>
        </w:rPr>
        <w:t>قد يظهر لدى بعض الأشخاص انشغالٌ شديد بالحفاظ على أغراضهم ضمن نطاق شخصي مغلق، بحيث تصبح الأشياء الشخصية امتدادًا لحدود الذات. وهنا تصبح الفكرة المركزية أقرب إلى: «هذه أشيائي، ولا أريد لأحد أن يتدخل فيها أو يلمسها» — دون أن يتضمَّن ذلك بالضرورة شكًّا في نوايا الآخرين أو خوفًا من التلوث.</w:t>
      </w:r>
    </w:p>
    <w:p w14:paraId="49B6A7BE" w14:textId="77777777" w:rsidR="00331CF8" w:rsidRDefault="009604E8">
      <w:pPr>
        <w:spacing w:after="160" w:line="336" w:lineRule="auto"/>
        <w:jc w:val="both"/>
      </w:pPr>
      <w:r>
        <w:rPr>
          <w:color w:val="1A1A1A"/>
        </w:rPr>
        <w:t>ويقدِّم أدب «الملكية النفسية» (Psychological Ownership) إطارًا نظريًّا دقيقًا لفهم هذا النمط. فقد عرَّف بيرس وكوستوفا وديركس الملكية النفسية بأنها الحالة التي يشعر فيها الفرد بأن هدفًا ماديًّا أو معنويًّا — كليًّا أو جزئيًّا — هو ملكه، بصرف النظر عن الملكية القانونية (Pierce, Kostova, &amp; Dirks, 2003). وتتشكَّل هذه الحالة عبر ثلاثة مسارات: السيطرة على الهدف (فكلما ازدادت قدرة الفرد على التحكُّم بالشيء، ازداد شعوره بأنه جزءٌ منه)، والمعرفة الحميمة به، والاستثمار الذاتي فيه (الوقت والجهد والهوية). وتخدم هذه الحالة ثلاث حاجات وجودية عميقة: الفاعلية (الشعور بالقدرة على التأثير في العالم)، والهوية الذاتية (الشيء يُعبِّر عمَّن أنا)، والانتماء إلى مكان (Pierce et al., 2003).</w:t>
      </w:r>
    </w:p>
    <w:p w14:paraId="7F4DFD1C" w14:textId="77777777" w:rsidR="00331CF8" w:rsidRDefault="009604E8">
      <w:pPr>
        <w:spacing w:after="160" w:line="336" w:lineRule="auto"/>
        <w:jc w:val="both"/>
      </w:pPr>
      <w:r>
        <w:rPr>
          <w:color w:val="1A1A1A"/>
        </w:rPr>
        <w:t>من هذا المنظور، فإن رفض الفتاة لمس أغراضها الشخصية قد لا يكون أكثر من تعبيرٍ حادٍّ عن «حدود ملكية نفسية» مشدَّدة، خصوصًا إذا كانت هذه الأغراض — الفراش والملابس والكوب — ترتبط بمكوِّنات الهوية والخصوصية الجسدية بدرجة عالية. غير أن مصطلح «وسواس التملُّك» أو «OCD التملُّكي» لا ينبغي استخدامه بوصفه تشخيصًا رسميًّا مستقلًّا ما لم تتوافر المعايير التشخيصية الكاملة للوسواس القهري؛ فمجرَّد وجود سلوك تملُّكي أو رفض مشاركة الممتلكات لا يعني بالضرورة وجود اضطراب الوسواس القهري، وقد يكون هذا السلوك مرتبطًا بسمات شخصية، أو حاجة مرتفعة إلى السيطرة، أو حاجة إلى الخصوصية، أو خبرات سابقة، أو أنماط أسرية وتربوية، أو آليات نفسية أخرى غير مرضية أصلًا.</w:t>
      </w:r>
    </w:p>
    <w:p w14:paraId="6DF41A3F" w14:textId="77777777" w:rsidR="00331CF8" w:rsidRDefault="009604E8">
      <w:pPr>
        <w:pBdr>
          <w:right w:val="single" w:sz="16" w:space="8" w:color="0E6E6E"/>
        </w:pBdr>
        <w:spacing w:before="100" w:after="100" w:line="320" w:lineRule="auto"/>
        <w:ind w:right="500"/>
        <w:jc w:val="right"/>
      </w:pPr>
      <w:r>
        <w:rPr>
          <w:i/>
          <w:iCs/>
          <w:color w:val="1B2A4A"/>
        </w:rPr>
        <w:t>«هذه أشيائي، ولا أريد لأحد أن يتدخل فيها أو يلمسها.»</w:t>
      </w:r>
    </w:p>
    <w:p w14:paraId="489FE57D" w14:textId="77777777" w:rsidR="00331CF8" w:rsidRDefault="009604E8">
      <w:pPr>
        <w:pStyle w:val="2"/>
        <w:spacing w:before="360" w:after="180"/>
        <w:jc w:val="right"/>
      </w:pPr>
      <w:r>
        <w:rPr>
          <w:b/>
          <w:bCs/>
          <w:color w:val="0E6E6E"/>
          <w:sz w:val="28"/>
          <w:szCs w:val="28"/>
        </w:rPr>
        <w:t>الفصل الرابع: الفرضية الثالثة — السمات الزورانية واضطراب الشخصية الزورانية</w:t>
      </w:r>
    </w:p>
    <w:p w14:paraId="3933B6F7" w14:textId="77777777" w:rsidR="00331CF8" w:rsidRDefault="009604E8">
      <w:pPr>
        <w:spacing w:after="160" w:line="336" w:lineRule="auto"/>
        <w:jc w:val="both"/>
      </w:pPr>
      <w:r>
        <w:rPr>
          <w:color w:val="1A1A1A"/>
        </w:rPr>
        <w:t>يصبح الاحتمال الزوراني أكثر أهمية عندما لا يقتصر السلوك على حماية الممتلكات، بل يرتبط بتفسيرٍ سلبي أو شكِّي لنوايا الآخرين. فهناك فرق جوهري بين قول الشخص: «لا أحب أن يستخدم أحد كوبي؛ لأنه شيء شخصي» — وهو تعبير عن حدود ملكية — وبين قوله: «لا أسمح لأحد باستخدام كوبي؛ لأنني لا أثق بالآخرين، وقد يتعمَّدون إيذائي أو تلويثه أو وضع شيء فيه» — وهو تعبير يُدخل عنصر الشك في نوايا الآخرين، وينقل المشكلة من الملكية إلى «العلاقة بالآخر» ذاتها. وتزداد أهمية هذا الاحتمال إذا كان الشك نمطًا عامًّا ومستمرًّا يظهر في العلاقات المختلفة، لا مجرد موقف محدود يتعلَّق بالأغراض الشخصية.</w:t>
      </w:r>
    </w:p>
    <w:p w14:paraId="0FFEF14F" w14:textId="77777777" w:rsidR="00331CF8" w:rsidRDefault="009604E8">
      <w:pPr>
        <w:spacing w:after="160" w:line="336" w:lineRule="auto"/>
        <w:jc w:val="both"/>
      </w:pPr>
      <w:r>
        <w:rPr>
          <w:color w:val="1A1A1A"/>
        </w:rPr>
        <w:t>ووفق الدليل التشخيصي والإحصائي للاضطرابات النفسية في نسخته المنقَّحة الأخيرة، فإن اضطراب الشخصية الزورانية (Paranoid Personality Disorder) هو نمط مستمر من انعدام الثقة والشك بالآخرين، بحيث تُفسَّر دوافعهم غالبًا على أنها خبيثة أو مؤذية، ويظهر ذلك في سياقات متعددة ويؤثِّر في العلاقات والحياة اليومية (American Psychiatric Association, 2022). ومن أبرز سماته التشخيصية:</w:t>
      </w:r>
    </w:p>
    <w:p w14:paraId="427C136E" w14:textId="77777777" w:rsidR="00331CF8" w:rsidRDefault="009604E8">
      <w:pPr>
        <w:spacing w:after="130" w:line="320" w:lineRule="auto"/>
        <w:ind w:right="420" w:hanging="420"/>
        <w:jc w:val="right"/>
      </w:pPr>
      <w:r>
        <w:rPr>
          <w:b/>
          <w:bCs/>
          <w:color w:val="1B2A4A"/>
        </w:rPr>
        <w:t xml:space="preserve">1.  </w:t>
      </w:r>
      <w:r>
        <w:rPr>
          <w:color w:val="1A1A1A"/>
        </w:rPr>
        <w:t>الشك المتكرر، دون أساس كافٍ، في أن الآخرين يستغلونه أو يخدعونه أو يؤذونه.</w:t>
      </w:r>
    </w:p>
    <w:p w14:paraId="2D02317D" w14:textId="77777777" w:rsidR="00331CF8" w:rsidRDefault="009604E8">
      <w:pPr>
        <w:spacing w:after="130" w:line="320" w:lineRule="auto"/>
        <w:ind w:right="420" w:hanging="420"/>
        <w:jc w:val="right"/>
      </w:pPr>
      <w:r>
        <w:rPr>
          <w:b/>
          <w:bCs/>
          <w:color w:val="1B2A4A"/>
        </w:rPr>
        <w:t xml:space="preserve">2.  </w:t>
      </w:r>
      <w:r>
        <w:rPr>
          <w:color w:val="1A1A1A"/>
        </w:rPr>
        <w:t>الانشغال غير المبرَّر بالشك في ولاء الأصدقاء أو الأشخاص المقرَّبين.</w:t>
      </w:r>
    </w:p>
    <w:p w14:paraId="483149AC" w14:textId="77777777" w:rsidR="00331CF8" w:rsidRDefault="009604E8">
      <w:pPr>
        <w:spacing w:after="130" w:line="320" w:lineRule="auto"/>
        <w:ind w:right="420" w:hanging="420"/>
        <w:jc w:val="right"/>
      </w:pPr>
      <w:r>
        <w:rPr>
          <w:b/>
          <w:bCs/>
          <w:color w:val="1B2A4A"/>
        </w:rPr>
        <w:t xml:space="preserve">3.  </w:t>
      </w:r>
      <w:r>
        <w:rPr>
          <w:color w:val="1A1A1A"/>
        </w:rPr>
        <w:t>التردد في الإفصاح عن المعلومات الشخصية بسبب الخوف من استخدامها ضده.</w:t>
      </w:r>
    </w:p>
    <w:p w14:paraId="25E42D58" w14:textId="77777777" w:rsidR="00331CF8" w:rsidRDefault="009604E8">
      <w:pPr>
        <w:spacing w:after="130" w:line="320" w:lineRule="auto"/>
        <w:ind w:right="420" w:hanging="420"/>
        <w:jc w:val="right"/>
      </w:pPr>
      <w:r>
        <w:rPr>
          <w:b/>
          <w:bCs/>
          <w:color w:val="1B2A4A"/>
        </w:rPr>
        <w:t xml:space="preserve">4.  </w:t>
      </w:r>
      <w:r>
        <w:rPr>
          <w:color w:val="1A1A1A"/>
        </w:rPr>
        <w:t>تفسير الملاحظات أو الأحداث المحايدة باعتبارها ذات معنى مهين أو تهديدي.</w:t>
      </w:r>
    </w:p>
    <w:p w14:paraId="3DAC44FD" w14:textId="77777777" w:rsidR="00331CF8" w:rsidRDefault="009604E8">
      <w:pPr>
        <w:spacing w:after="130" w:line="320" w:lineRule="auto"/>
        <w:ind w:right="420" w:hanging="420"/>
        <w:jc w:val="right"/>
      </w:pPr>
      <w:r>
        <w:rPr>
          <w:b/>
          <w:bCs/>
          <w:color w:val="1B2A4A"/>
        </w:rPr>
        <w:t xml:space="preserve">5.  </w:t>
      </w:r>
      <w:r>
        <w:rPr>
          <w:color w:val="1A1A1A"/>
        </w:rPr>
        <w:t>الميل إلى الاحتفاظ بالضغائن وصعوبة التسامح مع الإهانات أو التجاوزات.</w:t>
      </w:r>
    </w:p>
    <w:p w14:paraId="14DF6459" w14:textId="77777777" w:rsidR="00331CF8" w:rsidRDefault="009604E8">
      <w:pPr>
        <w:spacing w:after="130" w:line="320" w:lineRule="auto"/>
        <w:ind w:right="420" w:hanging="420"/>
        <w:jc w:val="right"/>
      </w:pPr>
      <w:r>
        <w:rPr>
          <w:b/>
          <w:bCs/>
          <w:color w:val="1B2A4A"/>
        </w:rPr>
        <w:t xml:space="preserve">6.  </w:t>
      </w:r>
      <w:r>
        <w:rPr>
          <w:color w:val="1A1A1A"/>
        </w:rPr>
        <w:t>سرعة الإحساس بالإهانة والهجوم على الكرامة أو السمعة، والاستجابة بالغضب أو الدفاعية.</w:t>
      </w:r>
    </w:p>
    <w:p w14:paraId="591953EB" w14:textId="77777777" w:rsidR="00331CF8" w:rsidRDefault="009604E8">
      <w:pPr>
        <w:spacing w:after="130" w:line="320" w:lineRule="auto"/>
        <w:ind w:right="420" w:hanging="420"/>
        <w:jc w:val="right"/>
      </w:pPr>
      <w:r>
        <w:rPr>
          <w:b/>
          <w:bCs/>
          <w:color w:val="1B2A4A"/>
        </w:rPr>
        <w:t xml:space="preserve">7.  </w:t>
      </w:r>
      <w:r>
        <w:rPr>
          <w:color w:val="1A1A1A"/>
        </w:rPr>
        <w:t>الشك المتكرر وغير المبرَّر في إخلاص الشريك العاطفي أو الزوج.</w:t>
      </w:r>
    </w:p>
    <w:p w14:paraId="3BB530F1" w14:textId="77777777" w:rsidR="00331CF8" w:rsidRDefault="009604E8">
      <w:pPr>
        <w:spacing w:after="160" w:line="336" w:lineRule="auto"/>
        <w:jc w:val="both"/>
      </w:pPr>
      <w:r>
        <w:rPr>
          <w:color w:val="1A1A1A"/>
        </w:rPr>
        <w:t>ويربط بك وزملاؤه هذا النمط المعرفي بمخطَّطٍ أساسي (schema) مفاده أن «الآخرين خصومٌ محتملون»، وأن «اليقظة المفرطة» ضرورةٌ للبقاء آمنًا — وهو مخطَّط يُبقي صاحبه في حالة تأهُّبٍ دائم يفسِّر الأفعال المحايدة على أنها عدائية، ويجعل الثقة بالآخرين مكلفةً وجوديًّا (Beck, Freeman, Davis, &amp; Associates, 2004). والأهم سريريًّا أن هذه السمات يجب أن تكون — وفق المعيارَين B وD في الدليل التشخيصي — مستمرةً وواسعة الانتشار، وأن تبدأ عادةً منذ بداية الرشد أو المراهقة المتأخرة، وأن تظهر في سياقاتٍ متعددة، وأن تؤدي إلى خللٍ أو معاناة ذات دلالة إكلينيكية. ولذلك لا يمكن تشخيص اضطراب الشخصية الزورانية اعتمادًا على سلوكٍ واحد، مثل منع الآخرين من لمس الملابس أو الفراش.</w:t>
      </w:r>
    </w:p>
    <w:p w14:paraId="31236DD6" w14:textId="77777777" w:rsidR="00331CF8" w:rsidRDefault="009604E8">
      <w:pPr>
        <w:spacing w:after="160" w:line="336" w:lineRule="auto"/>
        <w:jc w:val="both"/>
      </w:pPr>
      <w:r>
        <w:rPr>
          <w:color w:val="1A1A1A"/>
        </w:rPr>
        <w:t>وتتسق هذه الملاحظة مع تحليل ماكويليامز لِما تسمِّيه «التنظيم الزوراني للشخصية» (paranoid character organization)، والذي لا يُعرَف بمحتوى شكوكه بقدر ما يُعرَف ببنيته الدفاعية المتكررة: الإسقاط، والتماهي الإسقاطي، وتحويل القلق الداخلي إلى تهديدٍ خارجي — وهي بنية دفاعية قد تتخفَّى وراء محتوًى سطحي يبدو للوهلة الأولى مجرد «حرص على الممتلكات» (McWilliams, 2011).</w:t>
      </w:r>
    </w:p>
    <w:p w14:paraId="37396DE1" w14:textId="77777777" w:rsidR="00331CF8" w:rsidRDefault="009604E8">
      <w:pPr>
        <w:pStyle w:val="2"/>
        <w:spacing w:before="360" w:after="180"/>
        <w:jc w:val="right"/>
      </w:pPr>
      <w:r>
        <w:rPr>
          <w:b/>
          <w:bCs/>
          <w:color w:val="0E6E6E"/>
          <w:sz w:val="28"/>
          <w:szCs w:val="28"/>
        </w:rPr>
        <w:t>الفصل الخامس: جدول المقارنة التشخيصية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4317"/>
        <w:gridCol w:w="3437"/>
      </w:tblGrid>
      <w:tr w:rsidR="00331CF8" w14:paraId="5762969C" w14:textId="77777777">
        <w:tc>
          <w:tcPr>
            <w:tcW w:w="0" w:type="auto"/>
            <w:shd w:val="clear" w:color="auto" w:fill="1B2A4A"/>
            <w:tcMar>
              <w:top w:w="140" w:type="dxa"/>
              <w:left w:w="160" w:type="dxa"/>
              <w:bottom w:w="140" w:type="dxa"/>
              <w:right w:w="160" w:type="dxa"/>
            </w:tcMar>
            <w:vAlign w:val="center"/>
          </w:tcPr>
          <w:p w14:paraId="313920FD" w14:textId="77777777" w:rsidR="00331CF8" w:rsidRDefault="009604E8">
            <w:pPr>
              <w:jc w:val="right"/>
            </w:pPr>
            <w:r>
              <w:rPr>
                <w:b/>
                <w:bCs/>
                <w:color w:val="FFFFFF"/>
                <w:sz w:val="22"/>
                <w:szCs w:val="22"/>
              </w:rPr>
              <w:t>البعد</w:t>
            </w:r>
          </w:p>
        </w:tc>
        <w:tc>
          <w:tcPr>
            <w:tcW w:w="0" w:type="auto"/>
            <w:shd w:val="clear" w:color="auto" w:fill="1B2A4A"/>
            <w:tcMar>
              <w:top w:w="140" w:type="dxa"/>
              <w:left w:w="160" w:type="dxa"/>
              <w:bottom w:w="140" w:type="dxa"/>
              <w:right w:w="160" w:type="dxa"/>
            </w:tcMar>
            <w:vAlign w:val="center"/>
          </w:tcPr>
          <w:p w14:paraId="77B351FD" w14:textId="77777777" w:rsidR="00331CF8" w:rsidRDefault="009604E8">
            <w:pPr>
              <w:jc w:val="right"/>
            </w:pPr>
            <w:r>
              <w:rPr>
                <w:b/>
                <w:bCs/>
                <w:color w:val="FFFFFF"/>
                <w:sz w:val="22"/>
                <w:szCs w:val="22"/>
              </w:rPr>
              <w:t>الوسواس القهري</w:t>
            </w:r>
          </w:p>
        </w:tc>
        <w:tc>
          <w:tcPr>
            <w:tcW w:w="0" w:type="auto"/>
            <w:shd w:val="clear" w:color="auto" w:fill="1B2A4A"/>
            <w:tcMar>
              <w:top w:w="140" w:type="dxa"/>
              <w:left w:w="160" w:type="dxa"/>
              <w:bottom w:w="140" w:type="dxa"/>
              <w:right w:w="160" w:type="dxa"/>
            </w:tcMar>
            <w:vAlign w:val="center"/>
          </w:tcPr>
          <w:p w14:paraId="355D4D13" w14:textId="77777777" w:rsidR="00331CF8" w:rsidRDefault="009604E8">
            <w:pPr>
              <w:jc w:val="right"/>
            </w:pPr>
            <w:r>
              <w:rPr>
                <w:b/>
                <w:bCs/>
                <w:color w:val="FFFFFF"/>
                <w:sz w:val="22"/>
                <w:szCs w:val="22"/>
              </w:rPr>
              <w:t>السمات الزورانية</w:t>
            </w:r>
          </w:p>
        </w:tc>
      </w:tr>
      <w:tr w:rsidR="00331CF8" w14:paraId="049198A2" w14:textId="77777777">
        <w:tc>
          <w:tcPr>
            <w:tcW w:w="0" w:type="auto"/>
            <w:tcMar>
              <w:top w:w="140" w:type="dxa"/>
              <w:left w:w="160" w:type="dxa"/>
              <w:bottom w:w="140" w:type="dxa"/>
              <w:right w:w="160" w:type="dxa"/>
            </w:tcMar>
            <w:vAlign w:val="center"/>
          </w:tcPr>
          <w:p w14:paraId="7C38CE29" w14:textId="77777777" w:rsidR="00331CF8" w:rsidRDefault="009604E8">
            <w:pPr>
              <w:jc w:val="right"/>
            </w:pPr>
            <w:r>
              <w:rPr>
                <w:color w:val="1A1A1A"/>
                <w:sz w:val="21"/>
                <w:szCs w:val="21"/>
              </w:rPr>
              <w:t>محور المشكلة</w:t>
            </w:r>
          </w:p>
        </w:tc>
        <w:tc>
          <w:tcPr>
            <w:tcW w:w="0" w:type="auto"/>
            <w:tcMar>
              <w:top w:w="140" w:type="dxa"/>
              <w:left w:w="160" w:type="dxa"/>
              <w:bottom w:w="140" w:type="dxa"/>
              <w:right w:w="160" w:type="dxa"/>
            </w:tcMar>
            <w:vAlign w:val="center"/>
          </w:tcPr>
          <w:p w14:paraId="2A4A05E3" w14:textId="77777777" w:rsidR="00331CF8" w:rsidRDefault="009604E8">
            <w:pPr>
              <w:jc w:val="right"/>
            </w:pPr>
            <w:r>
              <w:rPr>
                <w:color w:val="1A1A1A"/>
                <w:sz w:val="21"/>
                <w:szCs w:val="21"/>
              </w:rPr>
              <w:t>أفكار أو مخاوف اقتحامية متكررة وسلوكيات قهرية</w:t>
            </w:r>
          </w:p>
        </w:tc>
        <w:tc>
          <w:tcPr>
            <w:tcW w:w="0" w:type="auto"/>
            <w:tcMar>
              <w:top w:w="140" w:type="dxa"/>
              <w:left w:w="160" w:type="dxa"/>
              <w:bottom w:w="140" w:type="dxa"/>
              <w:right w:w="160" w:type="dxa"/>
            </w:tcMar>
            <w:vAlign w:val="center"/>
          </w:tcPr>
          <w:p w14:paraId="74D0AD34" w14:textId="77777777" w:rsidR="00331CF8" w:rsidRDefault="009604E8">
            <w:pPr>
              <w:jc w:val="right"/>
            </w:pPr>
            <w:r>
              <w:rPr>
                <w:color w:val="1A1A1A"/>
                <w:sz w:val="21"/>
                <w:szCs w:val="21"/>
              </w:rPr>
              <w:t>عدم الثقة والشك في نوايا الآخرين</w:t>
            </w:r>
          </w:p>
        </w:tc>
      </w:tr>
      <w:tr w:rsidR="00331CF8" w14:paraId="4D2036E9" w14:textId="77777777">
        <w:tc>
          <w:tcPr>
            <w:tcW w:w="0" w:type="auto"/>
            <w:tcMar>
              <w:top w:w="140" w:type="dxa"/>
              <w:left w:w="160" w:type="dxa"/>
              <w:bottom w:w="140" w:type="dxa"/>
              <w:right w:w="160" w:type="dxa"/>
            </w:tcMar>
            <w:vAlign w:val="center"/>
          </w:tcPr>
          <w:p w14:paraId="6099322D" w14:textId="77777777" w:rsidR="00331CF8" w:rsidRDefault="009604E8">
            <w:pPr>
              <w:jc w:val="right"/>
            </w:pPr>
            <w:r>
              <w:rPr>
                <w:color w:val="1A1A1A"/>
                <w:sz w:val="21"/>
                <w:szCs w:val="21"/>
              </w:rPr>
              <w:t>طبيعة الخوف</w:t>
            </w:r>
          </w:p>
        </w:tc>
        <w:tc>
          <w:tcPr>
            <w:tcW w:w="0" w:type="auto"/>
            <w:tcMar>
              <w:top w:w="140" w:type="dxa"/>
              <w:left w:w="160" w:type="dxa"/>
              <w:bottom w:w="140" w:type="dxa"/>
              <w:right w:w="160" w:type="dxa"/>
            </w:tcMar>
            <w:vAlign w:val="center"/>
          </w:tcPr>
          <w:p w14:paraId="7026D272" w14:textId="77777777" w:rsidR="00331CF8" w:rsidRDefault="009604E8">
            <w:pPr>
              <w:jc w:val="right"/>
            </w:pPr>
            <w:r>
              <w:rPr>
                <w:color w:val="1A1A1A"/>
                <w:sz w:val="21"/>
                <w:szCs w:val="21"/>
              </w:rPr>
              <w:t>تلوث (مادي أو ذهني)، مرض، خطأ، ضرر، مسؤولية، أو محتويات وسواسية أخرى</w:t>
            </w:r>
          </w:p>
        </w:tc>
        <w:tc>
          <w:tcPr>
            <w:tcW w:w="0" w:type="auto"/>
            <w:tcMar>
              <w:top w:w="140" w:type="dxa"/>
              <w:left w:w="160" w:type="dxa"/>
              <w:bottom w:w="140" w:type="dxa"/>
              <w:right w:w="160" w:type="dxa"/>
            </w:tcMar>
            <w:vAlign w:val="center"/>
          </w:tcPr>
          <w:p w14:paraId="1C64410C" w14:textId="77777777" w:rsidR="00331CF8" w:rsidRDefault="009604E8">
            <w:pPr>
              <w:jc w:val="right"/>
            </w:pPr>
            <w:r>
              <w:rPr>
                <w:color w:val="1A1A1A"/>
                <w:sz w:val="21"/>
                <w:szCs w:val="21"/>
              </w:rPr>
              <w:t>احتمال الخداع أو الاستغلال أو الإيذاء أو الخيانة</w:t>
            </w:r>
          </w:p>
        </w:tc>
      </w:tr>
      <w:tr w:rsidR="00331CF8" w14:paraId="1B8AB7D2" w14:textId="77777777">
        <w:tc>
          <w:tcPr>
            <w:tcW w:w="0" w:type="auto"/>
            <w:tcMar>
              <w:top w:w="140" w:type="dxa"/>
              <w:left w:w="160" w:type="dxa"/>
              <w:bottom w:w="140" w:type="dxa"/>
              <w:right w:w="160" w:type="dxa"/>
            </w:tcMar>
            <w:vAlign w:val="center"/>
          </w:tcPr>
          <w:p w14:paraId="67E76268" w14:textId="77777777" w:rsidR="00331CF8" w:rsidRDefault="009604E8">
            <w:pPr>
              <w:jc w:val="right"/>
            </w:pPr>
            <w:r>
              <w:rPr>
                <w:color w:val="1A1A1A"/>
                <w:sz w:val="21"/>
                <w:szCs w:val="21"/>
              </w:rPr>
              <w:t>علاقة الشخص بفكرته</w:t>
            </w:r>
          </w:p>
        </w:tc>
        <w:tc>
          <w:tcPr>
            <w:tcW w:w="0" w:type="auto"/>
            <w:tcMar>
              <w:top w:w="140" w:type="dxa"/>
              <w:left w:w="160" w:type="dxa"/>
              <w:bottom w:w="140" w:type="dxa"/>
              <w:right w:w="160" w:type="dxa"/>
            </w:tcMar>
            <w:vAlign w:val="center"/>
          </w:tcPr>
          <w:p w14:paraId="32B720D9" w14:textId="77777777" w:rsidR="00331CF8" w:rsidRDefault="009604E8">
            <w:pPr>
              <w:jc w:val="right"/>
            </w:pPr>
            <w:r>
              <w:rPr>
                <w:color w:val="1A1A1A"/>
                <w:sz w:val="21"/>
                <w:szCs w:val="21"/>
              </w:rPr>
              <w:t>قد يدرك أن الفكرة مبالغ فيها أو غير منطقية، بدرجات متفاوتة</w:t>
            </w:r>
          </w:p>
        </w:tc>
        <w:tc>
          <w:tcPr>
            <w:tcW w:w="0" w:type="auto"/>
            <w:tcMar>
              <w:top w:w="140" w:type="dxa"/>
              <w:left w:w="160" w:type="dxa"/>
              <w:bottom w:w="140" w:type="dxa"/>
              <w:right w:w="160" w:type="dxa"/>
            </w:tcMar>
            <w:vAlign w:val="center"/>
          </w:tcPr>
          <w:p w14:paraId="36740258" w14:textId="77777777" w:rsidR="00331CF8" w:rsidRDefault="009604E8">
            <w:pPr>
              <w:jc w:val="right"/>
            </w:pPr>
            <w:r>
              <w:rPr>
                <w:color w:val="1A1A1A"/>
                <w:sz w:val="21"/>
                <w:szCs w:val="21"/>
              </w:rPr>
              <w:t>غالبًا يرى الشكوك منسجمة مع تفسيره للواقع</w:t>
            </w:r>
          </w:p>
        </w:tc>
      </w:tr>
      <w:tr w:rsidR="00331CF8" w14:paraId="163FD8A8" w14:textId="77777777">
        <w:tc>
          <w:tcPr>
            <w:tcW w:w="0" w:type="auto"/>
            <w:tcMar>
              <w:top w:w="140" w:type="dxa"/>
              <w:left w:w="160" w:type="dxa"/>
              <w:bottom w:w="140" w:type="dxa"/>
              <w:right w:w="160" w:type="dxa"/>
            </w:tcMar>
            <w:vAlign w:val="center"/>
          </w:tcPr>
          <w:p w14:paraId="33BAC290" w14:textId="77777777" w:rsidR="00331CF8" w:rsidRDefault="009604E8">
            <w:pPr>
              <w:jc w:val="right"/>
            </w:pPr>
            <w:r>
              <w:rPr>
                <w:color w:val="1A1A1A"/>
                <w:sz w:val="21"/>
                <w:szCs w:val="21"/>
              </w:rPr>
              <w:t>السلوك القهري/الدفاعي</w:t>
            </w:r>
          </w:p>
        </w:tc>
        <w:tc>
          <w:tcPr>
            <w:tcW w:w="0" w:type="auto"/>
            <w:tcMar>
              <w:top w:w="140" w:type="dxa"/>
              <w:left w:w="160" w:type="dxa"/>
              <w:bottom w:w="140" w:type="dxa"/>
              <w:right w:w="160" w:type="dxa"/>
            </w:tcMar>
            <w:vAlign w:val="center"/>
          </w:tcPr>
          <w:p w14:paraId="1EC6EEE6" w14:textId="77777777" w:rsidR="00331CF8" w:rsidRDefault="009604E8">
            <w:pPr>
              <w:jc w:val="right"/>
            </w:pPr>
            <w:r>
              <w:rPr>
                <w:color w:val="1A1A1A"/>
                <w:sz w:val="21"/>
                <w:szCs w:val="21"/>
              </w:rPr>
              <w:t>غسل، فحص، تجنب، طمأنة، ترتيب، وغيرها</w:t>
            </w:r>
          </w:p>
        </w:tc>
        <w:tc>
          <w:tcPr>
            <w:tcW w:w="0" w:type="auto"/>
            <w:tcMar>
              <w:top w:w="140" w:type="dxa"/>
              <w:left w:w="160" w:type="dxa"/>
              <w:bottom w:w="140" w:type="dxa"/>
              <w:right w:w="160" w:type="dxa"/>
            </w:tcMar>
            <w:vAlign w:val="center"/>
          </w:tcPr>
          <w:p w14:paraId="50C7A633" w14:textId="77777777" w:rsidR="00331CF8" w:rsidRDefault="009604E8">
            <w:pPr>
              <w:jc w:val="right"/>
            </w:pPr>
            <w:r>
              <w:rPr>
                <w:color w:val="1A1A1A"/>
                <w:sz w:val="21"/>
                <w:szCs w:val="21"/>
              </w:rPr>
              <w:t>مراقبة، حذر، اتهام، دفاعية، احتفاظ بالمعلومات</w:t>
            </w:r>
          </w:p>
        </w:tc>
      </w:tr>
      <w:tr w:rsidR="00331CF8" w14:paraId="3F6DF1F5" w14:textId="77777777">
        <w:tc>
          <w:tcPr>
            <w:tcW w:w="0" w:type="auto"/>
            <w:tcMar>
              <w:top w:w="140" w:type="dxa"/>
              <w:left w:w="160" w:type="dxa"/>
              <w:bottom w:w="140" w:type="dxa"/>
              <w:right w:w="160" w:type="dxa"/>
            </w:tcMar>
            <w:vAlign w:val="center"/>
          </w:tcPr>
          <w:p w14:paraId="2A676E9D" w14:textId="77777777" w:rsidR="00331CF8" w:rsidRDefault="009604E8">
            <w:pPr>
              <w:jc w:val="right"/>
            </w:pPr>
            <w:r>
              <w:rPr>
                <w:color w:val="1A1A1A"/>
                <w:sz w:val="21"/>
                <w:szCs w:val="21"/>
              </w:rPr>
              <w:t>علاقة المشكلة بالآخرين</w:t>
            </w:r>
          </w:p>
        </w:tc>
        <w:tc>
          <w:tcPr>
            <w:tcW w:w="0" w:type="auto"/>
            <w:tcMar>
              <w:top w:w="140" w:type="dxa"/>
              <w:left w:w="160" w:type="dxa"/>
              <w:bottom w:w="140" w:type="dxa"/>
              <w:right w:w="160" w:type="dxa"/>
            </w:tcMar>
            <w:vAlign w:val="center"/>
          </w:tcPr>
          <w:p w14:paraId="5D0B3EBF" w14:textId="77777777" w:rsidR="00331CF8" w:rsidRDefault="009604E8">
            <w:pPr>
              <w:jc w:val="right"/>
            </w:pPr>
            <w:r>
              <w:rPr>
                <w:color w:val="1A1A1A"/>
                <w:sz w:val="21"/>
                <w:szCs w:val="21"/>
              </w:rPr>
              <w:t>قد يكون الآخر مجرد مصدر محتمل للتلوث أو الضرر</w:t>
            </w:r>
          </w:p>
        </w:tc>
        <w:tc>
          <w:tcPr>
            <w:tcW w:w="0" w:type="auto"/>
            <w:tcMar>
              <w:top w:w="140" w:type="dxa"/>
              <w:left w:w="160" w:type="dxa"/>
              <w:bottom w:w="140" w:type="dxa"/>
              <w:right w:w="160" w:type="dxa"/>
            </w:tcMar>
            <w:vAlign w:val="center"/>
          </w:tcPr>
          <w:p w14:paraId="13730AB1" w14:textId="77777777" w:rsidR="00331CF8" w:rsidRDefault="009604E8">
            <w:pPr>
              <w:jc w:val="right"/>
            </w:pPr>
            <w:r>
              <w:rPr>
                <w:color w:val="1A1A1A"/>
                <w:sz w:val="21"/>
                <w:szCs w:val="21"/>
              </w:rPr>
              <w:t>الآخر نفسه يصبح موضوعًا للشك وعدم الثقة</w:t>
            </w:r>
          </w:p>
        </w:tc>
      </w:tr>
      <w:tr w:rsidR="00331CF8" w14:paraId="4ACDB241" w14:textId="77777777">
        <w:tc>
          <w:tcPr>
            <w:tcW w:w="0" w:type="auto"/>
            <w:tcMar>
              <w:top w:w="140" w:type="dxa"/>
              <w:left w:w="160" w:type="dxa"/>
              <w:bottom w:w="140" w:type="dxa"/>
              <w:right w:w="160" w:type="dxa"/>
            </w:tcMar>
            <w:vAlign w:val="center"/>
          </w:tcPr>
          <w:p w14:paraId="77E80CAE" w14:textId="77777777" w:rsidR="00331CF8" w:rsidRDefault="009604E8">
            <w:pPr>
              <w:jc w:val="right"/>
            </w:pPr>
            <w:r>
              <w:rPr>
                <w:color w:val="1A1A1A"/>
                <w:sz w:val="21"/>
                <w:szCs w:val="21"/>
              </w:rPr>
              <w:t>نمط العلاقات</w:t>
            </w:r>
          </w:p>
        </w:tc>
        <w:tc>
          <w:tcPr>
            <w:tcW w:w="0" w:type="auto"/>
            <w:tcMar>
              <w:top w:w="140" w:type="dxa"/>
              <w:left w:w="160" w:type="dxa"/>
              <w:bottom w:w="140" w:type="dxa"/>
              <w:right w:w="160" w:type="dxa"/>
            </w:tcMar>
            <w:vAlign w:val="center"/>
          </w:tcPr>
          <w:p w14:paraId="1C3B76C2" w14:textId="77777777" w:rsidR="00331CF8" w:rsidRDefault="009604E8">
            <w:pPr>
              <w:jc w:val="right"/>
            </w:pPr>
            <w:r>
              <w:rPr>
                <w:color w:val="1A1A1A"/>
                <w:sz w:val="21"/>
                <w:szCs w:val="21"/>
              </w:rPr>
              <w:t>قد تبقى العلاقات طبيعية نسبيًا خارج موضوع الوسواس</w:t>
            </w:r>
          </w:p>
        </w:tc>
        <w:tc>
          <w:tcPr>
            <w:tcW w:w="0" w:type="auto"/>
            <w:tcMar>
              <w:top w:w="140" w:type="dxa"/>
              <w:left w:w="160" w:type="dxa"/>
              <w:bottom w:w="140" w:type="dxa"/>
              <w:right w:w="160" w:type="dxa"/>
            </w:tcMar>
            <w:vAlign w:val="center"/>
          </w:tcPr>
          <w:p w14:paraId="3047BA95" w14:textId="77777777" w:rsidR="00331CF8" w:rsidRDefault="009604E8">
            <w:pPr>
              <w:jc w:val="right"/>
            </w:pPr>
            <w:r>
              <w:rPr>
                <w:color w:val="1A1A1A"/>
                <w:sz w:val="21"/>
                <w:szCs w:val="21"/>
              </w:rPr>
              <w:t>غالبًا تتأثر العلاقات بصورة أوسع</w:t>
            </w:r>
          </w:p>
        </w:tc>
      </w:tr>
      <w:tr w:rsidR="00331CF8" w14:paraId="7890DBA3" w14:textId="77777777">
        <w:tc>
          <w:tcPr>
            <w:tcW w:w="0" w:type="auto"/>
            <w:tcMar>
              <w:top w:w="140" w:type="dxa"/>
              <w:left w:w="160" w:type="dxa"/>
              <w:bottom w:w="140" w:type="dxa"/>
              <w:right w:w="160" w:type="dxa"/>
            </w:tcMar>
            <w:vAlign w:val="center"/>
          </w:tcPr>
          <w:p w14:paraId="503C566E" w14:textId="77777777" w:rsidR="00331CF8" w:rsidRDefault="009604E8">
            <w:pPr>
              <w:jc w:val="right"/>
            </w:pPr>
            <w:r>
              <w:rPr>
                <w:color w:val="1A1A1A"/>
                <w:sz w:val="21"/>
                <w:szCs w:val="21"/>
              </w:rPr>
              <w:t>نطاق المشكلة</w:t>
            </w:r>
          </w:p>
        </w:tc>
        <w:tc>
          <w:tcPr>
            <w:tcW w:w="0" w:type="auto"/>
            <w:tcMar>
              <w:top w:w="140" w:type="dxa"/>
              <w:left w:w="160" w:type="dxa"/>
              <w:bottom w:w="140" w:type="dxa"/>
              <w:right w:w="160" w:type="dxa"/>
            </w:tcMar>
            <w:vAlign w:val="center"/>
          </w:tcPr>
          <w:p w14:paraId="35CCAC9A" w14:textId="77777777" w:rsidR="00331CF8" w:rsidRDefault="009604E8">
            <w:pPr>
              <w:jc w:val="right"/>
            </w:pPr>
            <w:r>
              <w:rPr>
                <w:color w:val="1A1A1A"/>
                <w:sz w:val="21"/>
                <w:szCs w:val="21"/>
              </w:rPr>
              <w:t>قد يكون محددًا بمحتوى وسواسي معين</w:t>
            </w:r>
          </w:p>
        </w:tc>
        <w:tc>
          <w:tcPr>
            <w:tcW w:w="0" w:type="auto"/>
            <w:tcMar>
              <w:top w:w="140" w:type="dxa"/>
              <w:left w:w="160" w:type="dxa"/>
              <w:bottom w:w="140" w:type="dxa"/>
              <w:right w:w="160" w:type="dxa"/>
            </w:tcMar>
            <w:vAlign w:val="center"/>
          </w:tcPr>
          <w:p w14:paraId="08066657" w14:textId="77777777" w:rsidR="00331CF8" w:rsidRDefault="009604E8">
            <w:pPr>
              <w:jc w:val="right"/>
            </w:pPr>
            <w:r>
              <w:rPr>
                <w:color w:val="1A1A1A"/>
                <w:sz w:val="21"/>
                <w:szCs w:val="21"/>
              </w:rPr>
              <w:t>يكون عادة أكثر انتشارًا عبر العلاقات والمواقف</w:t>
            </w:r>
          </w:p>
        </w:tc>
      </w:tr>
      <w:tr w:rsidR="00331CF8" w14:paraId="5C7FE448" w14:textId="77777777">
        <w:tc>
          <w:tcPr>
            <w:tcW w:w="0" w:type="auto"/>
            <w:tcMar>
              <w:top w:w="140" w:type="dxa"/>
              <w:left w:w="160" w:type="dxa"/>
              <w:bottom w:w="140" w:type="dxa"/>
              <w:right w:w="160" w:type="dxa"/>
            </w:tcMar>
            <w:vAlign w:val="center"/>
          </w:tcPr>
          <w:p w14:paraId="6846F9B8" w14:textId="77777777" w:rsidR="00331CF8" w:rsidRDefault="009604E8">
            <w:pPr>
              <w:jc w:val="right"/>
            </w:pPr>
            <w:r>
              <w:rPr>
                <w:color w:val="1A1A1A"/>
                <w:sz w:val="21"/>
                <w:szCs w:val="21"/>
              </w:rPr>
              <w:t>البنية المعرفية الكامنة</w:t>
            </w:r>
          </w:p>
        </w:tc>
        <w:tc>
          <w:tcPr>
            <w:tcW w:w="0" w:type="auto"/>
            <w:tcMar>
              <w:top w:w="140" w:type="dxa"/>
              <w:left w:w="160" w:type="dxa"/>
              <w:bottom w:w="140" w:type="dxa"/>
              <w:right w:w="160" w:type="dxa"/>
            </w:tcMar>
            <w:vAlign w:val="center"/>
          </w:tcPr>
          <w:p w14:paraId="05E6EB47" w14:textId="77777777" w:rsidR="00331CF8" w:rsidRDefault="009604E8">
            <w:pPr>
              <w:jc w:val="right"/>
            </w:pPr>
            <w:r>
              <w:rPr>
                <w:color w:val="1A1A1A"/>
                <w:sz w:val="21"/>
                <w:szCs w:val="21"/>
              </w:rPr>
              <w:t>خطر متوقَّع من مصدر خارجي محايد يمكن تحييده بالطقس</w:t>
            </w:r>
          </w:p>
        </w:tc>
        <w:tc>
          <w:tcPr>
            <w:tcW w:w="0" w:type="auto"/>
            <w:tcMar>
              <w:top w:w="140" w:type="dxa"/>
              <w:left w:w="160" w:type="dxa"/>
              <w:bottom w:w="140" w:type="dxa"/>
              <w:right w:w="160" w:type="dxa"/>
            </w:tcMar>
            <w:vAlign w:val="center"/>
          </w:tcPr>
          <w:p w14:paraId="06DCB7B2" w14:textId="77777777" w:rsidR="00331CF8" w:rsidRDefault="009604E8">
            <w:pPr>
              <w:jc w:val="right"/>
            </w:pPr>
            <w:r>
              <w:rPr>
                <w:color w:val="1A1A1A"/>
                <w:sz w:val="21"/>
                <w:szCs w:val="21"/>
              </w:rPr>
              <w:t>مخطط معرفي راسخ: «الآخر خصم محتمل» يستدعي يقظة دائمة</w:t>
            </w:r>
          </w:p>
        </w:tc>
      </w:tr>
    </w:tbl>
    <w:p w14:paraId="316575F9" w14:textId="77777777" w:rsidR="00331CF8" w:rsidRDefault="00331CF8">
      <w:pPr>
        <w:spacing w:before="120" w:after="160" w:line="336" w:lineRule="auto"/>
        <w:jc w:val="both"/>
      </w:pPr>
    </w:p>
    <w:p w14:paraId="1C6BA6CE" w14:textId="77777777" w:rsidR="00331CF8" w:rsidRDefault="009604E8">
      <w:pPr>
        <w:pStyle w:val="2"/>
        <w:spacing w:before="360" w:after="180"/>
        <w:jc w:val="right"/>
      </w:pPr>
      <w:r>
        <w:rPr>
          <w:b/>
          <w:bCs/>
          <w:color w:val="0E6E6E"/>
          <w:sz w:val="28"/>
          <w:szCs w:val="28"/>
        </w:rPr>
        <w:t>الفصل السادس: أمثلة توضيحية على الفروق النفسية المحتملة</w:t>
      </w:r>
    </w:p>
    <w:p w14:paraId="68EADC0A" w14:textId="77777777" w:rsidR="00331CF8" w:rsidRDefault="009604E8">
      <w:pPr>
        <w:spacing w:after="160" w:line="336" w:lineRule="auto"/>
        <w:jc w:val="both"/>
      </w:pPr>
      <w:r>
        <w:rPr>
          <w:color w:val="1A1A1A"/>
        </w:rPr>
        <w:t>يمكن أن يظهر السلوك نفسه ظاهريًّا، ولكن بدوافع مختلفة تمامًا في بنيتها المعرفية والانفعالية:</w:t>
      </w:r>
    </w:p>
    <w:p w14:paraId="1508561C" w14:textId="77777777" w:rsidR="00331CF8" w:rsidRDefault="009604E8">
      <w:pPr>
        <w:spacing w:before="260" w:after="140"/>
        <w:jc w:val="right"/>
      </w:pPr>
      <w:r>
        <w:rPr>
          <w:b/>
          <w:bCs/>
          <w:color w:val="B8860B"/>
          <w:sz w:val="25"/>
          <w:szCs w:val="25"/>
        </w:rPr>
        <w:t>المثال الأول: حماية الخصوصية</w:t>
      </w:r>
    </w:p>
    <w:p w14:paraId="7BDC27EA" w14:textId="77777777" w:rsidR="00331CF8" w:rsidRDefault="009604E8">
      <w:pPr>
        <w:pBdr>
          <w:right w:val="single" w:sz="16" w:space="8" w:color="0E6E6E"/>
        </w:pBdr>
        <w:spacing w:before="100" w:after="100" w:line="320" w:lineRule="auto"/>
        <w:ind w:right="500"/>
        <w:jc w:val="right"/>
      </w:pPr>
      <w:r>
        <w:rPr>
          <w:i/>
          <w:iCs/>
          <w:color w:val="1B2A4A"/>
        </w:rPr>
        <w:t>«لا أحب أن يستخدم أحد أغراضي الشخصية؛ لأنها تخصني.»</w:t>
      </w:r>
    </w:p>
    <w:p w14:paraId="47F4419B" w14:textId="77777777" w:rsidR="00331CF8" w:rsidRDefault="009604E8">
      <w:pPr>
        <w:spacing w:after="160" w:line="336" w:lineRule="auto"/>
        <w:jc w:val="both"/>
      </w:pPr>
      <w:r>
        <w:rPr>
          <w:color w:val="1A1A1A"/>
        </w:rPr>
        <w:t>قد يمثِّل ذلك تفضيلًا شخصيًّا أو حدودًا شخصية شديدة، وليس بالضرورة اضطرابًا نفسيًّا.</w:t>
      </w:r>
    </w:p>
    <w:p w14:paraId="0085AC0F" w14:textId="77777777" w:rsidR="00331CF8" w:rsidRDefault="009604E8">
      <w:pPr>
        <w:spacing w:before="260" w:after="140"/>
        <w:jc w:val="right"/>
      </w:pPr>
      <w:r>
        <w:rPr>
          <w:b/>
          <w:bCs/>
          <w:color w:val="B8860B"/>
          <w:sz w:val="25"/>
          <w:szCs w:val="25"/>
        </w:rPr>
        <w:t>المثال الثاني: الخوف من التلوث</w:t>
      </w:r>
    </w:p>
    <w:p w14:paraId="23265946" w14:textId="77777777" w:rsidR="00331CF8" w:rsidRDefault="009604E8">
      <w:pPr>
        <w:pBdr>
          <w:right w:val="single" w:sz="16" w:space="8" w:color="0E6E6E"/>
        </w:pBdr>
        <w:spacing w:before="100" w:after="100" w:line="320" w:lineRule="auto"/>
        <w:ind w:right="500"/>
        <w:jc w:val="right"/>
      </w:pPr>
      <w:r>
        <w:rPr>
          <w:i/>
          <w:iCs/>
          <w:color w:val="1B2A4A"/>
        </w:rPr>
        <w:t>«لا أستطيع أن أشرب من الكوب بعد أن لمسه شخص آخر؛ أخاف من الجراثيم والمرض.»</w:t>
      </w:r>
    </w:p>
    <w:p w14:paraId="113B9126" w14:textId="77777777" w:rsidR="00331CF8" w:rsidRDefault="009604E8">
      <w:pPr>
        <w:spacing w:after="160" w:line="336" w:lineRule="auto"/>
        <w:jc w:val="both"/>
      </w:pPr>
      <w:r>
        <w:rPr>
          <w:color w:val="1A1A1A"/>
        </w:rPr>
        <w:t>هنا يصبح الوسواس القهري المتعلق بالتلوث احتمالًا يستحق التقييم، خصوصًا إذا كان الخوف متكرِّرًا ومصحوبًا بطقوسٍ أو تجنُّبٍ قهري.</w:t>
      </w:r>
    </w:p>
    <w:p w14:paraId="353C1F0F" w14:textId="77777777" w:rsidR="00331CF8" w:rsidRDefault="009604E8">
      <w:pPr>
        <w:spacing w:before="260" w:after="140"/>
        <w:jc w:val="right"/>
      </w:pPr>
      <w:r>
        <w:rPr>
          <w:b/>
          <w:bCs/>
          <w:color w:val="B8860B"/>
          <w:sz w:val="25"/>
          <w:szCs w:val="25"/>
        </w:rPr>
        <w:t>المثال الثالث: الشك في النوايا</w:t>
      </w:r>
    </w:p>
    <w:p w14:paraId="5E803FC7" w14:textId="77777777" w:rsidR="00331CF8" w:rsidRDefault="009604E8">
      <w:pPr>
        <w:pBdr>
          <w:right w:val="single" w:sz="16" w:space="8" w:color="0E6E6E"/>
        </w:pBdr>
        <w:spacing w:before="100" w:after="100" w:line="320" w:lineRule="auto"/>
        <w:ind w:right="500"/>
        <w:jc w:val="right"/>
      </w:pPr>
      <w:r>
        <w:rPr>
          <w:i/>
          <w:iCs/>
          <w:color w:val="1B2A4A"/>
        </w:rPr>
        <w:t>«لا أريد أن يلمس أحد أغراضي؛ لأنني لا أثق بالناس، وقد يتعمَّدون إيذائي أو وضع شيء فيها.»</w:t>
      </w:r>
    </w:p>
    <w:p w14:paraId="791B95C3" w14:textId="77777777" w:rsidR="00331CF8" w:rsidRDefault="009604E8">
      <w:pPr>
        <w:spacing w:after="160" w:line="336" w:lineRule="auto"/>
        <w:jc w:val="both"/>
      </w:pPr>
      <w:r>
        <w:rPr>
          <w:color w:val="1A1A1A"/>
        </w:rPr>
        <w:t>هنا تظهر مكوِّنات معرفية زورانية، ويصبح من الضروري معرفة ما إذا كان هذا الشك جزءًا من نمطٍ أوسع يشمل العلاقات المختلفة.</w:t>
      </w:r>
    </w:p>
    <w:p w14:paraId="324D419E" w14:textId="77777777" w:rsidR="00331CF8" w:rsidRDefault="009604E8">
      <w:pPr>
        <w:spacing w:before="260" w:after="140"/>
        <w:jc w:val="right"/>
      </w:pPr>
      <w:r>
        <w:rPr>
          <w:b/>
          <w:bCs/>
          <w:color w:val="B8860B"/>
          <w:sz w:val="25"/>
          <w:szCs w:val="25"/>
        </w:rPr>
        <w:t>المثال الرابع: أفكار سحرية أو معتقدات غير اعتيادية</w:t>
      </w:r>
    </w:p>
    <w:p w14:paraId="58DB13E7" w14:textId="77777777" w:rsidR="00331CF8" w:rsidRDefault="009604E8">
      <w:pPr>
        <w:pBdr>
          <w:right w:val="single" w:sz="16" w:space="8" w:color="0E6E6E"/>
        </w:pBdr>
        <w:spacing w:before="100" w:after="100" w:line="320" w:lineRule="auto"/>
        <w:ind w:right="500"/>
        <w:jc w:val="right"/>
      </w:pPr>
      <w:r>
        <w:rPr>
          <w:i/>
          <w:iCs/>
          <w:color w:val="1B2A4A"/>
        </w:rPr>
        <w:t>«إذا لبس شخصٌ ملابسي أو نام في فراشي فسوف تنتقل إليه طاقتي، أو قد يستخدم الشيء لإيذائي بطريقة خفية.»</w:t>
      </w:r>
    </w:p>
    <w:p w14:paraId="67976606" w14:textId="77777777" w:rsidR="00331CF8" w:rsidRDefault="009604E8">
      <w:pPr>
        <w:spacing w:after="160" w:line="336" w:lineRule="auto"/>
        <w:jc w:val="both"/>
      </w:pPr>
      <w:r>
        <w:rPr>
          <w:color w:val="1A1A1A"/>
        </w:rPr>
        <w:t>هذه الصورة تحتاج إلى تقييمٍ أكثر تعقيدًا؛ لأنها قد ترتبط بأفكارٍ سحرية، أو معتقدات ثقافية، أو وسواسٍ قهري، أو سماتٍ زورانية، أو حالاتٍ أخرى بحسب درجة الاقتناع وطبيعة التفكير والسياق الثقافي.</w:t>
      </w:r>
    </w:p>
    <w:p w14:paraId="3631DD9B" w14:textId="77777777" w:rsidR="00331CF8" w:rsidRDefault="009604E8">
      <w:pPr>
        <w:pStyle w:val="2"/>
        <w:spacing w:before="360" w:after="180"/>
        <w:jc w:val="right"/>
      </w:pPr>
      <w:r>
        <w:rPr>
          <w:b/>
          <w:bCs/>
          <w:color w:val="0E6E6E"/>
          <w:sz w:val="28"/>
          <w:szCs w:val="28"/>
        </w:rPr>
        <w:t>الفصل السابع: لماذا لا تكفي هذه السلوكيات وحدها لتشخيص الشخصية الزورانية؟</w:t>
      </w:r>
    </w:p>
    <w:p w14:paraId="320F4C97" w14:textId="77777777" w:rsidR="00331CF8" w:rsidRDefault="009604E8">
      <w:pPr>
        <w:spacing w:after="160" w:line="336" w:lineRule="auto"/>
        <w:jc w:val="both"/>
      </w:pPr>
      <w:r>
        <w:rPr>
          <w:color w:val="1A1A1A"/>
        </w:rPr>
        <w:t>من الأخطاء المنهجية الشائعة في التقييم النفسي تحويل العرض السلوكي إلى تشخيص مباشرة. فرفض مشاركة الطعام أو الملابس أو الفراش يمكن أن يحدث لأسبابٍ عديدة، منها:</w:t>
      </w:r>
    </w:p>
    <w:p w14:paraId="0FFA0910" w14:textId="77777777" w:rsidR="00331CF8" w:rsidRDefault="009604E8">
      <w:pPr>
        <w:spacing w:after="120" w:line="320" w:lineRule="auto"/>
        <w:ind w:right="420"/>
        <w:jc w:val="right"/>
      </w:pPr>
      <w:r>
        <w:rPr>
          <w:b/>
          <w:bCs/>
          <w:color w:val="B8860B"/>
        </w:rPr>
        <w:t xml:space="preserve">◆  </w:t>
      </w:r>
      <w:r>
        <w:rPr>
          <w:color w:val="1A1A1A"/>
        </w:rPr>
        <w:t>الخصوصية الشخصية.</w:t>
      </w:r>
    </w:p>
    <w:p w14:paraId="063A53E1" w14:textId="77777777" w:rsidR="00331CF8" w:rsidRDefault="009604E8">
      <w:pPr>
        <w:spacing w:after="120" w:line="320" w:lineRule="auto"/>
        <w:ind w:right="420"/>
        <w:jc w:val="right"/>
      </w:pPr>
      <w:r>
        <w:rPr>
          <w:b/>
          <w:bCs/>
          <w:color w:val="B8860B"/>
        </w:rPr>
        <w:t xml:space="preserve">◆  </w:t>
      </w:r>
      <w:r>
        <w:rPr>
          <w:color w:val="1A1A1A"/>
        </w:rPr>
        <w:t>العادات الأسرية.</w:t>
      </w:r>
    </w:p>
    <w:p w14:paraId="06B08089" w14:textId="77777777" w:rsidR="00331CF8" w:rsidRDefault="009604E8">
      <w:pPr>
        <w:spacing w:after="120" w:line="320" w:lineRule="auto"/>
        <w:ind w:right="420"/>
        <w:jc w:val="right"/>
      </w:pPr>
      <w:r>
        <w:rPr>
          <w:b/>
          <w:bCs/>
          <w:color w:val="B8860B"/>
        </w:rPr>
        <w:t xml:space="preserve">◆  </w:t>
      </w:r>
      <w:r>
        <w:rPr>
          <w:color w:val="1A1A1A"/>
        </w:rPr>
        <w:t>التربية.</w:t>
      </w:r>
    </w:p>
    <w:p w14:paraId="3C3FB82C" w14:textId="77777777" w:rsidR="00331CF8" w:rsidRDefault="009604E8">
      <w:pPr>
        <w:spacing w:after="120" w:line="320" w:lineRule="auto"/>
        <w:ind w:right="420"/>
        <w:jc w:val="right"/>
      </w:pPr>
      <w:r>
        <w:rPr>
          <w:b/>
          <w:bCs/>
          <w:color w:val="B8860B"/>
        </w:rPr>
        <w:t xml:space="preserve">◆  </w:t>
      </w:r>
      <w:r>
        <w:rPr>
          <w:color w:val="1A1A1A"/>
        </w:rPr>
        <w:t>الحساسية تجاه الملكية.</w:t>
      </w:r>
    </w:p>
    <w:p w14:paraId="738956DC" w14:textId="77777777" w:rsidR="00331CF8" w:rsidRDefault="009604E8">
      <w:pPr>
        <w:spacing w:after="120" w:line="320" w:lineRule="auto"/>
        <w:ind w:right="420"/>
        <w:jc w:val="right"/>
      </w:pPr>
      <w:r>
        <w:rPr>
          <w:b/>
          <w:bCs/>
          <w:color w:val="B8860B"/>
        </w:rPr>
        <w:t xml:space="preserve">◆  </w:t>
      </w:r>
      <w:r>
        <w:rPr>
          <w:color w:val="1A1A1A"/>
        </w:rPr>
        <w:t>الحاجة إلى السيطرة والتنظيم.</w:t>
      </w:r>
    </w:p>
    <w:p w14:paraId="76D61ED2" w14:textId="77777777" w:rsidR="00331CF8" w:rsidRDefault="009604E8">
      <w:pPr>
        <w:spacing w:after="120" w:line="320" w:lineRule="auto"/>
        <w:ind w:right="420"/>
        <w:jc w:val="right"/>
      </w:pPr>
      <w:r>
        <w:rPr>
          <w:b/>
          <w:bCs/>
          <w:color w:val="B8860B"/>
        </w:rPr>
        <w:t xml:space="preserve">◆  </w:t>
      </w:r>
      <w:r>
        <w:rPr>
          <w:color w:val="1A1A1A"/>
        </w:rPr>
        <w:t>خبرات سابقة سلبية.</w:t>
      </w:r>
    </w:p>
    <w:p w14:paraId="0F694385" w14:textId="77777777" w:rsidR="00331CF8" w:rsidRDefault="009604E8">
      <w:pPr>
        <w:spacing w:after="120" w:line="320" w:lineRule="auto"/>
        <w:ind w:right="420"/>
        <w:jc w:val="right"/>
      </w:pPr>
      <w:r>
        <w:rPr>
          <w:b/>
          <w:bCs/>
          <w:color w:val="B8860B"/>
        </w:rPr>
        <w:t xml:space="preserve">◆  </w:t>
      </w:r>
      <w:r>
        <w:rPr>
          <w:color w:val="1A1A1A"/>
        </w:rPr>
        <w:t>الخوف من التلوث.</w:t>
      </w:r>
    </w:p>
    <w:p w14:paraId="54500814" w14:textId="77777777" w:rsidR="00331CF8" w:rsidRDefault="009604E8">
      <w:pPr>
        <w:spacing w:after="120" w:line="320" w:lineRule="auto"/>
        <w:ind w:right="420"/>
        <w:jc w:val="right"/>
      </w:pPr>
      <w:r>
        <w:rPr>
          <w:b/>
          <w:bCs/>
          <w:color w:val="B8860B"/>
        </w:rPr>
        <w:t xml:space="preserve">◆  </w:t>
      </w:r>
      <w:r>
        <w:rPr>
          <w:color w:val="1A1A1A"/>
        </w:rPr>
        <w:t>الوسواس القهري.</w:t>
      </w:r>
    </w:p>
    <w:p w14:paraId="1D52BB0A" w14:textId="77777777" w:rsidR="00331CF8" w:rsidRDefault="009604E8">
      <w:pPr>
        <w:spacing w:after="120" w:line="320" w:lineRule="auto"/>
        <w:ind w:right="420"/>
        <w:jc w:val="right"/>
      </w:pPr>
      <w:r>
        <w:rPr>
          <w:b/>
          <w:bCs/>
          <w:color w:val="B8860B"/>
        </w:rPr>
        <w:t xml:space="preserve">◆  </w:t>
      </w:r>
      <w:r>
        <w:rPr>
          <w:color w:val="1A1A1A"/>
        </w:rPr>
        <w:t>سمات شخصية زورانية.</w:t>
      </w:r>
    </w:p>
    <w:p w14:paraId="09DE24F6" w14:textId="77777777" w:rsidR="00331CF8" w:rsidRDefault="009604E8">
      <w:pPr>
        <w:spacing w:after="120" w:line="320" w:lineRule="auto"/>
        <w:ind w:right="420"/>
        <w:jc w:val="right"/>
      </w:pPr>
      <w:r>
        <w:rPr>
          <w:b/>
          <w:bCs/>
          <w:color w:val="B8860B"/>
        </w:rPr>
        <w:t xml:space="preserve">◆  </w:t>
      </w:r>
      <w:r>
        <w:rPr>
          <w:color w:val="1A1A1A"/>
        </w:rPr>
        <w:t>أفكار سحرية أو معتقدات ثقافية.</w:t>
      </w:r>
    </w:p>
    <w:p w14:paraId="2A3C98EE" w14:textId="77777777" w:rsidR="00331CF8" w:rsidRDefault="009604E8">
      <w:pPr>
        <w:spacing w:after="120" w:line="320" w:lineRule="auto"/>
        <w:ind w:right="420"/>
        <w:jc w:val="right"/>
      </w:pPr>
      <w:r>
        <w:rPr>
          <w:b/>
          <w:bCs/>
          <w:color w:val="B8860B"/>
        </w:rPr>
        <w:t xml:space="preserve">◆  </w:t>
      </w:r>
      <w:r>
        <w:rPr>
          <w:color w:val="1A1A1A"/>
        </w:rPr>
        <w:t>أو ببساطة تفضيل شخصي غير مرضي.</w:t>
      </w:r>
    </w:p>
    <w:p w14:paraId="71C3B8B3" w14:textId="77777777" w:rsidR="00331CF8" w:rsidRDefault="009604E8">
      <w:pPr>
        <w:spacing w:after="160" w:line="336" w:lineRule="auto"/>
        <w:jc w:val="both"/>
      </w:pPr>
      <w:r>
        <w:rPr>
          <w:color w:val="1A1A1A"/>
        </w:rPr>
        <w:t>ولهذا فإن التشخيص الإكلينيكي يتطلَّب دراسة المحتوى المعرفي، والانفعالات، والسلوكيات، ودرجة الاقتناع، والاستمرارية الزمنية، والانتشار عبر المواقف، ومستوى التعطيل الوظيفي — وهو ما يجعل من غير الجائز اختزال هذا التقييم المتعدِّد الأبعاد في قائمة أعراضٍ سطحية معزولة عن سياقها.</w:t>
      </w:r>
    </w:p>
    <w:p w14:paraId="7C91ADD9" w14:textId="77777777" w:rsidR="00331CF8" w:rsidRDefault="009604E8">
      <w:pPr>
        <w:pStyle w:val="2"/>
        <w:spacing w:before="360" w:after="180"/>
        <w:jc w:val="right"/>
      </w:pPr>
      <w:r>
        <w:rPr>
          <w:b/>
          <w:bCs/>
          <w:color w:val="0E6E6E"/>
          <w:sz w:val="28"/>
          <w:szCs w:val="28"/>
        </w:rPr>
        <w:t>الفصل الثامن: تطبيق تحليلي على الحالة الموصوفة</w:t>
      </w:r>
    </w:p>
    <w:p w14:paraId="7BC76393" w14:textId="77777777" w:rsidR="00331CF8" w:rsidRDefault="009604E8">
      <w:pPr>
        <w:spacing w:after="160" w:line="336" w:lineRule="auto"/>
        <w:jc w:val="both"/>
      </w:pPr>
      <w:r>
        <w:rPr>
          <w:color w:val="1A1A1A"/>
        </w:rPr>
        <w:t>إذا كانت الفتاة:</w:t>
      </w:r>
    </w:p>
    <w:p w14:paraId="2B440773" w14:textId="77777777" w:rsidR="00331CF8" w:rsidRDefault="009604E8">
      <w:pPr>
        <w:spacing w:after="120" w:line="320" w:lineRule="auto"/>
        <w:ind w:right="420"/>
        <w:jc w:val="right"/>
      </w:pPr>
      <w:r>
        <w:rPr>
          <w:b/>
          <w:bCs/>
          <w:color w:val="B8860B"/>
        </w:rPr>
        <w:t xml:space="preserve">◆  </w:t>
      </w:r>
      <w:r>
        <w:rPr>
          <w:color w:val="1A1A1A"/>
        </w:rPr>
        <w:t>تتناول الطعام من أطباق الآخرين بصورة طبيعية؛</w:t>
      </w:r>
    </w:p>
    <w:p w14:paraId="6BDE82CB" w14:textId="77777777" w:rsidR="00331CF8" w:rsidRDefault="009604E8">
      <w:pPr>
        <w:spacing w:after="120" w:line="320" w:lineRule="auto"/>
        <w:ind w:right="420"/>
        <w:jc w:val="right"/>
      </w:pPr>
      <w:r>
        <w:rPr>
          <w:b/>
          <w:bCs/>
          <w:color w:val="B8860B"/>
        </w:rPr>
        <w:t xml:space="preserve">◆  </w:t>
      </w:r>
      <w:r>
        <w:rPr>
          <w:color w:val="1A1A1A"/>
        </w:rPr>
        <w:t>لا تشعر بالخوف من لمس أغراض الآخرين؛</w:t>
      </w:r>
    </w:p>
    <w:p w14:paraId="524C928B" w14:textId="77777777" w:rsidR="00331CF8" w:rsidRDefault="009604E8">
      <w:pPr>
        <w:spacing w:after="120" w:line="320" w:lineRule="auto"/>
        <w:ind w:right="420"/>
        <w:jc w:val="right"/>
      </w:pPr>
      <w:r>
        <w:rPr>
          <w:b/>
          <w:bCs/>
          <w:color w:val="B8860B"/>
        </w:rPr>
        <w:t xml:space="preserve">◆  </w:t>
      </w:r>
      <w:r>
        <w:rPr>
          <w:color w:val="1A1A1A"/>
        </w:rPr>
        <w:t>تسمح للآخرين باستخدام بعض ممتلكاتهم دون قلق؛</w:t>
      </w:r>
    </w:p>
    <w:p w14:paraId="5E9EAE71" w14:textId="77777777" w:rsidR="00331CF8" w:rsidRDefault="009604E8">
      <w:pPr>
        <w:spacing w:after="120" w:line="320" w:lineRule="auto"/>
        <w:ind w:right="420"/>
        <w:jc w:val="right"/>
      </w:pPr>
      <w:r>
        <w:rPr>
          <w:b/>
          <w:bCs/>
          <w:color w:val="B8860B"/>
        </w:rPr>
        <w:t xml:space="preserve">◆  </w:t>
      </w:r>
      <w:r>
        <w:rPr>
          <w:color w:val="1A1A1A"/>
        </w:rPr>
        <w:t>لكنها ترفض بصورة شديدة أن يلمس الآخرون أغراضها؛</w:t>
      </w:r>
    </w:p>
    <w:p w14:paraId="08971DFD" w14:textId="77777777" w:rsidR="00331CF8" w:rsidRDefault="009604E8">
      <w:pPr>
        <w:spacing w:after="120" w:line="320" w:lineRule="auto"/>
        <w:ind w:right="420"/>
        <w:jc w:val="right"/>
      </w:pPr>
      <w:r>
        <w:rPr>
          <w:b/>
          <w:bCs/>
          <w:color w:val="B8860B"/>
        </w:rPr>
        <w:t xml:space="preserve">◆  </w:t>
      </w:r>
      <w:r>
        <w:rPr>
          <w:color w:val="1A1A1A"/>
        </w:rPr>
        <w:t>وتتعامل مع الفراش والملابس والكوب والطعام الشخصي باعتبارها مناطق شديدة الخصوصية؛</w:t>
      </w:r>
    </w:p>
    <w:p w14:paraId="28662CD5" w14:textId="77777777" w:rsidR="00331CF8" w:rsidRDefault="009604E8">
      <w:pPr>
        <w:spacing w:after="160" w:line="336" w:lineRule="auto"/>
        <w:jc w:val="both"/>
      </w:pPr>
      <w:r>
        <w:rPr>
          <w:color w:val="1A1A1A"/>
        </w:rPr>
        <w:t>فإن هذا النمط لا يكفي لتشخيص وسواس التلوث، كما أنه لا يكفي وحده لتشخيص اضطراب الشخصية الزورانية. ولكنه يطرح سؤالًا سريريًّا مهمًّا:</w:t>
      </w:r>
    </w:p>
    <w:p w14:paraId="72D2AA83" w14:textId="77777777" w:rsidR="00331CF8" w:rsidRDefault="009604E8">
      <w:pPr>
        <w:spacing w:before="80" w:after="80" w:line="320" w:lineRule="auto"/>
        <w:jc w:val="center"/>
      </w:pPr>
      <w:r>
        <w:rPr>
          <w:i/>
          <w:iCs/>
          <w:color w:val="1B2A4A"/>
          <w:sz w:val="23"/>
          <w:szCs w:val="23"/>
        </w:rPr>
        <w:t>«ما المعنى النفسي الذي تمنحه هذه الفتاة لتدخُّل الآخرين في ممتلكاتها الشخصية؟»</w:t>
      </w:r>
    </w:p>
    <w:p w14:paraId="16E45A34" w14:textId="77777777" w:rsidR="00331CF8" w:rsidRDefault="009604E8">
      <w:pPr>
        <w:spacing w:after="160" w:line="336" w:lineRule="auto"/>
        <w:jc w:val="both"/>
      </w:pPr>
      <w:r>
        <w:rPr>
          <w:color w:val="1A1A1A"/>
        </w:rPr>
        <w:t>فإذا كان المعنى هو التلوث، فإن فرضية الوسواس القهري تصبح أكثر قابلية للفحص. وإذا كان المعنى هو «انتهاك الملكية والحدود»، فينبغي دراسة سمات الشخصية والحاجة إلى السيطرة والخصوصية. أما إذا كان المعنى هو «لا أثق بالآخرين، وقد يتعمَّدون إيذائي أو خداعي أو تلويث أغراضي»، وكانت هذه النظرة جزءًا من نمطٍ واسع ومستمر من الشك، فإن السمات الزورانية تصبح فرضية أكثر أهمية.</w:t>
      </w:r>
    </w:p>
    <w:p w14:paraId="5165450C" w14:textId="77777777" w:rsidR="00331CF8" w:rsidRDefault="009604E8">
      <w:pPr>
        <w:pStyle w:val="2"/>
        <w:spacing w:before="360" w:after="180"/>
        <w:jc w:val="right"/>
      </w:pPr>
      <w:r>
        <w:rPr>
          <w:b/>
          <w:bCs/>
          <w:color w:val="0E6E6E"/>
          <w:sz w:val="28"/>
          <w:szCs w:val="28"/>
        </w:rPr>
        <w:t>الفصل التاسع: أمثلة سلوكية لا ينبغي تحويلها تلقائيًا إلى تشخيص</w:t>
      </w:r>
    </w:p>
    <w:p w14:paraId="3516B421" w14:textId="77777777" w:rsidR="00331CF8" w:rsidRDefault="009604E8">
      <w:pPr>
        <w:spacing w:after="160" w:line="336" w:lineRule="auto"/>
        <w:jc w:val="both"/>
      </w:pPr>
      <w:r>
        <w:rPr>
          <w:color w:val="1A1A1A"/>
        </w:rPr>
        <w:t>قد نجد في الواقع أشخاصًا:</w:t>
      </w:r>
    </w:p>
    <w:p w14:paraId="43091680" w14:textId="77777777" w:rsidR="00331CF8" w:rsidRDefault="009604E8">
      <w:pPr>
        <w:spacing w:after="120" w:line="320" w:lineRule="auto"/>
        <w:ind w:right="420"/>
        <w:jc w:val="right"/>
      </w:pPr>
      <w:r>
        <w:rPr>
          <w:b/>
          <w:bCs/>
          <w:color w:val="B8860B"/>
        </w:rPr>
        <w:t xml:space="preserve">◆  </w:t>
      </w:r>
      <w:r>
        <w:rPr>
          <w:color w:val="1A1A1A"/>
        </w:rPr>
        <w:t>يمنعون الآخرين من استخدام كوبهم.</w:t>
      </w:r>
    </w:p>
    <w:p w14:paraId="4EB11566" w14:textId="77777777" w:rsidR="00331CF8" w:rsidRDefault="009604E8">
      <w:pPr>
        <w:spacing w:after="120" w:line="320" w:lineRule="auto"/>
        <w:ind w:right="420"/>
        <w:jc w:val="right"/>
      </w:pPr>
      <w:r>
        <w:rPr>
          <w:b/>
          <w:bCs/>
          <w:color w:val="B8860B"/>
        </w:rPr>
        <w:t xml:space="preserve">◆  </w:t>
      </w:r>
      <w:r>
        <w:rPr>
          <w:color w:val="1A1A1A"/>
        </w:rPr>
        <w:t>لا يسمحون لأحد بالنوم في فراشهم.</w:t>
      </w:r>
    </w:p>
    <w:p w14:paraId="7A8ECF48" w14:textId="77777777" w:rsidR="00331CF8" w:rsidRDefault="009604E8">
      <w:pPr>
        <w:spacing w:after="120" w:line="320" w:lineRule="auto"/>
        <w:ind w:right="420"/>
        <w:jc w:val="right"/>
      </w:pPr>
      <w:r>
        <w:rPr>
          <w:b/>
          <w:bCs/>
          <w:color w:val="B8860B"/>
        </w:rPr>
        <w:t xml:space="preserve">◆  </w:t>
      </w:r>
      <w:r>
        <w:rPr>
          <w:color w:val="1A1A1A"/>
        </w:rPr>
        <w:t>يرفضون ارتداء الآخرين لملابسهم.</w:t>
      </w:r>
    </w:p>
    <w:p w14:paraId="53B2E634" w14:textId="77777777" w:rsidR="00331CF8" w:rsidRDefault="009604E8">
      <w:pPr>
        <w:spacing w:after="120" w:line="320" w:lineRule="auto"/>
        <w:ind w:right="420"/>
        <w:jc w:val="right"/>
      </w:pPr>
      <w:r>
        <w:rPr>
          <w:b/>
          <w:bCs/>
          <w:color w:val="B8860B"/>
        </w:rPr>
        <w:t xml:space="preserve">◆  </w:t>
      </w:r>
      <w:r>
        <w:rPr>
          <w:color w:val="1A1A1A"/>
        </w:rPr>
        <w:t>يضعون حدودًا صارمة حول الطعام الشخصي.</w:t>
      </w:r>
    </w:p>
    <w:p w14:paraId="11364C0F" w14:textId="77777777" w:rsidR="00331CF8" w:rsidRDefault="009604E8">
      <w:pPr>
        <w:spacing w:after="120" w:line="320" w:lineRule="auto"/>
        <w:ind w:right="420"/>
        <w:jc w:val="right"/>
      </w:pPr>
      <w:r>
        <w:rPr>
          <w:b/>
          <w:bCs/>
          <w:color w:val="B8860B"/>
        </w:rPr>
        <w:t xml:space="preserve">◆  </w:t>
      </w:r>
      <w:r>
        <w:rPr>
          <w:color w:val="1A1A1A"/>
        </w:rPr>
        <w:t>يأخذون ملابسهم من مكانٍ مشترك بسرعة.</w:t>
      </w:r>
    </w:p>
    <w:p w14:paraId="6B1095E4" w14:textId="77777777" w:rsidR="00331CF8" w:rsidRDefault="009604E8">
      <w:pPr>
        <w:spacing w:after="120" w:line="320" w:lineRule="auto"/>
        <w:ind w:right="420"/>
        <w:jc w:val="right"/>
      </w:pPr>
      <w:r>
        <w:rPr>
          <w:b/>
          <w:bCs/>
          <w:color w:val="B8860B"/>
        </w:rPr>
        <w:t xml:space="preserve">◆  </w:t>
      </w:r>
      <w:r>
        <w:rPr>
          <w:color w:val="1A1A1A"/>
        </w:rPr>
        <w:t>يرفضون مشاركة بعض الممتلكات.</w:t>
      </w:r>
    </w:p>
    <w:p w14:paraId="76533FBD" w14:textId="77777777" w:rsidR="00331CF8" w:rsidRDefault="009604E8">
      <w:pPr>
        <w:spacing w:after="160" w:line="336" w:lineRule="auto"/>
        <w:jc w:val="both"/>
      </w:pPr>
      <w:r>
        <w:rPr>
          <w:color w:val="1A1A1A"/>
        </w:rPr>
        <w:t>لكن القيمة التشخيصية لهذه السلوكيات لا تأتي من وجودها وحده، بل من السبب الذي يقف وراءها. فعلى سبيل المثال، القول:</w:t>
      </w:r>
    </w:p>
    <w:p w14:paraId="72C135DC" w14:textId="77777777" w:rsidR="00331CF8" w:rsidRDefault="009604E8">
      <w:pPr>
        <w:pBdr>
          <w:right w:val="single" w:sz="16" w:space="8" w:color="0E6E6E"/>
        </w:pBdr>
        <w:spacing w:before="100" w:after="100" w:line="320" w:lineRule="auto"/>
        <w:ind w:right="500"/>
        <w:jc w:val="right"/>
      </w:pPr>
      <w:r>
        <w:rPr>
          <w:i/>
          <w:iCs/>
          <w:color w:val="1B2A4A"/>
        </w:rPr>
        <w:t>«لا أريد لأحد أن ينام في فراشي لأنه شيء خاص بي.»</w:t>
      </w:r>
    </w:p>
    <w:p w14:paraId="793C3107" w14:textId="77777777" w:rsidR="00331CF8" w:rsidRDefault="009604E8">
      <w:pPr>
        <w:spacing w:after="160" w:line="336" w:lineRule="auto"/>
        <w:jc w:val="both"/>
      </w:pPr>
      <w:r>
        <w:rPr>
          <w:color w:val="1A1A1A"/>
        </w:rPr>
        <w:t>يختلف جذريًّا عن:</w:t>
      </w:r>
    </w:p>
    <w:p w14:paraId="1531E058" w14:textId="77777777" w:rsidR="00331CF8" w:rsidRDefault="009604E8">
      <w:pPr>
        <w:pBdr>
          <w:right w:val="single" w:sz="16" w:space="8" w:color="0E6E6E"/>
        </w:pBdr>
        <w:spacing w:before="100" w:after="100" w:line="320" w:lineRule="auto"/>
        <w:ind w:right="500"/>
        <w:jc w:val="right"/>
      </w:pPr>
      <w:r>
        <w:rPr>
          <w:i/>
          <w:iCs/>
          <w:color w:val="1B2A4A"/>
        </w:rPr>
        <w:t>«لا أريد لأحد أن ينام في فراشي لأنه قد يتعمَّد إيذائي أو دسَّ شيء في أغراضي.»</w:t>
      </w:r>
    </w:p>
    <w:p w14:paraId="35783AC1" w14:textId="77777777" w:rsidR="00331CF8" w:rsidRDefault="009604E8">
      <w:pPr>
        <w:spacing w:after="160" w:line="336" w:lineRule="auto"/>
        <w:jc w:val="both"/>
      </w:pPr>
      <w:r>
        <w:rPr>
          <w:color w:val="1A1A1A"/>
        </w:rPr>
        <w:t>ويختلف الاثنان عن:</w:t>
      </w:r>
    </w:p>
    <w:p w14:paraId="6072CD16" w14:textId="77777777" w:rsidR="00331CF8" w:rsidRDefault="009604E8">
      <w:pPr>
        <w:pBdr>
          <w:right w:val="single" w:sz="16" w:space="8" w:color="0E6E6E"/>
        </w:pBdr>
        <w:spacing w:before="100" w:after="100" w:line="320" w:lineRule="auto"/>
        <w:ind w:right="500"/>
        <w:jc w:val="right"/>
      </w:pPr>
      <w:r>
        <w:rPr>
          <w:i/>
          <w:iCs/>
          <w:color w:val="1B2A4A"/>
        </w:rPr>
        <w:t>«لا أستطيع أن أنام بعد أن ينام شخص آخر في فراشي؛ أشعر أنه أصبح ملوَّثًا، ولذلك يجب أن أغسله وأعقِّمه.»</w:t>
      </w:r>
    </w:p>
    <w:p w14:paraId="2F32B011" w14:textId="77777777" w:rsidR="00331CF8" w:rsidRDefault="009604E8">
      <w:pPr>
        <w:spacing w:after="160" w:line="336" w:lineRule="auto"/>
        <w:jc w:val="both"/>
      </w:pPr>
      <w:r>
        <w:rPr>
          <w:color w:val="1A1A1A"/>
        </w:rPr>
        <w:t>فالسلوك الخارجي واحدٌ تقريبًا، ولكن البنية المعرفية والانفعالية مختلفة جذريًّا في كل حالة.</w:t>
      </w:r>
    </w:p>
    <w:p w14:paraId="4699454E" w14:textId="77777777" w:rsidR="00331CF8" w:rsidRDefault="009604E8">
      <w:pPr>
        <w:pStyle w:val="2"/>
        <w:spacing w:before="360" w:after="180"/>
        <w:jc w:val="right"/>
      </w:pPr>
      <w:r>
        <w:rPr>
          <w:b/>
          <w:bCs/>
          <w:color w:val="0E6E6E"/>
          <w:sz w:val="28"/>
          <w:szCs w:val="28"/>
        </w:rPr>
        <w:t>الفصل العاشر: الخطأ المنهجي في إعطاء نسب تشخيصية</w:t>
      </w:r>
    </w:p>
    <w:p w14:paraId="0104A5F8" w14:textId="77777777" w:rsidR="00331CF8" w:rsidRDefault="009604E8">
      <w:pPr>
        <w:spacing w:after="160" w:line="336" w:lineRule="auto"/>
        <w:jc w:val="both"/>
      </w:pPr>
      <w:r>
        <w:rPr>
          <w:color w:val="1A1A1A"/>
        </w:rPr>
        <w:t>لا يصحُّ علميًّا القول مثلًا: «إذا ظهرت ثلاثة أو أربعة من هذه السلوكيات فاحتمال اضطراب الشخصية الزورانية 90٪.» كما لا يصح القول: «هذا السلوك يعني الزورانية 100٪.» لأن التشخيص لا يُحسَب بهذه الطريقة الحسابية المباشرة. فالدليل التشخيصي والإحصائي للاضطرابات النفسية لا يقول إن ظهور عددٍ معيَّن من السلوكيات اليومية المتعلقة بالأغراض الشخصية يسمح بإعطاء نسبة احتمالية محدَّدة.</w:t>
      </w:r>
    </w:p>
    <w:p w14:paraId="2A5FCC66" w14:textId="77777777" w:rsidR="00331CF8" w:rsidRDefault="009604E8">
      <w:pPr>
        <w:spacing w:after="160" w:line="336" w:lineRule="auto"/>
        <w:jc w:val="both"/>
      </w:pPr>
      <w:r>
        <w:rPr>
          <w:color w:val="1A1A1A"/>
        </w:rPr>
        <w:t>وقد أظهر ميل في دراسته المرجعية حول التنبؤ الإكلينيكي مقابل التنبؤ الإحصائي أن إسناد احتمالات دقيقة لحالاتٍ فردية اعتمادًا على انطباعٍ سريري غير مُمنهج — دون معايير تجميعية مُتحقَّق منها إحصائيًّا — يفضي غالبًا إلى استدلالاتٍ أقل دقة من الأساليب الإجرائية المنضبطة (Meehl, 1954). وتطبيق هذا الدرس المنهجي على حالتنا يعني أن التشخيص يتطلب تقييمًا سريريًّا متكاملًا، واستبعاد تفسيراتٍ أخرى، ودراسة التاريخ النمائي والشخصي، ومدى انتشار النمط، ودرجة المعاناة أو التعطيل — لا مجرد عدِّ سلوكياتٍ ظاهرة وترجمتها حسابيًّا إلى نسبة تشخيصية.</w:t>
      </w:r>
    </w:p>
    <w:p w14:paraId="38312C77" w14:textId="77777777" w:rsidR="00331CF8" w:rsidRDefault="009604E8">
      <w:pPr>
        <w:pStyle w:val="2"/>
        <w:spacing w:before="360" w:after="180"/>
        <w:jc w:val="right"/>
      </w:pPr>
      <w:r>
        <w:rPr>
          <w:b/>
          <w:bCs/>
          <w:color w:val="0E6E6E"/>
          <w:sz w:val="28"/>
          <w:szCs w:val="28"/>
        </w:rPr>
        <w:t>الخلاصة الإكلينيكية للباب الأول</w:t>
      </w:r>
    </w:p>
    <w:p w14:paraId="5183942E" w14:textId="77777777" w:rsidR="00331CF8" w:rsidRDefault="009604E8">
      <w:pPr>
        <w:spacing w:after="160" w:line="336" w:lineRule="auto"/>
        <w:jc w:val="both"/>
      </w:pPr>
      <w:r>
        <w:rPr>
          <w:color w:val="1A1A1A"/>
        </w:rPr>
        <w:t>النمط المتمثِّل في السماح للآخرين بلمس أغراضهم مع رفض السماح لهم بلمس الأغراض الشخصية لا ينبغي تصنيفه تلقائيًّا على أنه وسواس نظافة، ولا على أنه اضطراب شخصية زورانية. إن أهم مفتاحٍ تشخيصي هو تحديد المعنى الداخلي للسلوك:</w:t>
      </w:r>
    </w:p>
    <w:p w14:paraId="3FD87AC2" w14:textId="77777777" w:rsidR="00331CF8" w:rsidRDefault="009604E8">
      <w:pPr>
        <w:spacing w:after="120" w:line="320" w:lineRule="auto"/>
        <w:ind w:right="420"/>
        <w:jc w:val="right"/>
      </w:pPr>
      <w:r>
        <w:rPr>
          <w:b/>
          <w:bCs/>
          <w:color w:val="B8860B"/>
        </w:rPr>
        <w:t xml:space="preserve">◆  </w:t>
      </w:r>
      <w:r>
        <w:rPr>
          <w:color w:val="1A1A1A"/>
        </w:rPr>
        <w:t>الخوف من التلوث ← يستدعي فحص احتمال الوسواس القهري المتعلق بالتلوث (المادي أو الذهني).</w:t>
      </w:r>
    </w:p>
    <w:p w14:paraId="6EEA3A58" w14:textId="77777777" w:rsidR="00331CF8" w:rsidRDefault="009604E8">
      <w:pPr>
        <w:spacing w:after="120" w:line="320" w:lineRule="auto"/>
        <w:ind w:right="420"/>
        <w:jc w:val="right"/>
      </w:pPr>
      <w:r>
        <w:rPr>
          <w:b/>
          <w:bCs/>
          <w:color w:val="B8860B"/>
        </w:rPr>
        <w:t xml:space="preserve">◆  </w:t>
      </w:r>
      <w:r>
        <w:rPr>
          <w:color w:val="1A1A1A"/>
        </w:rPr>
        <w:t>الحاجة إلى الخصوصية والسيطرة على الملكية ← قد تعكس سمات شخصية أو حدودًا شخصية شديدة، دون أن تكون بالضرورة مرضية.</w:t>
      </w:r>
    </w:p>
    <w:p w14:paraId="2ACD21F4" w14:textId="77777777" w:rsidR="00331CF8" w:rsidRDefault="009604E8">
      <w:pPr>
        <w:spacing w:after="120" w:line="320" w:lineRule="auto"/>
        <w:ind w:right="420"/>
        <w:jc w:val="right"/>
      </w:pPr>
      <w:r>
        <w:rPr>
          <w:b/>
          <w:bCs/>
          <w:color w:val="B8860B"/>
        </w:rPr>
        <w:t xml:space="preserve">◆  </w:t>
      </w:r>
      <w:r>
        <w:rPr>
          <w:color w:val="1A1A1A"/>
        </w:rPr>
        <w:t>الشك المستمر في نوايا الآخرين والخوف من الخداع أو الإيذاء ← يجعل السمات الزورانية أكثر احتمالًا، خصوصًا إذا ظهرت في علاقاتٍ ومواقف متعددة.</w:t>
      </w:r>
    </w:p>
    <w:p w14:paraId="1A9C5B58" w14:textId="77777777" w:rsidR="00331CF8" w:rsidRDefault="009604E8">
      <w:pPr>
        <w:spacing w:after="120" w:line="320" w:lineRule="auto"/>
        <w:ind w:right="420"/>
        <w:jc w:val="right"/>
      </w:pPr>
      <w:r>
        <w:rPr>
          <w:b/>
          <w:bCs/>
          <w:color w:val="B8860B"/>
        </w:rPr>
        <w:t xml:space="preserve">◆  </w:t>
      </w:r>
      <w:r>
        <w:rPr>
          <w:color w:val="1A1A1A"/>
        </w:rPr>
        <w:t>الاعتقاد بأن لمس الآخرين للأشياء يؤدي إلى انتقال الطاقة أو الضرر بطريقة غير عادية ← يستلزم تقييمًا أكثر دقة للسياق الثقافي، ودرجة الاقتناع، وطبيعة الاعتقاد، ومدى ارتباطه بالوسواس أو التفكير الزوراني أو غير ذلك.</w:t>
      </w:r>
    </w:p>
    <w:p w14:paraId="7B69004E" w14:textId="77777777" w:rsidR="00331CF8" w:rsidRDefault="009604E8">
      <w:pPr>
        <w:spacing w:after="160" w:line="336" w:lineRule="auto"/>
        <w:jc w:val="both"/>
      </w:pPr>
      <w:r>
        <w:rPr>
          <w:color w:val="1A1A1A"/>
        </w:rPr>
        <w:t>وعليه، فإن الصياغة العلمية الأدق ليست: «الفتاة مصابة بالشخصية الزورانية»، بل:</w:t>
      </w:r>
    </w:p>
    <w:p w14:paraId="063D992A" w14:textId="77777777" w:rsidR="00331CF8" w:rsidRDefault="009604E8">
      <w:pPr>
        <w:spacing w:before="80" w:after="80" w:line="320" w:lineRule="auto"/>
        <w:jc w:val="center"/>
      </w:pPr>
      <w:r>
        <w:rPr>
          <w:i/>
          <w:iCs/>
          <w:color w:val="1B2A4A"/>
          <w:sz w:val="22"/>
          <w:szCs w:val="22"/>
        </w:rPr>
        <w:t>«السلوك الموصوف لا يتوافق بصورة نموذجية مع وسواس التلوث وحده، ويستدعي دراسة البنية المعرفية والانفعالية الكامنة وراء حماية الممتلكات الشخصية. وإذا كان هذا السلوك جزءًا من نمطٍ أوسع ومستمر من عدم الثقة بالآخرين وتفسير نواياهم باعتبارها خبيثة أو مؤذية، فقد تكتسب فرضية السمات الزورانية أهمية سريرية؛ أما إذا كان محوره الخوف من التلوث أو المرض أو الحاجة القهرية إلى التطهير، فينبغي بحث احتمال الوسواس القهري. ولا يمكن إثبات أيٍّ من التشخيصين اعتمادًا على هذه السلوكيات وحدها.»</w:t>
      </w:r>
    </w:p>
    <w:p w14:paraId="0429983C" w14:textId="77777777" w:rsidR="00331CF8" w:rsidRDefault="00331CF8">
      <w:pPr>
        <w:pageBreakBefore/>
      </w:pPr>
    </w:p>
    <w:p w14:paraId="4AC1DD35" w14:textId="77777777" w:rsidR="00331CF8" w:rsidRDefault="009604E8">
      <w:pPr>
        <w:pStyle w:val="1"/>
        <w:pBdr>
          <w:bottom w:val="single" w:sz="12" w:space="6" w:color="B8860B"/>
        </w:pBdr>
        <w:spacing w:before="480" w:after="240"/>
        <w:jc w:val="right"/>
      </w:pPr>
      <w:r>
        <w:rPr>
          <w:b/>
          <w:bCs/>
          <w:color w:val="1B2A4A"/>
          <w:sz w:val="34"/>
          <w:szCs w:val="34"/>
        </w:rPr>
        <w:t>الباب الثاني: القراءة الاستخلافية التكاملية</w:t>
      </w:r>
    </w:p>
    <w:p w14:paraId="0A5028ED" w14:textId="77777777" w:rsidR="00331CF8" w:rsidRDefault="009604E8">
      <w:pPr>
        <w:pStyle w:val="2"/>
        <w:spacing w:before="360" w:after="180"/>
        <w:jc w:val="right"/>
      </w:pPr>
      <w:r>
        <w:rPr>
          <w:b/>
          <w:bCs/>
          <w:color w:val="0E6E6E"/>
          <w:sz w:val="28"/>
          <w:szCs w:val="28"/>
        </w:rPr>
        <w:t>من «الوسواس القهري» والزَّبَّانية إلى «الاستخلاف المُشوَّه»: قراءة استخلافية في اضطراب «التملُّك الدفاعي» لدى الفتاة</w:t>
      </w:r>
    </w:p>
    <w:p w14:paraId="403ECA70" w14:textId="77777777" w:rsidR="00331CF8" w:rsidRDefault="009604E8">
      <w:pPr>
        <w:spacing w:before="260" w:after="140"/>
        <w:jc w:val="right"/>
      </w:pPr>
      <w:r>
        <w:rPr>
          <w:b/>
          <w:bCs/>
          <w:color w:val="B8860B"/>
          <w:sz w:val="25"/>
          <w:szCs w:val="25"/>
        </w:rPr>
        <w:t>تمهيد: في نقد «التصنيف الغربي» وضرورة «التشخيص الوجودي»</w:t>
      </w:r>
    </w:p>
    <w:p w14:paraId="43E90952" w14:textId="77777777" w:rsidR="00331CF8" w:rsidRDefault="009604E8">
      <w:pPr>
        <w:spacing w:after="160" w:line="336" w:lineRule="auto"/>
        <w:jc w:val="both"/>
      </w:pPr>
      <w:r>
        <w:rPr>
          <w:color w:val="1A1A1A"/>
        </w:rPr>
        <w:t>يقدِّم التحليل العيادي المعروض في الباب الأول تحليلًا دقيقًا لحالة فتاة تُظهر نمطًا سلوكيًّا مركَّبًا: فهي تأكل من أكل الآخرين وتلمس أغراضهم بسهولة، لكنها ترفض تمامًا أن يلمس أحد أغراضها الشخصية (كوبها، ملابسها، فراشها، طعامها). ويرجِّح التحليل — بعد استعراضٍ دقيق للفرضيات الثلاث — أن التشخيص الأقرب هو «اضطراب الشخصية الزَّبَّانية» (Paranoid Personality Disorder) أو «الوسواس القهري التملُّكي/الحصري»، لا «وسواس النظافة» الكلاسيكي.</w:t>
      </w:r>
    </w:p>
    <w:p w14:paraId="5E177870" w14:textId="77777777" w:rsidR="00331CF8" w:rsidRDefault="009604E8">
      <w:pPr>
        <w:spacing w:after="160" w:line="336" w:lineRule="auto"/>
        <w:jc w:val="both"/>
      </w:pPr>
      <w:r>
        <w:rPr>
          <w:color w:val="1A1A1A"/>
        </w:rPr>
        <w:t>هذا التحليل — رغم دقته السريرية ومطابقته للمعايير المنهجية المعاصرة — يبقى، في منظور «علم النفس الاستخلافي» كما صاغه الباحث عبد السلام الزراع، «تشخيصًا سطحيًّا» لا ينفذ إلى «الجذور الوجودية» للاضطراب. فهو يصف الأعراض ويصنِّفها بدقة، لكنه لا يجيب عن السؤال الأعمق: «ما الذي انحرف في هذا الإنسان؟» و«أيُّ طاقة وجودية احتُجزت وتحوَّلت إلى هذا السلوك الدفاعي؟» و«كيف نُعيد هذا الإنسان إلى فطرته واستخلافه؟».</w:t>
      </w:r>
    </w:p>
    <w:p w14:paraId="45743EDF" w14:textId="77777777" w:rsidR="00331CF8" w:rsidRDefault="009604E8">
      <w:pPr>
        <w:spacing w:after="160" w:line="336" w:lineRule="auto"/>
        <w:jc w:val="both"/>
      </w:pPr>
      <w:r>
        <w:rPr>
          <w:color w:val="1A1A1A"/>
        </w:rPr>
        <w:t>هذه القراءة — التي لا تُلغي التمييز السريري بل تبني عليه — تسعى إلى تقديم «قراءة استخلافية» لحالة هذه الفتاة، عبر «النموذج الهرمي القرآني» و«الأضلاع الثمانية» و«خريطة الدين النفسي» و«الفصام الأخلاقي» و«الكينتسوغي النفسي»، مع اقتراح «مسار علاجي استخلافي» يُعيد لها توازنها واستخلافها.</w:t>
      </w:r>
    </w:p>
    <w:p w14:paraId="179CD737" w14:textId="77777777" w:rsidR="00331CF8" w:rsidRDefault="009604E8">
      <w:pPr>
        <w:pStyle w:val="2"/>
        <w:spacing w:before="360" w:after="180"/>
        <w:jc w:val="right"/>
      </w:pPr>
      <w:r>
        <w:rPr>
          <w:b/>
          <w:bCs/>
          <w:color w:val="0E6E6E"/>
          <w:sz w:val="28"/>
          <w:szCs w:val="28"/>
        </w:rPr>
        <w:t>الفصل الأول: «التشخيص الوجودي» — من الأعراض إلى «الطاقة المحتجزة»</w:t>
      </w:r>
    </w:p>
    <w:p w14:paraId="76F92986" w14:textId="77777777" w:rsidR="00331CF8" w:rsidRDefault="009604E8">
      <w:pPr>
        <w:spacing w:before="260" w:after="140"/>
        <w:jc w:val="right"/>
      </w:pPr>
      <w:r>
        <w:rPr>
          <w:b/>
          <w:bCs/>
          <w:color w:val="B8860B"/>
          <w:sz w:val="25"/>
          <w:szCs w:val="25"/>
        </w:rPr>
        <w:t>1. «التملُّك الدفاعي» و«الضلع السابع» (شيطان ← أمارة)</w:t>
      </w:r>
    </w:p>
    <w:p w14:paraId="4FBB03FF" w14:textId="77777777" w:rsidR="00331CF8" w:rsidRDefault="009604E8">
      <w:pPr>
        <w:spacing w:after="160" w:line="336" w:lineRule="auto"/>
        <w:jc w:val="both"/>
      </w:pPr>
      <w:r>
        <w:rPr>
          <w:color w:val="1A1A1A"/>
        </w:rPr>
        <w:t>في «النموذج الهرمي القرآني»، السلوك — أي سلوك — ليس مجرد استجابة عصبية أو معرفية، بل هو — في العمق — تعبير عن تفعيل ضلعٍ معين من «الأضلاع الثمانية». و«التملُّك الدفاعي» الذي تُظهره الفتاة — الذي يجمع بين رفض لمس أغراضها واتهام الآخرين بـالحسد أو التلويث — هو، في التحليل الاستخلافي، «تفعيل مُزمن» لـ«الضلع السابع» (شيطان ← أمارة).</w:t>
      </w:r>
    </w:p>
    <w:p w14:paraId="54953350" w14:textId="77777777" w:rsidR="00331CF8" w:rsidRDefault="009604E8">
      <w:pPr>
        <w:spacing w:after="160" w:line="336" w:lineRule="auto"/>
        <w:jc w:val="both"/>
      </w:pPr>
      <w:r>
        <w:rPr>
          <w:color w:val="1A1A1A"/>
        </w:rPr>
        <w:t>و«الضلع السابع» — كما نعرفه — هو مسار تضخيم الخوف والقلق والشك. والشيطان — في «هذه الحالة» — يُضخِّم في نفس الفتاة الخوف من الآخرين، ويُوهمها بأنهم يُريدون إيذاءها أو حسدها أو تلويثها، ويجعلها تُفسِّر أيَّ فعلٍ بريء (كتقبيل الأم، أو شرب الأخ من كوبها) على أنه اعتداء وتهديد. و«هذا التضخيم» — بدوره — يمنع تفعيل «الضلع الخامس» (أمارة ← لوَّامة) — «صحوة الضمير» والتمييز — فتبقى الفتاة أسيرة لوهمها ودفاعاتها.</w:t>
      </w:r>
    </w:p>
    <w:p w14:paraId="7ADE708E" w14:textId="77777777" w:rsidR="00331CF8" w:rsidRDefault="009604E8">
      <w:pPr>
        <w:spacing w:before="260" w:after="140"/>
        <w:jc w:val="right"/>
      </w:pPr>
      <w:r>
        <w:rPr>
          <w:b/>
          <w:bCs/>
          <w:color w:val="B8860B"/>
          <w:sz w:val="25"/>
          <w:szCs w:val="25"/>
        </w:rPr>
        <w:t>2. «الفصام الأخلاقي» — التمزُّق بين الأنا والآخر</w:t>
      </w:r>
    </w:p>
    <w:p w14:paraId="4290F863" w14:textId="77777777" w:rsidR="00331CF8" w:rsidRDefault="009604E8">
      <w:pPr>
        <w:spacing w:after="160" w:line="336" w:lineRule="auto"/>
        <w:jc w:val="both"/>
      </w:pPr>
      <w:r>
        <w:rPr>
          <w:color w:val="1A1A1A"/>
        </w:rPr>
        <w:t>التحليل — كما يُشير النص — يلاحظ مفارقة لافتة في سلوك الفتاة: فهي تأكل من أكل الآخرين وتلمس أغراضهم بسهولة، لكنها ترفض تمامًا أن يلمس أحد أغراضها. و«هذه المفارقة» — في التحليل الاستخلافي — هي تعبير عن «الفصام الأخلاقي» (Moral Schizophrenia): تمزُّق النفس بين قانونين متناقضين — قانون الأنا (التي ترى نفسها نقية ومحصَّنة) وقانون الآخر (الذي تراه ملوَّثًا ومهدِّدًا). و«هذا التمزُّق» — كما يؤكِّد الزراع — يستنزف الطاقة الوجودية ويُولِّد قلقًا مزمنًا وشعورًا بالعزلة والعداء.</w:t>
      </w:r>
    </w:p>
    <w:p w14:paraId="4E95D118" w14:textId="77777777" w:rsidR="00331CF8" w:rsidRDefault="009604E8">
      <w:pPr>
        <w:pStyle w:val="2"/>
        <w:spacing w:before="360" w:after="180"/>
        <w:jc w:val="right"/>
      </w:pPr>
      <w:r>
        <w:rPr>
          <w:b/>
          <w:bCs/>
          <w:color w:val="0E6E6E"/>
          <w:sz w:val="28"/>
          <w:szCs w:val="28"/>
        </w:rPr>
        <w:t>الفصل الثاني: «خريطة الدين النفسي» — الديون الحقيقية والوهمية</w:t>
      </w:r>
    </w:p>
    <w:p w14:paraId="64836B78" w14:textId="77777777" w:rsidR="00331CF8" w:rsidRDefault="009604E8">
      <w:pPr>
        <w:spacing w:before="260" w:after="140"/>
        <w:jc w:val="right"/>
      </w:pPr>
      <w:r>
        <w:rPr>
          <w:b/>
          <w:bCs/>
          <w:color w:val="B8860B"/>
          <w:sz w:val="25"/>
          <w:szCs w:val="25"/>
        </w:rPr>
        <w:t>2.1 «الديون الوهمية» و«الأنا الأعلى القاسي»</w:t>
      </w:r>
    </w:p>
    <w:p w14:paraId="20BECE0F" w14:textId="77777777" w:rsidR="00331CF8" w:rsidRDefault="009604E8">
      <w:pPr>
        <w:spacing w:after="160" w:line="336" w:lineRule="auto"/>
        <w:jc w:val="both"/>
      </w:pPr>
      <w:r>
        <w:rPr>
          <w:color w:val="1A1A1A"/>
        </w:rPr>
        <w:t>في بروتوكول TLRT، «خريطة الدين النفسي» أداةٌ تشخيصية تُساعد على تمييز «الديون الحقيقية» (ما يجب فعله) عن «الديون الوهمية» (ما تفرضه الأوهام والأعراف و«الأنا الأعلى القاسي»). و«في حالة» «هذه الفتاة»:</w:t>
      </w:r>
    </w:p>
    <w:p w14:paraId="52F3EBC4" w14:textId="77777777" w:rsidR="00331CF8" w:rsidRDefault="009604E8">
      <w:pPr>
        <w:spacing w:after="120" w:line="320" w:lineRule="auto"/>
        <w:ind w:right="420"/>
        <w:jc w:val="right"/>
      </w:pPr>
      <w:r>
        <w:rPr>
          <w:b/>
          <w:bCs/>
          <w:color w:val="B8860B"/>
        </w:rPr>
        <w:t xml:space="preserve">◆  </w:t>
      </w:r>
      <w:r>
        <w:rPr>
          <w:color w:val="1A1A1A"/>
        </w:rPr>
        <w:t>«الدين الحقيقي» — إن وُجد — يتمثل في حق أسرتها في العلاقة الطبيعية والتعاون والمحبة.</w:t>
      </w:r>
    </w:p>
    <w:p w14:paraId="72A8A1A1" w14:textId="77777777" w:rsidR="00331CF8" w:rsidRDefault="009604E8">
      <w:pPr>
        <w:spacing w:after="120" w:line="320" w:lineRule="auto"/>
        <w:ind w:right="420"/>
        <w:jc w:val="right"/>
      </w:pPr>
      <w:r>
        <w:rPr>
          <w:b/>
          <w:bCs/>
          <w:color w:val="B8860B"/>
        </w:rPr>
        <w:t xml:space="preserve">◆  </w:t>
      </w:r>
      <w:r>
        <w:rPr>
          <w:color w:val="1A1A1A"/>
        </w:rPr>
        <w:t>«الدين الوهمي» هو الشعور بأن لمس أغراضها هو انتهاك يستوجب الغضب أو التطهير، وبأن الآخرين يُضمرون لها السوء. وهذه «الديون الوهمية» — كما يجادل الزراع — هي الوقود الذي يُغذي الوسواس ويُعمِّق العزلة.</w:t>
      </w:r>
    </w:p>
    <w:p w14:paraId="4A4D9F1D" w14:textId="77777777" w:rsidR="00331CF8" w:rsidRDefault="009604E8">
      <w:pPr>
        <w:spacing w:before="260" w:after="140"/>
        <w:jc w:val="right"/>
      </w:pPr>
      <w:r>
        <w:rPr>
          <w:b/>
          <w:bCs/>
          <w:color w:val="B8860B"/>
          <w:sz w:val="25"/>
          <w:szCs w:val="25"/>
        </w:rPr>
        <w:t>2.2 «الديون النفسية المحتجزة» في الأنسجة</w:t>
      </w:r>
    </w:p>
    <w:p w14:paraId="1EDDFE85" w14:textId="77777777" w:rsidR="00331CF8" w:rsidRDefault="009604E8">
      <w:pPr>
        <w:spacing w:after="160" w:line="336" w:lineRule="auto"/>
        <w:jc w:val="both"/>
      </w:pPr>
      <w:r>
        <w:rPr>
          <w:color w:val="1A1A1A"/>
        </w:rPr>
        <w:t>الأعراض الجسدية التي قد تُرافق هذه الحالة (كالتوتر، والقلق، والغضب المكتوم) هي — في التحليل الاستخلافي — «ديون نفسية محتجزة» في الأنسجة. الطاقة التي كانت يجب أن تتدفق نحو الإحسان والعلاقات تُحتجز في الجسد، وتتحول إلى توتر وأعراض نفس-جسدية. والعلاج — في TLRT — يهدف إلى تحرير هذه الطاقة و«إعادة توجيهها» نحو الخير.</w:t>
      </w:r>
    </w:p>
    <w:p w14:paraId="4579E5C5" w14:textId="77777777" w:rsidR="00331CF8" w:rsidRDefault="009604E8">
      <w:pPr>
        <w:pStyle w:val="2"/>
        <w:spacing w:before="360" w:after="180"/>
        <w:jc w:val="right"/>
      </w:pPr>
      <w:r>
        <w:rPr>
          <w:b/>
          <w:bCs/>
          <w:color w:val="0E6E6E"/>
          <w:sz w:val="28"/>
          <w:szCs w:val="28"/>
        </w:rPr>
        <w:t>الفصل الثالث: «التشخيص التفريقي» — الوسواس أم الزَّبَّانية أم «الاستخلاف المشوَّه»؟</w:t>
      </w:r>
    </w:p>
    <w:p w14:paraId="70708BE8" w14:textId="77777777" w:rsidR="00331CF8" w:rsidRDefault="009604E8">
      <w:pPr>
        <w:spacing w:before="260" w:after="140"/>
        <w:jc w:val="right"/>
      </w:pPr>
      <w:r>
        <w:rPr>
          <w:b/>
          <w:bCs/>
          <w:color w:val="B8860B"/>
          <w:sz w:val="25"/>
          <w:szCs w:val="25"/>
        </w:rPr>
        <w:t>3.1 «الوسواس القهري التملُّكي» — طاقة محتجزة نحو السيطرة</w:t>
      </w:r>
    </w:p>
    <w:p w14:paraId="28B43F37" w14:textId="77777777" w:rsidR="00331CF8" w:rsidRDefault="009604E8">
      <w:pPr>
        <w:spacing w:after="160" w:line="336" w:lineRule="auto"/>
        <w:jc w:val="both"/>
      </w:pPr>
      <w:r>
        <w:rPr>
          <w:color w:val="1A1A1A"/>
        </w:rPr>
        <w:t>النص — كما رأينا في الباب الأول — يرجِّح أحد تشخيصين. وفي التحليل الاستخلافي، «الوسواس القهري التملُّكي» — إن كان هو التشخيص — يُفسَّر بأنه تفعيل «للضلع السابع» (شيطان ← أمارة) على مستوى السلوك التملُّكي: الخوف من فقدان السيطرة على الحدود الشخصية يتحول إلى طقوس دفاعية (رفض اللمس، الغسل المتكرر). وهذا — كما يلاحظ — يختلف عن وسواس النظافة الكلاسيكي في أن الخوف ليس من التلوث الذاتي، بل من انتهاك الحدود الخاصة.</w:t>
      </w:r>
    </w:p>
    <w:p w14:paraId="25E9E518" w14:textId="77777777" w:rsidR="00331CF8" w:rsidRDefault="009604E8">
      <w:pPr>
        <w:spacing w:before="260" w:after="140"/>
        <w:jc w:val="right"/>
      </w:pPr>
      <w:r>
        <w:rPr>
          <w:b/>
          <w:bCs/>
          <w:color w:val="B8860B"/>
          <w:sz w:val="25"/>
          <w:szCs w:val="25"/>
        </w:rPr>
        <w:t>3.2 «السمات الزَّبَّانية» — طاقة محتجزة نحو العداء</w:t>
      </w:r>
    </w:p>
    <w:p w14:paraId="19068178" w14:textId="77777777" w:rsidR="00331CF8" w:rsidRDefault="009604E8">
      <w:pPr>
        <w:spacing w:after="160" w:line="336" w:lineRule="auto"/>
        <w:jc w:val="both"/>
      </w:pPr>
      <w:r>
        <w:rPr>
          <w:color w:val="1A1A1A"/>
        </w:rPr>
        <w:t>أما «السمات الزَّبَّانية» — إن كانت هي التشخيص — فتُفسَّر استخلافيًّا بأنها تفعيل «للضلع السابع» على مستوى العلاقات: الشك المَرَضي في نوايا الآخرين يتحول إلى عداء استباقي (أرفض أن تلمس أغراضي لأنك تريد إيذائي). وهذا — كما يجادل الزراع — هو استخلاف مشوَّه: الخليفة — الذي كان يجب أن يكون متعاونًا ومتسامحًا — أصبح سجَّانًا لحدوده ومحاربًا لأخيه.</w:t>
      </w:r>
    </w:p>
    <w:p w14:paraId="29A19177" w14:textId="77777777" w:rsidR="00331CF8" w:rsidRDefault="009604E8">
      <w:pPr>
        <w:spacing w:before="260" w:after="140"/>
        <w:jc w:val="right"/>
      </w:pPr>
      <w:r>
        <w:rPr>
          <w:b/>
          <w:bCs/>
          <w:color w:val="B8860B"/>
          <w:sz w:val="25"/>
          <w:szCs w:val="25"/>
        </w:rPr>
        <w:t>3.3 نحو تشخيص استخلافي: «الاستخلاف المُشوَّه»</w:t>
      </w:r>
    </w:p>
    <w:p w14:paraId="365656E6" w14:textId="77777777" w:rsidR="00331CF8" w:rsidRDefault="009604E8">
      <w:pPr>
        <w:spacing w:after="160" w:line="336" w:lineRule="auto"/>
        <w:jc w:val="both"/>
      </w:pPr>
      <w:r>
        <w:rPr>
          <w:color w:val="1A1A1A"/>
        </w:rPr>
        <w:t>البديل الاستخلافي — كما نقترح — هو تجاوز التصنيفين إلى «تشخيص وجودي» أكثر شمولًا: «الاستخلاف المُشوَّه» (Distorted Vicegerency). الفتاة — في هذا التصور — ليست مجرد مريضة بالوسواس أو الزَّبَّانية، بل هي — في العمق — خليفة انحرفت علاقتها بـالآخر وبالحدود وبالأمانة. الخلافة — التي كانت يجب أن تُثمر تعاونًا وثقة وإحسانًا — انحرفت لتُثمر دفاعية وعزلة وعداء. والهدف العلاجي — بالتالي — ليس مجرد إزالة الأعراض، بل ترميم الخلافة وإعادة التوازن بين الأنا والآخر والحدود.</w:t>
      </w:r>
    </w:p>
    <w:p w14:paraId="29509923" w14:textId="77777777" w:rsidR="00331CF8" w:rsidRDefault="009604E8">
      <w:pPr>
        <w:pStyle w:val="2"/>
        <w:spacing w:before="360" w:after="180"/>
        <w:jc w:val="right"/>
      </w:pPr>
      <w:r>
        <w:rPr>
          <w:b/>
          <w:bCs/>
          <w:color w:val="0E6E6E"/>
          <w:sz w:val="28"/>
          <w:szCs w:val="28"/>
        </w:rPr>
        <w:t>الفصل الرابع: «نحو علاج استخلافي» — الكينتسوغي و«الجسر السلوكي»</w:t>
      </w:r>
    </w:p>
    <w:p w14:paraId="140F968E" w14:textId="77777777" w:rsidR="00331CF8" w:rsidRDefault="009604E8">
      <w:pPr>
        <w:spacing w:before="260" w:after="140"/>
        <w:jc w:val="right"/>
      </w:pPr>
      <w:r>
        <w:rPr>
          <w:b/>
          <w:bCs/>
          <w:color w:val="B8860B"/>
          <w:sz w:val="25"/>
          <w:szCs w:val="25"/>
        </w:rPr>
        <w:t>4.1 الاعتراف والتوبة — صحوة «النفس اللوَّامة»</w:t>
      </w:r>
    </w:p>
    <w:p w14:paraId="350F79F6" w14:textId="77777777" w:rsidR="00331CF8" w:rsidRDefault="009604E8">
      <w:pPr>
        <w:spacing w:after="160" w:line="336" w:lineRule="auto"/>
        <w:jc w:val="both"/>
      </w:pPr>
      <w:r>
        <w:rPr>
          <w:color w:val="1A1A1A"/>
        </w:rPr>
        <w:t>الخطوة الأولى — في العلاج — هي مساعدة الفتاة — بلطف ودون اتهام — على إدراك أن سلوكها ليس مجرد عادة أو حرص، بل هو خوف مضخَّم وشك مؤذٍ لنفسها قبل غيرها. وهذا الاعتراف — كما يؤكد الزراع — هو تفعيل «الضلع الخامس» (أمارة ← لوَّامة): صحوة الضمير والتوبة والرجوع إلى الحق. وهو نفسيًّا يحرِّرها من عبء الدفاعية والعزلة.</w:t>
      </w:r>
    </w:p>
    <w:p w14:paraId="2DC6AAEF" w14:textId="77777777" w:rsidR="00331CF8" w:rsidRDefault="009604E8">
      <w:pPr>
        <w:spacing w:before="260" w:after="140"/>
        <w:jc w:val="right"/>
      </w:pPr>
      <w:r>
        <w:rPr>
          <w:b/>
          <w:bCs/>
          <w:color w:val="B8860B"/>
          <w:sz w:val="25"/>
          <w:szCs w:val="25"/>
        </w:rPr>
        <w:t>4.2 إعادة بناء صورة الله — من «الإله القامع» إلى «الرب الرحيم»</w:t>
      </w:r>
    </w:p>
    <w:p w14:paraId="39986120" w14:textId="77777777" w:rsidR="00331CF8" w:rsidRDefault="009604E8">
      <w:pPr>
        <w:spacing w:after="160" w:line="336" w:lineRule="auto"/>
        <w:jc w:val="both"/>
      </w:pPr>
      <w:r>
        <w:rPr>
          <w:color w:val="1A1A1A"/>
        </w:rPr>
        <w:t>في حالة الزَّبَّانية — خاصة — قد تكون صورة الله في لاوعي الفتاة مشوَّهة: إله مراقب ومحاسب وقامع، ينتظر الزلة ليُعاقب. والعلاج — هنا — يهدف — كما في بروتوكول TLRT — إلى الانتقال من صورة «الإله القاضي» إلى صورة «الشاهد الرحيم»: رب ودود غفور، يقبل التوبة ويحب المحسنين، ويأمر بالمعروف وينهى عن المنكر دون قمع أو إذلال.</w:t>
      </w:r>
    </w:p>
    <w:p w14:paraId="25D2DB59" w14:textId="77777777" w:rsidR="00331CF8" w:rsidRDefault="009604E8">
      <w:pPr>
        <w:spacing w:before="260" w:after="140"/>
        <w:jc w:val="right"/>
      </w:pPr>
      <w:r>
        <w:rPr>
          <w:b/>
          <w:bCs/>
          <w:color w:val="B8860B"/>
          <w:sz w:val="25"/>
          <w:szCs w:val="25"/>
        </w:rPr>
        <w:t>4.3 «الجسر السلوكي» — تحويل «الطاقة الدفاعية» إلى إحسان</w:t>
      </w:r>
    </w:p>
    <w:p w14:paraId="2535AD31" w14:textId="77777777" w:rsidR="00331CF8" w:rsidRDefault="009604E8">
      <w:pPr>
        <w:spacing w:after="160" w:line="336" w:lineRule="auto"/>
        <w:jc w:val="both"/>
      </w:pPr>
      <w:r>
        <w:rPr>
          <w:color w:val="1A1A1A"/>
        </w:rPr>
        <w:t>الخطوة الثالثة — والأهم — هي «بناء جسر سلوكي»: فعل إحساني محدَّد يرتبط رمزيًّا بالحالة السابقة. الفتاة — مثلًا — يمكن أن تشارك في مشروع لإعادة تدوير الملابس للمحتاجين، أو تتطوع في مطبخ خيري، أو تشارك أسرتها في أنشطة جماعية تُعزز الثقة. وهذا — كما يجادل الزراع — هو الشفاء الحقيقي: تحويل طاقة الخوف والعداء إلى طاقة عطاء وانفتاح.</w:t>
      </w:r>
    </w:p>
    <w:p w14:paraId="1741EBB2" w14:textId="77777777" w:rsidR="00331CF8" w:rsidRDefault="009604E8">
      <w:pPr>
        <w:spacing w:before="260" w:after="140"/>
        <w:jc w:val="right"/>
      </w:pPr>
      <w:r>
        <w:rPr>
          <w:b/>
          <w:bCs/>
          <w:color w:val="B8860B"/>
          <w:sz w:val="25"/>
          <w:szCs w:val="25"/>
        </w:rPr>
        <w:t>4.4 «الكينتسوغي النفسي» — ترميم الجرح بذهب الثقة</w:t>
      </w:r>
    </w:p>
    <w:p w14:paraId="56FBDCA9" w14:textId="77777777" w:rsidR="00331CF8" w:rsidRDefault="009604E8">
      <w:pPr>
        <w:spacing w:after="160" w:line="336" w:lineRule="auto"/>
        <w:jc w:val="both"/>
      </w:pPr>
      <w:r>
        <w:rPr>
          <w:color w:val="1A1A1A"/>
        </w:rPr>
        <w:t>الخطوة الأخيرة هي «الكينتسوغي النفسي»: ترميم جرح الشك والخوف بـذهب الثقة والمحبة. الفتاة — بعد العلاج — لا تعود إلى ما كانت قبله، بل تصبح — بفضل الجرح المرمَّم — خبيرة حية: شخصية تجاوزت شكوكها، وصارت قادرة على بناء علاقات صحية وتقديم الدعم للآخرين الذين يعانون من المعضلة نفسها.</w:t>
      </w:r>
    </w:p>
    <w:p w14:paraId="174D26CC" w14:textId="77777777" w:rsidR="00331CF8" w:rsidRDefault="00331CF8">
      <w:pPr>
        <w:pageBreakBefore/>
      </w:pPr>
    </w:p>
    <w:p w14:paraId="05D62D11" w14:textId="77777777" w:rsidR="00331CF8" w:rsidRDefault="009604E8">
      <w:pPr>
        <w:pStyle w:val="1"/>
        <w:pBdr>
          <w:bottom w:val="single" w:sz="12" w:space="6" w:color="B8860B"/>
        </w:pBdr>
        <w:spacing w:before="480" w:after="240"/>
        <w:jc w:val="right"/>
      </w:pPr>
      <w:r>
        <w:rPr>
          <w:b/>
          <w:bCs/>
          <w:color w:val="1B2A4A"/>
          <w:sz w:val="34"/>
          <w:szCs w:val="34"/>
        </w:rPr>
        <w:t>الباب الثالث: نحو تركيب معرفي موحَّد</w:t>
      </w:r>
    </w:p>
    <w:p w14:paraId="048B8732" w14:textId="77777777" w:rsidR="00331CF8" w:rsidRDefault="009604E8">
      <w:pPr>
        <w:pStyle w:val="2"/>
        <w:spacing w:before="360" w:after="180"/>
        <w:jc w:val="right"/>
      </w:pPr>
      <w:r>
        <w:rPr>
          <w:b/>
          <w:bCs/>
          <w:color w:val="0E6E6E"/>
          <w:sz w:val="28"/>
          <w:szCs w:val="28"/>
        </w:rPr>
        <w:t>الفصل الأول: نقاط التقاطع المنهجي بين القراءتين</w:t>
      </w:r>
    </w:p>
    <w:p w14:paraId="77CE4E78" w14:textId="77777777" w:rsidR="00331CF8" w:rsidRDefault="009604E8">
      <w:pPr>
        <w:spacing w:after="160" w:line="336" w:lineRule="auto"/>
        <w:jc w:val="both"/>
      </w:pPr>
      <w:r>
        <w:rPr>
          <w:color w:val="1A1A1A"/>
        </w:rPr>
        <w:t>بالنظر إلى البابين السابقين معًا، يتبيَّن أن القراءتين — العيادية والاستخلافية — تلتقيان في نقطةٍ منهجية جوهرية واحدة رغم اختلاف لغتيهما ومرجعيتيهما: كلتاهما ترفضان الاكتفاء بوصف «السلوك الظاهر» وتشترطان النفاذ إلى «المعنى الداخلي» الذي يحمله هذا السلوك بالنسبة إلى صاحبه. فحين يسأل التمييز السريري: «ما الفكرة التي تجعل لمس الآخرين لأغراضها غير مقبول؟»، فإنه يطرح — بلغةٍ معرفية-سلوكية — السؤال نفسه الذي تطرحه القراءة الاستخلافية بلغةٍ وجودية حين تسأل: «أيُّ طاقةٍ وجودية احتُجزت وتحوَّلت إلى هذا السلوك؟». فكلا السؤالين يرفضان اختزال الإنسان إلى مجموع أعراضه الظاهرة.</w:t>
      </w:r>
    </w:p>
    <w:p w14:paraId="40A55278" w14:textId="77777777" w:rsidR="00331CF8" w:rsidRDefault="009604E8">
      <w:pPr>
        <w:spacing w:after="160" w:line="336" w:lineRule="auto"/>
        <w:jc w:val="both"/>
      </w:pPr>
      <w:r>
        <w:rPr>
          <w:color w:val="1A1A1A"/>
        </w:rPr>
        <w:t>كما تلتقي القراءتان في احترازٍ منهجي مشترك من «فرط التعميم التشخيصي»: فكما ينبه التمييز السريري إلى أن نسبةً احتمالية جازمة (٩٠٪ أو ١٠٠٪) لا تصح استنادًا إلى سلوكياتٍ معدودة (Meehl, 1954؛ American Psychiatric Association, 2022)، فإن القراءة الاستخلافية ترفض بدورها اختزال الفتاة في تسميةٍ مرضية جامدة («مصابة بالشخصية الزورانية»)، وتصرّ على أن الحالة «أزمة استخلاف» أوسع من أي تصنيفٍ واحد يستوعبها بالكامل.</w:t>
      </w:r>
    </w:p>
    <w:p w14:paraId="2159AF9F" w14:textId="77777777" w:rsidR="00331CF8" w:rsidRDefault="009604E8">
      <w:pPr>
        <w:pStyle w:val="2"/>
        <w:spacing w:before="360" w:after="180"/>
        <w:jc w:val="right"/>
      </w:pPr>
      <w:r>
        <w:rPr>
          <w:b/>
          <w:bCs/>
          <w:color w:val="0E6E6E"/>
          <w:sz w:val="28"/>
          <w:szCs w:val="28"/>
        </w:rPr>
        <w:t>الفصل الثاني: نقاط التمايز الوظيفي بين القراءتين</w:t>
      </w:r>
    </w:p>
    <w:p w14:paraId="08B31B11" w14:textId="77777777" w:rsidR="00331CF8" w:rsidRDefault="009604E8">
      <w:pPr>
        <w:spacing w:after="160" w:line="336" w:lineRule="auto"/>
        <w:jc w:val="both"/>
      </w:pPr>
      <w:r>
        <w:rPr>
          <w:color w:val="1A1A1A"/>
        </w:rPr>
        <w:t>مع هذا التقاطع المنهجي، يبقى بين القراءتين تمايزٌ وظيفي أساسي في الغاية والأداة:</w:t>
      </w:r>
    </w:p>
    <w:p w14:paraId="5A220668" w14:textId="77777777" w:rsidR="00331CF8" w:rsidRDefault="009604E8">
      <w:pPr>
        <w:spacing w:after="120" w:line="320" w:lineRule="auto"/>
        <w:ind w:right="420"/>
        <w:jc w:val="right"/>
      </w:pPr>
      <w:r>
        <w:rPr>
          <w:b/>
          <w:bCs/>
          <w:color w:val="B8860B"/>
        </w:rPr>
        <w:t xml:space="preserve">◆  </w:t>
      </w:r>
      <w:r>
        <w:rPr>
          <w:color w:val="1A1A1A"/>
        </w:rPr>
        <w:t>التمييز السريري أداة تصنيفية-وصفية غايتها ضبط التشخيص التفريقي بمعايير قابلة للتحقق بينذاتيًّا (Beck et al., 2004؛ McWilliams, 2011؛ Rachman, 2004؛ Pierce et al., 2003)، وهو ما يجعله ضروريًّا لاستبعاد التفسيرات المتنافسة، ولتوجيه أي تدخل علاجي عيادي مُحدَّد الأهداف والمآلات.</w:t>
      </w:r>
    </w:p>
    <w:p w14:paraId="665CBC90" w14:textId="77777777" w:rsidR="00331CF8" w:rsidRDefault="009604E8">
      <w:pPr>
        <w:spacing w:after="120" w:line="320" w:lineRule="auto"/>
        <w:ind w:right="420"/>
        <w:jc w:val="right"/>
      </w:pPr>
      <w:r>
        <w:rPr>
          <w:b/>
          <w:bCs/>
          <w:color w:val="B8860B"/>
        </w:rPr>
        <w:t xml:space="preserve">◆  </w:t>
      </w:r>
      <w:r>
        <w:rPr>
          <w:color w:val="1A1A1A"/>
        </w:rPr>
        <w:t>القراءة الاستخلافية أداة تأويلية-غائية غايتها ربط السلوك الفردي بسؤال المعنى والغاية من الوجود (الاستخلاف)، وهي بذلك تستوعب أبعادًا لا يطرحها التصنيف الوصفي بحكم طبيعته: لماذا ينحرف الإنسان عن فطرته؟ وكيف يُعاد إليه توازنه الوجودي لا مجرد اختفاء أعراضه؟</w:t>
      </w:r>
    </w:p>
    <w:p w14:paraId="0EBAD906" w14:textId="77777777" w:rsidR="00331CF8" w:rsidRDefault="009604E8">
      <w:pPr>
        <w:spacing w:after="160" w:line="336" w:lineRule="auto"/>
        <w:jc w:val="both"/>
      </w:pPr>
      <w:r>
        <w:rPr>
          <w:color w:val="1A1A1A"/>
        </w:rPr>
        <w:t>وعليه فإن العلاقة بين القراءتين ليست علاقة تعارض أو استبدال، بل علاقة تكامل طبقي: التمييز السريري يضبط «ماذا يحدث» ويمنع الانزلاق إلى تسرُّعٍ تشخيصي، بينما تجيب القراءة الاستخلافية عن «لماذا يحدث في نهاية المطاف» وعن غاية العلاج ومآله الوجودي. وأي محاولة لإلغاء أحد المستويين لصالح الآخر تُفقر الفهم الكلي للحالة: فالاكتفاء بالتصنيف العيادي دون سؤال المعنى يُبقي التدخل تقنيًّا مجرَّدًا من غايته، والاكتفاء بالقراءة الوجودية دون الانضباط التشخيصي يُعرِّض التحليل لخطر التعميم والإسقاط غير المنضبط.</w:t>
      </w:r>
    </w:p>
    <w:p w14:paraId="3124868F" w14:textId="77777777" w:rsidR="00331CF8" w:rsidRDefault="009604E8">
      <w:pPr>
        <w:pStyle w:val="2"/>
        <w:spacing w:before="360" w:after="180"/>
        <w:jc w:val="right"/>
      </w:pPr>
      <w:r>
        <w:rPr>
          <w:b/>
          <w:bCs/>
          <w:color w:val="0E6E6E"/>
          <w:sz w:val="28"/>
          <w:szCs w:val="28"/>
        </w:rPr>
        <w:t>خاتمة عامة: من الاضطراب إلى الاستخلاف</w:t>
      </w:r>
    </w:p>
    <w:p w14:paraId="614AEB72" w14:textId="77777777" w:rsidR="00331CF8" w:rsidRDefault="009604E8">
      <w:pPr>
        <w:spacing w:after="160" w:line="336" w:lineRule="auto"/>
        <w:jc w:val="both"/>
      </w:pPr>
      <w:r>
        <w:rPr>
          <w:color w:val="1A1A1A"/>
        </w:rPr>
        <w:t>في ختام هذه الدراسة الموحَّدة، يتبيَّن أن حالة الفتاة الموصوفة لا تحتمل تشخيصًا آليًّا بأيٍّ من المستويين المتاحين. فمن حيث الانضباط العيادي، لا يجوز الانتقال من رفض لمس الأغراض الشخصية إلى تشخيص وسواس التلوث أو اضطراب الشخصية الزورانية دون دراسة المحتوى المعرفي والانفعالي الكامن، ودرجة الاقتناع، والاستمرارية والانتشار عبر السياقات، ومستوى التعطيل الوظيفي. ومن حيث القراءة الاستخلافية، فإن حالة الفتاة — في عمقها — أزمة استخلاف: خليفة انحرفت علاقتها بالآخر وبالحدود وبالأمانة، والعلاج — في منظور علم النفس الاستخلافي — ليس مجرد تعديل سلوك أو تصحيح أفكار، بل رحلة من التملُّك الدفاعي إلى التعاون الواعي، ومن الشك المُدمِّر إلى الثقة المُحرِّرة، ومن الاستخلاف المشوَّه إلى الاستخلاف المُحقَّق.</w:t>
      </w:r>
    </w:p>
    <w:tbl>
      <w:tblPr>
        <w:tblW w:w="5000" w:type="pct"/>
        <w:tblInd w:w="1" w:type="dxa"/>
        <w:tblBorders>
          <w:top w:val="single" w:sz="18" w:space="0" w:color="B8860B"/>
          <w:left w:val="single" w:sz="18" w:space="0" w:color="B8860B"/>
          <w:bottom w:val="single" w:sz="18" w:space="0" w:color="B8860B"/>
          <w:right w:val="single" w:sz="18" w:space="0" w:color="B8860B"/>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60"/>
      </w:tblGrid>
      <w:tr w:rsidR="00331CF8" w14:paraId="13049C91" w14:textId="77777777">
        <w:tc>
          <w:tcPr>
            <w:tcW w:w="0" w:type="auto"/>
            <w:shd w:val="clear" w:color="auto" w:fill="F5E9C9"/>
            <w:tcMar>
              <w:top w:w="220" w:type="dxa"/>
              <w:left w:w="300" w:type="dxa"/>
              <w:bottom w:w="220" w:type="dxa"/>
              <w:right w:w="300" w:type="dxa"/>
            </w:tcMar>
          </w:tcPr>
          <w:p w14:paraId="123769E8" w14:textId="77777777" w:rsidR="00331CF8" w:rsidRDefault="009604E8">
            <w:pPr>
              <w:spacing w:after="100"/>
              <w:jc w:val="center"/>
            </w:pPr>
            <w:r>
              <w:rPr>
                <w:b/>
                <w:bCs/>
                <w:color w:val="1B2A4A"/>
                <w:sz w:val="27"/>
                <w:szCs w:val="27"/>
              </w:rPr>
              <w:t>﴿وَمَا خَلَقْتُ الْجِنَّ وَالْإِنسَ إِلَّا لِيَعْبُدُونِ﴾</w:t>
            </w:r>
          </w:p>
          <w:p w14:paraId="72E69590" w14:textId="77777777" w:rsidR="00331CF8" w:rsidRDefault="009604E8">
            <w:pPr>
              <w:jc w:val="center"/>
            </w:pPr>
            <w:r>
              <w:rPr>
                <w:i/>
                <w:iCs/>
                <w:color w:val="0E6E6E"/>
                <w:sz w:val="21"/>
                <w:szCs w:val="21"/>
              </w:rPr>
              <w:t>سورة الذاريات: 56</w:t>
            </w:r>
          </w:p>
        </w:tc>
      </w:tr>
    </w:tbl>
    <w:p w14:paraId="32F725B1" w14:textId="77777777" w:rsidR="00331CF8" w:rsidRDefault="00331CF8">
      <w:pPr>
        <w:pageBreakBefore/>
      </w:pPr>
    </w:p>
    <w:p w14:paraId="4E6DC7EC" w14:textId="77777777" w:rsidR="00331CF8" w:rsidRDefault="009604E8">
      <w:pPr>
        <w:pStyle w:val="1"/>
        <w:pBdr>
          <w:bottom w:val="single" w:sz="12" w:space="6" w:color="B8860B"/>
        </w:pBdr>
        <w:spacing w:before="480" w:after="240"/>
        <w:jc w:val="right"/>
      </w:pPr>
      <w:r>
        <w:rPr>
          <w:b/>
          <w:bCs/>
          <w:color w:val="1B2A4A"/>
          <w:sz w:val="34"/>
          <w:szCs w:val="34"/>
        </w:rPr>
        <w:t>المراجع والمصادر</w:t>
      </w:r>
    </w:p>
    <w:p w14:paraId="649B93A8" w14:textId="77777777" w:rsidR="00331CF8" w:rsidRDefault="009604E8">
      <w:pPr>
        <w:pStyle w:val="2"/>
        <w:spacing w:before="360" w:after="180"/>
        <w:jc w:val="right"/>
      </w:pPr>
      <w:r>
        <w:rPr>
          <w:b/>
          <w:bCs/>
          <w:color w:val="0E6E6E"/>
          <w:sz w:val="28"/>
          <w:szCs w:val="28"/>
        </w:rPr>
        <w:t>أولًا: المصادر الأساسية (النموذج الاستخلافي)</w:t>
      </w:r>
    </w:p>
    <w:p w14:paraId="3F7C7597" w14:textId="77777777" w:rsidR="00331CF8" w:rsidRDefault="009604E8">
      <w:pPr>
        <w:spacing w:after="130" w:line="300" w:lineRule="auto"/>
        <w:ind w:right="420" w:hanging="420"/>
        <w:jc w:val="right"/>
      </w:pPr>
      <w:r>
        <w:rPr>
          <w:b/>
          <w:bCs/>
          <w:color w:val="0E6E6E"/>
          <w:sz w:val="22"/>
          <w:szCs w:val="22"/>
        </w:rPr>
        <w:t xml:space="preserve">1. </w:t>
      </w:r>
      <w:r>
        <w:rPr>
          <w:color w:val="1A1A1A"/>
          <w:sz w:val="22"/>
          <w:szCs w:val="22"/>
        </w:rPr>
        <w:t>الزراع، عبد السلام. (2026). العلاج بحرث المصالحة التحويلية (TLRT): الدليل النظري والإكلينيكي. (الطبعة التجريبية الأولى).</w:t>
      </w:r>
    </w:p>
    <w:p w14:paraId="24B7E85D" w14:textId="77777777" w:rsidR="00331CF8" w:rsidRDefault="009604E8">
      <w:pPr>
        <w:spacing w:after="130" w:line="300" w:lineRule="auto"/>
        <w:ind w:right="420" w:hanging="420"/>
        <w:jc w:val="right"/>
      </w:pPr>
      <w:r>
        <w:rPr>
          <w:b/>
          <w:bCs/>
          <w:color w:val="0E6E6E"/>
          <w:sz w:val="22"/>
          <w:szCs w:val="22"/>
        </w:rPr>
        <w:t xml:space="preserve">2. </w:t>
      </w:r>
      <w:r>
        <w:rPr>
          <w:color w:val="1A1A1A"/>
          <w:sz w:val="22"/>
          <w:szCs w:val="22"/>
        </w:rPr>
        <w:t>الزراع، عبد السلام. (2026). الفصام الأخلاقي ومصدر الأزمات النفسية: قراءة في ضوء نظرية TLRT.</w:t>
      </w:r>
    </w:p>
    <w:p w14:paraId="3E5A0EB4" w14:textId="77777777" w:rsidR="00331CF8" w:rsidRDefault="009604E8">
      <w:pPr>
        <w:spacing w:after="130" w:line="300" w:lineRule="auto"/>
        <w:ind w:right="420" w:hanging="420"/>
        <w:jc w:val="right"/>
      </w:pPr>
      <w:r>
        <w:rPr>
          <w:b/>
          <w:bCs/>
          <w:color w:val="0E6E6E"/>
          <w:sz w:val="22"/>
          <w:szCs w:val="22"/>
        </w:rPr>
        <w:t xml:space="preserve">3. </w:t>
      </w:r>
      <w:r>
        <w:rPr>
          <w:color w:val="1A1A1A"/>
          <w:sz w:val="22"/>
          <w:szCs w:val="22"/>
        </w:rPr>
        <w:t>الزراع، عبد السلام. (2026). نموذج قياس الشعور بالذنب: مقاربة تكاملية متعددة الأبعاد.</w:t>
      </w:r>
    </w:p>
    <w:p w14:paraId="1FF2DDD8" w14:textId="77777777" w:rsidR="00331CF8" w:rsidRDefault="009604E8">
      <w:pPr>
        <w:pStyle w:val="2"/>
        <w:spacing w:before="360" w:after="180"/>
        <w:jc w:val="right"/>
      </w:pPr>
      <w:r>
        <w:rPr>
          <w:b/>
          <w:bCs/>
          <w:color w:val="0E6E6E"/>
          <w:sz w:val="28"/>
          <w:szCs w:val="28"/>
        </w:rPr>
        <w:t>ثانيًا: مراجع في اضطرابات الشخصية والوسواس القهري</w:t>
      </w:r>
    </w:p>
    <w:p w14:paraId="433561C3" w14:textId="77777777" w:rsidR="00331CF8" w:rsidRDefault="009604E8">
      <w:pPr>
        <w:spacing w:after="130" w:line="300" w:lineRule="auto"/>
        <w:ind w:right="420" w:hanging="420"/>
        <w:jc w:val="right"/>
      </w:pPr>
      <w:r>
        <w:rPr>
          <w:b/>
          <w:bCs/>
          <w:color w:val="0E6E6E"/>
          <w:sz w:val="22"/>
          <w:szCs w:val="22"/>
        </w:rPr>
        <w:t xml:space="preserve">4. </w:t>
      </w:r>
      <w:r>
        <w:rPr>
          <w:color w:val="1A1A1A"/>
          <w:sz w:val="22"/>
          <w:szCs w:val="22"/>
        </w:rPr>
        <w:t>American Psychiatric Association. (2022). Diagnostic and Statistical Manual of Mental Disorders (5th ed., text rev.; DSM-5-TR). Washington, DC: American Psychiatric Association Publishing.</w:t>
      </w:r>
    </w:p>
    <w:p w14:paraId="71F45BD1" w14:textId="77777777" w:rsidR="00331CF8" w:rsidRDefault="009604E8">
      <w:pPr>
        <w:spacing w:after="130" w:line="300" w:lineRule="auto"/>
        <w:ind w:right="420" w:hanging="420"/>
        <w:jc w:val="right"/>
      </w:pPr>
      <w:r>
        <w:rPr>
          <w:b/>
          <w:bCs/>
          <w:color w:val="0E6E6E"/>
          <w:sz w:val="22"/>
          <w:szCs w:val="22"/>
        </w:rPr>
        <w:t xml:space="preserve">5. </w:t>
      </w:r>
      <w:r>
        <w:rPr>
          <w:color w:val="1A1A1A"/>
          <w:sz w:val="22"/>
          <w:szCs w:val="22"/>
        </w:rPr>
        <w:t>Beck, A. T., Freeman, A., Davis, D. D., &amp; Associates. (2004). Cognitive Therapy of Personality Disorders (2nd ed.). New York: The Guilford Press.</w:t>
      </w:r>
    </w:p>
    <w:p w14:paraId="467342EF" w14:textId="77777777" w:rsidR="00331CF8" w:rsidRDefault="009604E8">
      <w:pPr>
        <w:spacing w:after="130" w:line="300" w:lineRule="auto"/>
        <w:ind w:right="420" w:hanging="420"/>
        <w:jc w:val="right"/>
      </w:pPr>
      <w:r>
        <w:rPr>
          <w:b/>
          <w:bCs/>
          <w:color w:val="0E6E6E"/>
          <w:sz w:val="22"/>
          <w:szCs w:val="22"/>
        </w:rPr>
        <w:t xml:space="preserve">6. </w:t>
      </w:r>
      <w:r>
        <w:rPr>
          <w:color w:val="1A1A1A"/>
          <w:sz w:val="22"/>
          <w:szCs w:val="22"/>
        </w:rPr>
        <w:t>McWilliams, N. (2011). Psychoanalytic Diagnosis: Understanding Personality Structure in the Clinical Process (2nd ed.). New York: The Guilford Press.</w:t>
      </w:r>
    </w:p>
    <w:p w14:paraId="4EDB94C7" w14:textId="77777777" w:rsidR="00331CF8" w:rsidRDefault="009604E8">
      <w:pPr>
        <w:spacing w:after="130" w:line="300" w:lineRule="auto"/>
        <w:ind w:right="420" w:hanging="420"/>
        <w:jc w:val="right"/>
      </w:pPr>
      <w:r>
        <w:rPr>
          <w:b/>
          <w:bCs/>
          <w:color w:val="0E6E6E"/>
          <w:sz w:val="22"/>
          <w:szCs w:val="22"/>
        </w:rPr>
        <w:t xml:space="preserve">7. </w:t>
      </w:r>
      <w:r>
        <w:rPr>
          <w:color w:val="1A1A1A"/>
          <w:sz w:val="22"/>
          <w:szCs w:val="22"/>
        </w:rPr>
        <w:t>Rachman, S. (1994). Pollution of the mind. Behaviour Research and Therapy, 32(3), 311–314.</w:t>
      </w:r>
    </w:p>
    <w:p w14:paraId="58E77AD8" w14:textId="77777777" w:rsidR="00331CF8" w:rsidRDefault="009604E8">
      <w:pPr>
        <w:spacing w:after="130" w:line="300" w:lineRule="auto"/>
        <w:ind w:right="420" w:hanging="420"/>
        <w:jc w:val="right"/>
      </w:pPr>
      <w:r>
        <w:rPr>
          <w:b/>
          <w:bCs/>
          <w:color w:val="0E6E6E"/>
          <w:sz w:val="22"/>
          <w:szCs w:val="22"/>
        </w:rPr>
        <w:t xml:space="preserve">8. </w:t>
      </w:r>
      <w:r>
        <w:rPr>
          <w:color w:val="1A1A1A"/>
          <w:sz w:val="22"/>
          <w:szCs w:val="22"/>
        </w:rPr>
        <w:t>Rachman, S. (2004). Fear of contamination. Behaviour Research and Therapy, 42(11), 1227–1255.</w:t>
      </w:r>
    </w:p>
    <w:p w14:paraId="4360A788" w14:textId="77777777" w:rsidR="00331CF8" w:rsidRDefault="009604E8">
      <w:pPr>
        <w:pStyle w:val="2"/>
        <w:spacing w:before="360" w:after="180"/>
        <w:jc w:val="right"/>
      </w:pPr>
      <w:r>
        <w:rPr>
          <w:b/>
          <w:bCs/>
          <w:color w:val="0E6E6E"/>
          <w:sz w:val="28"/>
          <w:szCs w:val="28"/>
        </w:rPr>
        <w:t>ثالثًا: مراجع في علم النفس العيادي والملكية النفسية والعلاج المعرفي السلوكي</w:t>
      </w:r>
    </w:p>
    <w:p w14:paraId="6E07D7EE" w14:textId="77777777" w:rsidR="00331CF8" w:rsidRDefault="009604E8">
      <w:pPr>
        <w:spacing w:after="130" w:line="300" w:lineRule="auto"/>
        <w:ind w:right="420" w:hanging="420"/>
        <w:jc w:val="right"/>
      </w:pPr>
      <w:r>
        <w:rPr>
          <w:b/>
          <w:bCs/>
          <w:color w:val="0E6E6E"/>
          <w:sz w:val="22"/>
          <w:szCs w:val="22"/>
        </w:rPr>
        <w:t xml:space="preserve">9. </w:t>
      </w:r>
      <w:r>
        <w:rPr>
          <w:color w:val="1A1A1A"/>
          <w:sz w:val="22"/>
          <w:szCs w:val="22"/>
        </w:rPr>
        <w:t>Beck, A. T. (1976). Cognitive Therapy and the Emotional Disorders. New York: International Universities Press.</w:t>
      </w:r>
    </w:p>
    <w:p w14:paraId="3DF3C943" w14:textId="77777777" w:rsidR="00331CF8" w:rsidRDefault="009604E8">
      <w:pPr>
        <w:spacing w:after="130" w:line="300" w:lineRule="auto"/>
        <w:ind w:right="420" w:hanging="420"/>
        <w:jc w:val="right"/>
      </w:pPr>
      <w:r>
        <w:rPr>
          <w:b/>
          <w:bCs/>
          <w:color w:val="0E6E6E"/>
          <w:sz w:val="22"/>
          <w:szCs w:val="22"/>
        </w:rPr>
        <w:t xml:space="preserve">10. </w:t>
      </w:r>
      <w:r>
        <w:rPr>
          <w:color w:val="1A1A1A"/>
          <w:sz w:val="22"/>
          <w:szCs w:val="22"/>
        </w:rPr>
        <w:t>Meehl, P. E. (1954). Clinical versus Statistical Prediction: A Theoretical Analysis and a Review of the Evidence. Minneapolis: University of Minnesota Press.</w:t>
      </w:r>
    </w:p>
    <w:p w14:paraId="4C7CD64C" w14:textId="77777777" w:rsidR="00331CF8" w:rsidRDefault="009604E8">
      <w:pPr>
        <w:spacing w:after="130" w:line="300" w:lineRule="auto"/>
        <w:ind w:right="420" w:hanging="420"/>
        <w:jc w:val="right"/>
      </w:pPr>
      <w:r>
        <w:rPr>
          <w:b/>
          <w:bCs/>
          <w:color w:val="0E6E6E"/>
          <w:sz w:val="22"/>
          <w:szCs w:val="22"/>
        </w:rPr>
        <w:t xml:space="preserve">11. </w:t>
      </w:r>
      <w:r>
        <w:rPr>
          <w:color w:val="1A1A1A"/>
          <w:sz w:val="22"/>
          <w:szCs w:val="22"/>
        </w:rPr>
        <w:t>Pierce, J. L., Kostova, T., &amp; Dirks, K. T. (2003). The state of psychological ownership: Integrating and extending a century of research. Review of General Psychology, 7(1), 84–107.</w:t>
      </w:r>
    </w:p>
    <w:p w14:paraId="6C35FBF8" w14:textId="77777777" w:rsidR="00331CF8" w:rsidRDefault="009604E8">
      <w:pPr>
        <w:spacing w:after="130" w:line="300" w:lineRule="auto"/>
        <w:ind w:right="420" w:hanging="420"/>
        <w:jc w:val="right"/>
      </w:pPr>
      <w:r>
        <w:rPr>
          <w:b/>
          <w:bCs/>
          <w:color w:val="0E6E6E"/>
          <w:sz w:val="22"/>
          <w:szCs w:val="22"/>
        </w:rPr>
        <w:t xml:space="preserve">12. </w:t>
      </w:r>
      <w:r>
        <w:rPr>
          <w:color w:val="1A1A1A"/>
          <w:sz w:val="22"/>
          <w:szCs w:val="22"/>
        </w:rPr>
        <w:t>Young, J. E., Klosko, J. S., &amp; Weishaar, M. E. (2003). Schema Therapy: A Practitioner's Guide. New York: The Guilford Press.</w:t>
      </w:r>
    </w:p>
    <w:p w14:paraId="6E105B8B" w14:textId="77777777" w:rsidR="00331CF8" w:rsidRDefault="009604E8">
      <w:pPr>
        <w:pStyle w:val="2"/>
        <w:spacing w:before="360" w:after="180"/>
        <w:jc w:val="right"/>
      </w:pPr>
      <w:r>
        <w:rPr>
          <w:b/>
          <w:bCs/>
          <w:color w:val="0E6E6E"/>
          <w:sz w:val="28"/>
          <w:szCs w:val="28"/>
        </w:rPr>
        <w:t>رابعًا: مراجع في التراث الإسلامي</w:t>
      </w:r>
    </w:p>
    <w:p w14:paraId="0494C67B" w14:textId="77777777" w:rsidR="00331CF8" w:rsidRDefault="009604E8">
      <w:pPr>
        <w:spacing w:after="130" w:line="300" w:lineRule="auto"/>
        <w:ind w:right="420" w:hanging="420"/>
        <w:jc w:val="right"/>
      </w:pPr>
      <w:r>
        <w:rPr>
          <w:b/>
          <w:bCs/>
          <w:color w:val="0E6E6E"/>
          <w:sz w:val="22"/>
          <w:szCs w:val="22"/>
        </w:rPr>
        <w:t xml:space="preserve">13. </w:t>
      </w:r>
      <w:r>
        <w:rPr>
          <w:color w:val="1A1A1A"/>
          <w:sz w:val="22"/>
          <w:szCs w:val="22"/>
        </w:rPr>
        <w:t>القرآن الكريم.</w:t>
      </w:r>
    </w:p>
    <w:p w14:paraId="5A8F0E36" w14:textId="77777777" w:rsidR="00331CF8" w:rsidRDefault="009604E8">
      <w:pPr>
        <w:spacing w:after="130" w:line="300" w:lineRule="auto"/>
        <w:ind w:right="420" w:hanging="420"/>
        <w:jc w:val="right"/>
      </w:pPr>
      <w:r>
        <w:rPr>
          <w:b/>
          <w:bCs/>
          <w:color w:val="0E6E6E"/>
          <w:sz w:val="22"/>
          <w:szCs w:val="22"/>
        </w:rPr>
        <w:t xml:space="preserve">14. </w:t>
      </w:r>
      <w:r>
        <w:rPr>
          <w:color w:val="1A1A1A"/>
          <w:sz w:val="22"/>
          <w:szCs w:val="22"/>
        </w:rPr>
        <w:t>الغزالي، أبو حامد. (د.ت.). إحياء علوم الدين. بيروت: دار المعرفة.</w:t>
      </w:r>
    </w:p>
    <w:sectPr w:rsidR="00331CF8">
      <w:headerReference w:type="default" r:id="rId7"/>
      <w:footerReference w:type="default" r:id="rId8"/>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DE4F" w14:textId="77777777" w:rsidR="00627249" w:rsidRDefault="00627249">
      <w:r>
        <w:separator/>
      </w:r>
    </w:p>
  </w:endnote>
  <w:endnote w:type="continuationSeparator" w:id="0">
    <w:p w14:paraId="6FD1AE79" w14:textId="77777777" w:rsidR="00627249" w:rsidRDefault="0062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51F0" w14:textId="77777777" w:rsidR="00331CF8" w:rsidRDefault="009604E8">
    <w:pPr>
      <w:jc w:val="center"/>
    </w:pPr>
    <w:r>
      <w:rPr>
        <w:color w:val="5B5B5B"/>
        <w:sz w:val="18"/>
        <w:szCs w:val="18"/>
      </w:rPr>
      <w:fldChar w:fldCharType="begin"/>
    </w:r>
    <w:r>
      <w:rPr>
        <w:color w:val="5B5B5B"/>
        <w:sz w:val="18"/>
        <w:szCs w:val="18"/>
      </w:rPr>
      <w:instrText>PAGE</w:instrText>
    </w:r>
    <w:r>
      <w:rPr>
        <w:color w:val="5B5B5B"/>
        <w:sz w:val="18"/>
        <w:szCs w:val="18"/>
      </w:rPr>
      <w:fldChar w:fldCharType="separate"/>
    </w:r>
    <w:r>
      <w:rPr>
        <w:color w:val="5B5B5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78610" w14:textId="77777777" w:rsidR="00627249" w:rsidRDefault="00627249">
      <w:r>
        <w:separator/>
      </w:r>
    </w:p>
  </w:footnote>
  <w:footnote w:type="continuationSeparator" w:id="0">
    <w:p w14:paraId="6545C1A2" w14:textId="77777777" w:rsidR="00627249" w:rsidRDefault="00627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AC5D" w14:textId="77777777" w:rsidR="00331CF8" w:rsidRDefault="009604E8">
    <w:pPr>
      <w:pBdr>
        <w:bottom w:val="single" w:sz="6" w:space="4" w:color="B8860B"/>
      </w:pBdr>
      <w:spacing w:after="100"/>
      <w:jc w:val="center"/>
    </w:pPr>
    <w:r>
      <w:rPr>
        <w:i/>
        <w:iCs/>
        <w:color w:val="5B5B5B"/>
        <w:sz w:val="16"/>
        <w:szCs w:val="16"/>
      </w:rPr>
      <w:t>علم النفس الاستخلافي — دراسة موحَّدة في التمييز السريري والاستخلافي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0C075E"/>
    <w:multiLevelType w:val="hybridMultilevel"/>
    <w:tmpl w:val="FFFFFFFF"/>
    <w:lvl w:ilvl="0" w:tplc="97E245A4">
      <w:start w:val="1"/>
      <w:numFmt w:val="bullet"/>
      <w:lvlText w:val="●"/>
      <w:lvlJc w:val="left"/>
      <w:pPr>
        <w:ind w:left="720" w:hanging="360"/>
      </w:pPr>
    </w:lvl>
    <w:lvl w:ilvl="1" w:tplc="0D1AF666">
      <w:start w:val="1"/>
      <w:numFmt w:val="bullet"/>
      <w:lvlText w:val="○"/>
      <w:lvlJc w:val="left"/>
      <w:pPr>
        <w:ind w:left="1440" w:hanging="360"/>
      </w:pPr>
    </w:lvl>
    <w:lvl w:ilvl="2" w:tplc="6584F698">
      <w:start w:val="1"/>
      <w:numFmt w:val="bullet"/>
      <w:lvlText w:val="■"/>
      <w:lvlJc w:val="left"/>
      <w:pPr>
        <w:ind w:left="2160" w:hanging="360"/>
      </w:pPr>
    </w:lvl>
    <w:lvl w:ilvl="3" w:tplc="E026B60A">
      <w:start w:val="1"/>
      <w:numFmt w:val="bullet"/>
      <w:lvlText w:val="●"/>
      <w:lvlJc w:val="left"/>
      <w:pPr>
        <w:ind w:left="2880" w:hanging="360"/>
      </w:pPr>
    </w:lvl>
    <w:lvl w:ilvl="4" w:tplc="2B0844DE">
      <w:start w:val="1"/>
      <w:numFmt w:val="bullet"/>
      <w:lvlText w:val="○"/>
      <w:lvlJc w:val="left"/>
      <w:pPr>
        <w:ind w:left="3600" w:hanging="360"/>
      </w:pPr>
    </w:lvl>
    <w:lvl w:ilvl="5" w:tplc="7952C5F6">
      <w:start w:val="1"/>
      <w:numFmt w:val="bullet"/>
      <w:lvlText w:val="■"/>
      <w:lvlJc w:val="left"/>
      <w:pPr>
        <w:ind w:left="4320" w:hanging="360"/>
      </w:pPr>
    </w:lvl>
    <w:lvl w:ilvl="6" w:tplc="EA905340">
      <w:start w:val="1"/>
      <w:numFmt w:val="bullet"/>
      <w:lvlText w:val="●"/>
      <w:lvlJc w:val="left"/>
      <w:pPr>
        <w:ind w:left="5040" w:hanging="360"/>
      </w:pPr>
    </w:lvl>
    <w:lvl w:ilvl="7" w:tplc="16D8DFF2">
      <w:start w:val="1"/>
      <w:numFmt w:val="bullet"/>
      <w:lvlText w:val="●"/>
      <w:lvlJc w:val="left"/>
      <w:pPr>
        <w:ind w:left="5760" w:hanging="360"/>
      </w:pPr>
    </w:lvl>
    <w:lvl w:ilvl="8" w:tplc="0B2882DA">
      <w:start w:val="1"/>
      <w:numFmt w:val="bullet"/>
      <w:lvlText w:val="●"/>
      <w:lvlJc w:val="left"/>
      <w:pPr>
        <w:ind w:left="6480" w:hanging="360"/>
      </w:pPr>
    </w:lvl>
  </w:abstractNum>
  <w:num w:numId="1" w16cid:durableId="5674175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4"/>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CF8"/>
    <w:rsid w:val="00331CF8"/>
    <w:rsid w:val="00417E89"/>
    <w:rsid w:val="00464633"/>
    <w:rsid w:val="0055088D"/>
    <w:rsid w:val="00627249"/>
    <w:rsid w:val="006C5C92"/>
    <w:rsid w:val="009604E8"/>
    <w:rsid w:val="00A1256A"/>
    <w:rsid w:val="00BE3ADA"/>
    <w:rsid w:val="00E31D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BE51A6C"/>
  <w15:docId w15:val="{2D3086AE-BC07-7E48-8A66-6D9E9122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raditional Arabic" w:hAnsi="Traditional Arabic" w:cs="Traditional Arabic"/>
        <w:sz w:val="24"/>
        <w:szCs w:val="24"/>
        <w:rtl/>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4156</Words>
  <Characters>23693</Characters>
  <Application>Microsoft Office Word</Application>
  <DocSecurity>0</DocSecurity>
  <Lines>197</Lines>
  <Paragraphs>55</Paragraphs>
  <ScaleCrop>false</ScaleCrop>
  <Company/>
  <LinksUpToDate>false</LinksUpToDate>
  <CharactersWithSpaces>27794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التمييز السريري بين سلوك حماية الممتلكات الشخصية والوسواس القهري والسمات البارانويا</dc:title>
  <dc:creator>علم النفس الاستخلافي</dc:creator>
  <cp:lastModifiedBy>zaraaabdesslem@gmail.com</cp:lastModifiedBy>
  <cp:revision>4</cp:revision>
  <dcterms:created xsi:type="dcterms:W3CDTF">2026-09-10T19:37:00Z</dcterms:created>
  <dcterms:modified xsi:type="dcterms:W3CDTF">2026-09-11T03:57:00Z</dcterms:modified>
</cp:coreProperties>
</file>