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08624" w14:textId="77777777" w:rsidR="00333F05" w:rsidRDefault="00333F05">
      <w:pPr>
        <w:spacing w:after="600"/>
      </w:pPr>
    </w:p>
    <w:p w14:paraId="1876EEA5" w14:textId="77777777" w:rsidR="00333F05" w:rsidRDefault="00D14A68">
      <w:pPr>
        <w:spacing w:after="200"/>
        <w:jc w:val="center"/>
      </w:pPr>
      <w:r>
        <w:rPr>
          <w:i/>
          <w:iCs/>
          <w:color w:val="0E6E6A"/>
          <w:sz w:val="22"/>
          <w:szCs w:val="22"/>
          <w:rtl/>
        </w:rPr>
        <w:t>سلسلة الدراسات المقارنة في علم النفس الاستخلافي</w:t>
      </w:r>
    </w:p>
    <w:p w14:paraId="25ADE212" w14:textId="77777777" w:rsidR="00333F05" w:rsidRDefault="00D14A68">
      <w:pPr>
        <w:spacing w:after="120"/>
        <w:jc w:val="center"/>
      </w:pPr>
      <w:r>
        <w:rPr>
          <w:b/>
          <w:bCs/>
          <w:color w:val="1B3A5C"/>
          <w:sz w:val="46"/>
          <w:szCs w:val="46"/>
          <w:rtl/>
        </w:rPr>
        <w:t>من «التطهير الأخلاقي» إلى «طهارة الوضوء»</w:t>
      </w:r>
    </w:p>
    <w:p w14:paraId="1AC693E0" w14:textId="77777777" w:rsidR="00333F05" w:rsidRDefault="00D14A68">
      <w:pPr>
        <w:spacing w:after="320"/>
        <w:jc w:val="center"/>
      </w:pPr>
      <w:r>
        <w:rPr>
          <w:color w:val="222222"/>
          <w:sz w:val="26"/>
          <w:szCs w:val="26"/>
          <w:rtl/>
        </w:rPr>
        <w:t xml:space="preserve">دراسة نفسية-فلسفية مقارنة بين نظرية التطهير الأخلاقي المعاصرة ومفهوم الطهارة في الإسلام، في ضوء النموذج الاستخلافي (علم النفس الاستخلافي) ونظرية </w:t>
      </w:r>
      <w:r>
        <w:rPr>
          <w:rFonts w:ascii="Calibri" w:eastAsia="Calibri" w:hAnsi="Calibri" w:cs="Calibri"/>
          <w:b/>
          <w:bCs/>
          <w:color w:val="0E6E6A"/>
        </w:rPr>
        <w:t>TLRT</w:t>
      </w:r>
    </w:p>
    <w:p w14:paraId="4F23A8DA" w14:textId="77777777" w:rsidR="00333F05" w:rsidRDefault="00D14A68">
      <w:pPr>
        <w:spacing w:after="60"/>
        <w:jc w:val="center"/>
      </w:pPr>
      <w:r>
        <w:rPr>
          <w:b/>
          <w:bCs/>
          <w:color w:val="B8860B"/>
          <w:rtl/>
        </w:rPr>
        <w:t>النسخة الأكاديمية الموسعة والمعمَّقة</w:t>
      </w:r>
    </w:p>
    <w:p w14:paraId="0D5BE16A" w14:textId="2F6D1991" w:rsidR="00333F05" w:rsidRDefault="00333F05" w:rsidP="00CD0BE3">
      <w:pPr>
        <w:spacing w:after="40"/>
      </w:pPr>
    </w:p>
    <w:p w14:paraId="18E35EC0" w14:textId="77777777" w:rsidR="00333F05" w:rsidRDefault="00D14A68">
      <w:pPr>
        <w:spacing w:after="40"/>
        <w:jc w:val="center"/>
      </w:pPr>
      <w:r>
        <w:rPr>
          <w:color w:val="222222"/>
          <w:sz w:val="22"/>
          <w:szCs w:val="22"/>
          <w:rtl/>
        </w:rPr>
        <w:t>في إطار المشروع الفكري لعلم النفس الاستخلافي — عبد السلام الزراع (</w:t>
      </w:r>
      <w:r>
        <w:rPr>
          <w:rFonts w:ascii="Calibri" w:eastAsia="Calibri" w:hAnsi="Calibri" w:cs="Calibri"/>
          <w:color w:val="0E6E6A"/>
          <w:sz w:val="20"/>
          <w:szCs w:val="20"/>
        </w:rPr>
        <w:t>zaraapsychology.com</w:t>
      </w:r>
      <w:r>
        <w:rPr>
          <w:color w:val="222222"/>
          <w:sz w:val="22"/>
          <w:szCs w:val="22"/>
          <w:rtl/>
        </w:rPr>
        <w:t>)</w:t>
      </w:r>
    </w:p>
    <w:p w14:paraId="65B6AAEA" w14:textId="77777777" w:rsidR="00333F05" w:rsidRDefault="00D14A68">
      <w:pPr>
        <w:jc w:val="center"/>
      </w:pPr>
      <w:r>
        <w:rPr>
          <w:color w:val="0E6E6A"/>
          <w:sz w:val="22"/>
          <w:szCs w:val="22"/>
          <w:rtl/>
        </w:rPr>
        <w:t>١٤٤٨هـ – ٢٠٢٦م</w:t>
      </w:r>
    </w:p>
    <w:p w14:paraId="2BC7B192" w14:textId="77777777" w:rsidR="00333F05" w:rsidRDefault="00D14A68">
      <w:r>
        <w:br w:type="page"/>
      </w:r>
    </w:p>
    <w:p w14:paraId="26F3EA5C" w14:textId="77777777" w:rsidR="00333F05" w:rsidRDefault="00D14A68">
      <w:pPr>
        <w:pStyle w:val="1"/>
        <w:pBdr>
          <w:bottom w:val="single" w:sz="10" w:space="6" w:color="B8860B"/>
        </w:pBdr>
        <w:bidi/>
        <w:spacing w:before="420" w:after="220"/>
        <w:jc w:val="right"/>
      </w:pPr>
      <w:r>
        <w:rPr>
          <w:b/>
          <w:bCs/>
          <w:color w:val="1B3A5C"/>
          <w:rtl/>
        </w:rPr>
        <w:t>ملخص الدراسة</w:t>
      </w:r>
    </w:p>
    <w:p w14:paraId="7672875D" w14:textId="77777777" w:rsidR="00333F05" w:rsidRDefault="00D14A68">
      <w:pPr>
        <w:spacing w:after="200" w:line="340" w:lineRule="auto"/>
        <w:jc w:val="both"/>
      </w:pPr>
      <w:r>
        <w:rPr>
          <w:color w:val="222222"/>
          <w:sz w:val="26"/>
          <w:szCs w:val="26"/>
          <w:rtl/>
        </w:rPr>
        <w:t>تبحث هذه الدراسة الموسَّعة في العلاقة بين التطهير الجسدي والتطهير الأخلاقي، من خلال مقارنة نقدية بين الأدبيات المعاصرة في علم النفس الأخلاقي التجريبي ومفهوم الطهارة والوضوء في التصور الإسلامي، مع توظيف المفاهيم المركزية في النموذج الاستخلافي: الفطرة، والذنب، والمصالحة، والإصلاح السلوكي، ونظرية العلاج بحرث المصالحة التحويلية (TLRT).</w:t>
      </w:r>
    </w:p>
    <w:p w14:paraId="22BFE09D" w14:textId="77777777" w:rsidR="00333F05" w:rsidRDefault="00D14A68">
      <w:pPr>
        <w:spacing w:after="200" w:line="340" w:lineRule="auto"/>
        <w:jc w:val="both"/>
      </w:pPr>
      <w:r>
        <w:rPr>
          <w:color w:val="222222"/>
          <w:sz w:val="26"/>
          <w:szCs w:val="26"/>
          <w:rtl/>
        </w:rPr>
        <w:t xml:space="preserve">تنطلق الدراسة من ملاحظة أن علم النفس التجريبي تناول خلال العقدين الأخيرين العلاقة بين التهديد الأخلاقي والنظافة الجسدية عبر ما عُرف بـ«تأثير </w:t>
      </w:r>
      <w:proofErr w:type="spellStart"/>
      <w:r>
        <w:rPr>
          <w:color w:val="222222"/>
          <w:sz w:val="26"/>
          <w:szCs w:val="26"/>
          <w:rtl/>
        </w:rPr>
        <w:t>Macbeth</w:t>
      </w:r>
      <w:proofErr w:type="spellEnd"/>
      <w:r>
        <w:rPr>
          <w:color w:val="222222"/>
          <w:sz w:val="26"/>
          <w:szCs w:val="26"/>
          <w:rtl/>
        </w:rPr>
        <w:t>» (</w:t>
      </w:r>
      <w:proofErr w:type="spellStart"/>
      <w:r>
        <w:rPr>
          <w:color w:val="222222"/>
          <w:sz w:val="26"/>
          <w:szCs w:val="26"/>
          <w:rtl/>
        </w:rPr>
        <w:t>Zhong</w:t>
      </w:r>
      <w:proofErr w:type="spellEnd"/>
      <w:r>
        <w:rPr>
          <w:color w:val="222222"/>
          <w:sz w:val="26"/>
          <w:szCs w:val="26"/>
          <w:rtl/>
        </w:rPr>
        <w:t xml:space="preserve"> &amp; </w:t>
      </w:r>
      <w:proofErr w:type="spellStart"/>
      <w:r>
        <w:rPr>
          <w:color w:val="222222"/>
          <w:sz w:val="26"/>
          <w:szCs w:val="26"/>
          <w:rtl/>
        </w:rPr>
        <w:t>Liljenquist</w:t>
      </w:r>
      <w:proofErr w:type="spellEnd"/>
      <w:r>
        <w:rPr>
          <w:color w:val="222222"/>
          <w:sz w:val="26"/>
          <w:szCs w:val="26"/>
          <w:rtl/>
        </w:rPr>
        <w:t>, 2006)، غير أن محاولات التكرار اللاحقة (</w:t>
      </w:r>
      <w:proofErr w:type="spellStart"/>
      <w:r>
        <w:rPr>
          <w:color w:val="222222"/>
          <w:sz w:val="26"/>
          <w:szCs w:val="26"/>
          <w:rtl/>
        </w:rPr>
        <w:t>Fayard</w:t>
      </w:r>
      <w:proofErr w:type="spellEnd"/>
      <w:r>
        <w:rPr>
          <w:color w:val="222222"/>
          <w:sz w:val="26"/>
          <w:szCs w:val="26"/>
          <w:rtl/>
        </w:rPr>
        <w:t xml:space="preserve"> </w:t>
      </w:r>
      <w:proofErr w:type="spellStart"/>
      <w:r>
        <w:rPr>
          <w:color w:val="222222"/>
          <w:sz w:val="26"/>
          <w:szCs w:val="26"/>
          <w:rtl/>
        </w:rPr>
        <w:t>et</w:t>
      </w:r>
      <w:proofErr w:type="spellEnd"/>
      <w:r>
        <w:rPr>
          <w:color w:val="222222"/>
          <w:sz w:val="26"/>
          <w:szCs w:val="26"/>
          <w:rtl/>
        </w:rPr>
        <w:t xml:space="preserve"> </w:t>
      </w:r>
      <w:proofErr w:type="spellStart"/>
      <w:r>
        <w:rPr>
          <w:color w:val="222222"/>
          <w:sz w:val="26"/>
          <w:szCs w:val="26"/>
          <w:rtl/>
        </w:rPr>
        <w:t>al</w:t>
      </w:r>
      <w:proofErr w:type="spellEnd"/>
      <w:r>
        <w:rPr>
          <w:color w:val="222222"/>
          <w:sz w:val="26"/>
          <w:szCs w:val="26"/>
          <w:rtl/>
        </w:rPr>
        <w:t xml:space="preserve">., 2009؛ </w:t>
      </w:r>
      <w:proofErr w:type="spellStart"/>
      <w:r>
        <w:rPr>
          <w:color w:val="222222"/>
          <w:sz w:val="26"/>
          <w:szCs w:val="26"/>
          <w:rtl/>
        </w:rPr>
        <w:t>Earp</w:t>
      </w:r>
      <w:proofErr w:type="spellEnd"/>
      <w:r>
        <w:rPr>
          <w:color w:val="222222"/>
          <w:sz w:val="26"/>
          <w:szCs w:val="26"/>
          <w:rtl/>
        </w:rPr>
        <w:t xml:space="preserve"> </w:t>
      </w:r>
      <w:proofErr w:type="spellStart"/>
      <w:r>
        <w:rPr>
          <w:color w:val="222222"/>
          <w:sz w:val="26"/>
          <w:szCs w:val="26"/>
          <w:rtl/>
        </w:rPr>
        <w:t>et</w:t>
      </w:r>
      <w:proofErr w:type="spellEnd"/>
      <w:r>
        <w:rPr>
          <w:color w:val="222222"/>
          <w:sz w:val="26"/>
          <w:szCs w:val="26"/>
          <w:rtl/>
        </w:rPr>
        <w:t xml:space="preserve"> </w:t>
      </w:r>
      <w:proofErr w:type="spellStart"/>
      <w:r>
        <w:rPr>
          <w:color w:val="222222"/>
          <w:sz w:val="26"/>
          <w:szCs w:val="26"/>
          <w:rtl/>
        </w:rPr>
        <w:t>al</w:t>
      </w:r>
      <w:proofErr w:type="spellEnd"/>
      <w:r>
        <w:rPr>
          <w:color w:val="222222"/>
          <w:sz w:val="26"/>
          <w:szCs w:val="26"/>
          <w:rtl/>
        </w:rPr>
        <w:t>., 2014) والتحليل التلوي الأخير (</w:t>
      </w:r>
      <w:proofErr w:type="spellStart"/>
      <w:r>
        <w:rPr>
          <w:color w:val="222222"/>
          <w:sz w:val="26"/>
          <w:szCs w:val="26"/>
          <w:rtl/>
        </w:rPr>
        <w:t>Siev</w:t>
      </w:r>
      <w:proofErr w:type="spellEnd"/>
      <w:r>
        <w:rPr>
          <w:color w:val="222222"/>
          <w:sz w:val="26"/>
          <w:szCs w:val="26"/>
          <w:rtl/>
        </w:rPr>
        <w:t xml:space="preserve">, </w:t>
      </w:r>
      <w:proofErr w:type="spellStart"/>
      <w:r>
        <w:rPr>
          <w:color w:val="222222"/>
          <w:sz w:val="26"/>
          <w:szCs w:val="26"/>
          <w:rtl/>
        </w:rPr>
        <w:t>Zuckerman</w:t>
      </w:r>
      <w:proofErr w:type="spellEnd"/>
      <w:r>
        <w:rPr>
          <w:color w:val="222222"/>
          <w:sz w:val="26"/>
          <w:szCs w:val="26"/>
          <w:rtl/>
        </w:rPr>
        <w:t xml:space="preserve">, &amp; </w:t>
      </w:r>
      <w:proofErr w:type="spellStart"/>
      <w:r>
        <w:rPr>
          <w:color w:val="222222"/>
          <w:sz w:val="26"/>
          <w:szCs w:val="26"/>
          <w:rtl/>
        </w:rPr>
        <w:t>Siev</w:t>
      </w:r>
      <w:proofErr w:type="spellEnd"/>
      <w:r>
        <w:rPr>
          <w:color w:val="222222"/>
          <w:sz w:val="26"/>
          <w:szCs w:val="26"/>
          <w:rtl/>
        </w:rPr>
        <w:t>, 2018) كشفت أن حجم هذا الأثر متواضع وغير مستقر عبر المختبرات المستقلة. وعليه، لا تتعامل الدراسة مع التطهير الأخلاقي بوصفه حقيقة تجريبية محسومة، بل بوصفه برنامجًا بحثيًا يحتاج إلى قراءة نقدية دقيقة.</w:t>
      </w:r>
    </w:p>
    <w:p w14:paraId="3618BB2E" w14:textId="77777777" w:rsidR="00333F05" w:rsidRDefault="00D14A68">
      <w:pPr>
        <w:spacing w:after="200" w:line="340" w:lineRule="auto"/>
        <w:jc w:val="both"/>
      </w:pPr>
      <w:r>
        <w:rPr>
          <w:color w:val="222222"/>
          <w:sz w:val="26"/>
          <w:szCs w:val="26"/>
          <w:rtl/>
        </w:rPr>
        <w:t>في المقابل، يعرض الإسلام منظومة متكاملة للطهارة تجمع بين الطهارة الحسية والتعبدية والأخلاقية، ويحتل الوضوء فيها موقعًا مركزيًا كشرط للصلاة وحالة انتقالية. وتقترح الدراسة أن إضافة النموذج الاستخلافي لا تكمن في الزعم بأن علم النفس الحديث «اكتشف» ما كان معروفًا في الإسلام، ولا في اختزال الوضوء إلى نسخة إسلامية من تجربة نفسية حديثة، وإنما في بناء نموذج مقارن متعدد المستويات، وصياغة مفهوم نظري جديد قابل للاختبار هو «التطهير الانتقالي الاستخلافي» (</w:t>
      </w:r>
      <w:proofErr w:type="spellStart"/>
      <w:r>
        <w:rPr>
          <w:color w:val="222222"/>
          <w:sz w:val="26"/>
          <w:szCs w:val="26"/>
          <w:rtl/>
        </w:rPr>
        <w:t>Istikhlafi</w:t>
      </w:r>
      <w:proofErr w:type="spellEnd"/>
      <w:r>
        <w:rPr>
          <w:color w:val="222222"/>
          <w:sz w:val="26"/>
          <w:szCs w:val="26"/>
          <w:rtl/>
        </w:rPr>
        <w:t xml:space="preserve"> </w:t>
      </w:r>
      <w:proofErr w:type="spellStart"/>
      <w:r>
        <w:rPr>
          <w:color w:val="222222"/>
          <w:sz w:val="26"/>
          <w:szCs w:val="26"/>
          <w:rtl/>
        </w:rPr>
        <w:t>Transitional</w:t>
      </w:r>
      <w:proofErr w:type="spellEnd"/>
      <w:r>
        <w:rPr>
          <w:color w:val="222222"/>
          <w:sz w:val="26"/>
          <w:szCs w:val="26"/>
          <w:rtl/>
        </w:rPr>
        <w:t xml:space="preserve"> </w:t>
      </w:r>
      <w:proofErr w:type="spellStart"/>
      <w:r>
        <w:rPr>
          <w:color w:val="222222"/>
          <w:sz w:val="26"/>
          <w:szCs w:val="26"/>
          <w:rtl/>
        </w:rPr>
        <w:t>Cleansing</w:t>
      </w:r>
      <w:proofErr w:type="spellEnd"/>
      <w:r>
        <w:rPr>
          <w:color w:val="222222"/>
          <w:sz w:val="26"/>
          <w:szCs w:val="26"/>
          <w:rtl/>
        </w:rPr>
        <w:t>)، الذي يعيد تعريف الطهارة بوصفها عملية انتقالية تمر بمراحل: الانحراف، فالوعي الأخلاقي، فالتلوث الأخلاقي، فالتطهير، فالمصالحة، فالإصلاح، فإعادة بناء الذات.</w:t>
      </w:r>
    </w:p>
    <w:p w14:paraId="6DD1ACE0" w14:textId="77777777" w:rsidR="00333F05" w:rsidRDefault="00D14A68">
      <w:pPr>
        <w:spacing w:after="200" w:line="340" w:lineRule="auto"/>
        <w:jc w:val="both"/>
      </w:pPr>
      <w:r>
        <w:rPr>
          <w:color w:val="222222"/>
          <w:sz w:val="26"/>
          <w:szCs w:val="26"/>
          <w:rtl/>
        </w:rPr>
        <w:t>الكلمات المفتاحية: التطهير الأخلاقي (</w:t>
      </w:r>
      <w:proofErr w:type="spellStart"/>
      <w:r>
        <w:rPr>
          <w:color w:val="222222"/>
          <w:sz w:val="26"/>
          <w:szCs w:val="26"/>
          <w:rtl/>
        </w:rPr>
        <w:t>Moral</w:t>
      </w:r>
      <w:proofErr w:type="spellEnd"/>
      <w:r>
        <w:rPr>
          <w:color w:val="222222"/>
          <w:sz w:val="26"/>
          <w:szCs w:val="26"/>
          <w:rtl/>
        </w:rPr>
        <w:t xml:space="preserve"> </w:t>
      </w:r>
      <w:proofErr w:type="spellStart"/>
      <w:r>
        <w:rPr>
          <w:color w:val="222222"/>
          <w:sz w:val="26"/>
          <w:szCs w:val="26"/>
          <w:rtl/>
        </w:rPr>
        <w:t>Cleansing</w:t>
      </w:r>
      <w:proofErr w:type="spellEnd"/>
      <w:r>
        <w:rPr>
          <w:color w:val="222222"/>
          <w:sz w:val="26"/>
          <w:szCs w:val="26"/>
          <w:rtl/>
        </w:rPr>
        <w:t xml:space="preserve">)، تأثير </w:t>
      </w:r>
      <w:proofErr w:type="spellStart"/>
      <w:r>
        <w:rPr>
          <w:color w:val="222222"/>
          <w:sz w:val="26"/>
          <w:szCs w:val="26"/>
          <w:rtl/>
        </w:rPr>
        <w:t>Macbeth</w:t>
      </w:r>
      <w:proofErr w:type="spellEnd"/>
      <w:r>
        <w:rPr>
          <w:color w:val="222222"/>
          <w:sz w:val="26"/>
          <w:szCs w:val="26"/>
          <w:rtl/>
        </w:rPr>
        <w:t>، الإجراءات المجسَّدة (</w:t>
      </w:r>
      <w:proofErr w:type="spellStart"/>
      <w:r>
        <w:rPr>
          <w:color w:val="222222"/>
          <w:sz w:val="26"/>
          <w:szCs w:val="26"/>
          <w:rtl/>
        </w:rPr>
        <w:t>Grounded</w:t>
      </w:r>
      <w:proofErr w:type="spellEnd"/>
      <w:r>
        <w:rPr>
          <w:color w:val="222222"/>
          <w:sz w:val="26"/>
          <w:szCs w:val="26"/>
          <w:rtl/>
        </w:rPr>
        <w:t xml:space="preserve"> </w:t>
      </w:r>
      <w:proofErr w:type="spellStart"/>
      <w:r>
        <w:rPr>
          <w:color w:val="222222"/>
          <w:sz w:val="26"/>
          <w:szCs w:val="26"/>
          <w:rtl/>
        </w:rPr>
        <w:t>Procedures</w:t>
      </w:r>
      <w:proofErr w:type="spellEnd"/>
      <w:r>
        <w:rPr>
          <w:color w:val="222222"/>
          <w:sz w:val="26"/>
          <w:szCs w:val="26"/>
          <w:rtl/>
        </w:rPr>
        <w:t>)، الطقوس، الوضوء، الطهارة، الذنب، الفطرة، الأخلاق الإسلامية، علم النفس الأخلاقي، علم النفس الاستخلافي، TLRT، التطهير الانتقالي الاستخلافي.</w:t>
      </w:r>
    </w:p>
    <w:p w14:paraId="1FE1ED10" w14:textId="77777777" w:rsidR="00333F05" w:rsidRDefault="00D14A68">
      <w:pPr>
        <w:pStyle w:val="1"/>
        <w:pBdr>
          <w:bottom w:val="single" w:sz="10" w:space="6" w:color="B8860B"/>
        </w:pBdr>
        <w:bidi/>
        <w:spacing w:before="420" w:after="220"/>
        <w:jc w:val="right"/>
      </w:pPr>
      <w:r>
        <w:rPr>
          <w:b/>
          <w:bCs/>
          <w:color w:val="1B3A5C"/>
          <w:rtl/>
        </w:rPr>
        <w:t>1. مقدمة</w:t>
      </w:r>
    </w:p>
    <w:p w14:paraId="395030A4" w14:textId="77777777" w:rsidR="00333F05" w:rsidRDefault="00D14A68">
      <w:pPr>
        <w:spacing w:after="200" w:line="340" w:lineRule="auto"/>
        <w:jc w:val="both"/>
      </w:pPr>
      <w:r>
        <w:rPr>
          <w:color w:val="222222"/>
          <w:sz w:val="26"/>
          <w:szCs w:val="26"/>
          <w:rtl/>
        </w:rPr>
        <w:t>ظل الربط بين الجسد والنفس واحدًا من الموضوعات المركزية في تاريخ الفكر الإنساني؛ فالأفكار الأخلاقية لا تبقى دائمًا في مستوى التجريد، بل يمكن أن تتجسد في الإحساس بالاشمئزاز، أو الرغبة في التنظيف، أو تجنّب الملوّثات، أو ممارسة طقوس رمزية تساعد الفرد على الانتقال من حالة نفسية إلى أخرى. وقد شكّل هذا الحدس الإنساني القديم، في العقدين الأخيرين، محورًا لبرنامج بحثي كامل في علم النفس الاجتماعي والأخلاقي، تناول العلاقة بين مفهومَي «النقاء الأخلاقي» و«النظافة الجسدية».</w:t>
      </w:r>
    </w:p>
    <w:p w14:paraId="5466D566" w14:textId="77777777" w:rsidR="00333F05" w:rsidRDefault="00D14A68">
      <w:pPr>
        <w:spacing w:after="200" w:line="340" w:lineRule="auto"/>
        <w:jc w:val="both"/>
      </w:pPr>
      <w:r>
        <w:rPr>
          <w:color w:val="222222"/>
          <w:sz w:val="26"/>
          <w:szCs w:val="26"/>
          <w:rtl/>
        </w:rPr>
        <w:t xml:space="preserve">ومن أشهر هذه الأبحاث دراسة </w:t>
      </w:r>
      <w:proofErr w:type="spellStart"/>
      <w:r>
        <w:rPr>
          <w:color w:val="222222"/>
          <w:sz w:val="26"/>
          <w:szCs w:val="26"/>
          <w:rtl/>
        </w:rPr>
        <w:t>Zhong</w:t>
      </w:r>
      <w:proofErr w:type="spellEnd"/>
      <w:r>
        <w:rPr>
          <w:color w:val="222222"/>
          <w:sz w:val="26"/>
          <w:szCs w:val="26"/>
          <w:rtl/>
        </w:rPr>
        <w:t xml:space="preserve"> و </w:t>
      </w:r>
      <w:proofErr w:type="spellStart"/>
      <w:r>
        <w:rPr>
          <w:color w:val="222222"/>
          <w:sz w:val="26"/>
          <w:szCs w:val="26"/>
          <w:rtl/>
        </w:rPr>
        <w:t>Liljenquist</w:t>
      </w:r>
      <w:proofErr w:type="spellEnd"/>
      <w:r>
        <w:rPr>
          <w:color w:val="222222"/>
          <w:sz w:val="26"/>
          <w:szCs w:val="26"/>
          <w:rtl/>
        </w:rPr>
        <w:t xml:space="preserve"> المنشورة في مجلة </w:t>
      </w:r>
      <w:proofErr w:type="spellStart"/>
      <w:r>
        <w:rPr>
          <w:color w:val="222222"/>
          <w:sz w:val="26"/>
          <w:szCs w:val="26"/>
          <w:rtl/>
        </w:rPr>
        <w:t>Science</w:t>
      </w:r>
      <w:proofErr w:type="spellEnd"/>
      <w:r>
        <w:rPr>
          <w:color w:val="222222"/>
          <w:sz w:val="26"/>
          <w:szCs w:val="26"/>
          <w:rtl/>
        </w:rPr>
        <w:t xml:space="preserve"> سنة 2006 تحت عنوان: </w:t>
      </w:r>
      <w:proofErr w:type="spellStart"/>
      <w:r>
        <w:rPr>
          <w:color w:val="222222"/>
          <w:sz w:val="26"/>
          <w:szCs w:val="26"/>
          <w:rtl/>
        </w:rPr>
        <w:t>Washing</w:t>
      </w:r>
      <w:proofErr w:type="spellEnd"/>
      <w:r>
        <w:rPr>
          <w:color w:val="222222"/>
          <w:sz w:val="26"/>
          <w:szCs w:val="26"/>
          <w:rtl/>
        </w:rPr>
        <w:t xml:space="preserve"> </w:t>
      </w:r>
      <w:proofErr w:type="spellStart"/>
      <w:r>
        <w:rPr>
          <w:color w:val="222222"/>
          <w:sz w:val="26"/>
          <w:szCs w:val="26"/>
          <w:rtl/>
        </w:rPr>
        <w:t>Away</w:t>
      </w:r>
      <w:proofErr w:type="spellEnd"/>
      <w:r>
        <w:rPr>
          <w:color w:val="222222"/>
          <w:sz w:val="26"/>
          <w:szCs w:val="26"/>
          <w:rtl/>
        </w:rPr>
        <w:t xml:space="preserve"> </w:t>
      </w:r>
      <w:proofErr w:type="spellStart"/>
      <w:r>
        <w:rPr>
          <w:color w:val="222222"/>
          <w:sz w:val="26"/>
          <w:szCs w:val="26"/>
          <w:rtl/>
        </w:rPr>
        <w:t>Your</w:t>
      </w:r>
      <w:proofErr w:type="spellEnd"/>
      <w:r>
        <w:rPr>
          <w:color w:val="222222"/>
          <w:sz w:val="26"/>
          <w:szCs w:val="26"/>
          <w:rtl/>
        </w:rPr>
        <w:t xml:space="preserve"> </w:t>
      </w:r>
      <w:proofErr w:type="spellStart"/>
      <w:r>
        <w:rPr>
          <w:color w:val="222222"/>
          <w:sz w:val="26"/>
          <w:szCs w:val="26"/>
          <w:rtl/>
        </w:rPr>
        <w:t>Sins</w:t>
      </w:r>
      <w:proofErr w:type="spellEnd"/>
      <w:r>
        <w:rPr>
          <w:color w:val="222222"/>
          <w:sz w:val="26"/>
          <w:szCs w:val="26"/>
          <w:rtl/>
        </w:rPr>
        <w:t xml:space="preserve">: </w:t>
      </w:r>
      <w:proofErr w:type="spellStart"/>
      <w:r>
        <w:rPr>
          <w:color w:val="222222"/>
          <w:sz w:val="26"/>
          <w:szCs w:val="26"/>
          <w:rtl/>
        </w:rPr>
        <w:t>Threatened</w:t>
      </w:r>
      <w:proofErr w:type="spellEnd"/>
      <w:r>
        <w:rPr>
          <w:color w:val="222222"/>
          <w:sz w:val="26"/>
          <w:szCs w:val="26"/>
          <w:rtl/>
        </w:rPr>
        <w:t xml:space="preserve"> </w:t>
      </w:r>
      <w:proofErr w:type="spellStart"/>
      <w:r>
        <w:rPr>
          <w:color w:val="222222"/>
          <w:sz w:val="26"/>
          <w:szCs w:val="26"/>
          <w:rtl/>
        </w:rPr>
        <w:t>Morality</w:t>
      </w:r>
      <w:proofErr w:type="spellEnd"/>
      <w:r>
        <w:rPr>
          <w:color w:val="222222"/>
          <w:sz w:val="26"/>
          <w:szCs w:val="26"/>
          <w:rtl/>
        </w:rPr>
        <w:t xml:space="preserve"> </w:t>
      </w:r>
      <w:proofErr w:type="spellStart"/>
      <w:r>
        <w:rPr>
          <w:color w:val="222222"/>
          <w:sz w:val="26"/>
          <w:szCs w:val="26"/>
          <w:rtl/>
        </w:rPr>
        <w:t>and</w:t>
      </w:r>
      <w:proofErr w:type="spellEnd"/>
      <w:r>
        <w:rPr>
          <w:color w:val="222222"/>
          <w:sz w:val="26"/>
          <w:szCs w:val="26"/>
          <w:rtl/>
        </w:rPr>
        <w:t xml:space="preserve"> </w:t>
      </w:r>
      <w:proofErr w:type="spellStart"/>
      <w:r>
        <w:rPr>
          <w:color w:val="222222"/>
          <w:sz w:val="26"/>
          <w:szCs w:val="26"/>
          <w:rtl/>
        </w:rPr>
        <w:t>Physical</w:t>
      </w:r>
      <w:proofErr w:type="spellEnd"/>
      <w:r>
        <w:rPr>
          <w:color w:val="222222"/>
          <w:sz w:val="26"/>
          <w:szCs w:val="26"/>
          <w:rtl/>
        </w:rPr>
        <w:t xml:space="preserve"> </w:t>
      </w:r>
      <w:proofErr w:type="spellStart"/>
      <w:r>
        <w:rPr>
          <w:color w:val="222222"/>
          <w:sz w:val="26"/>
          <w:szCs w:val="26"/>
          <w:rtl/>
        </w:rPr>
        <w:t>Cleansing</w:t>
      </w:r>
      <w:proofErr w:type="spellEnd"/>
      <w:r>
        <w:rPr>
          <w:color w:val="222222"/>
          <w:sz w:val="26"/>
          <w:szCs w:val="26"/>
          <w:rtl/>
        </w:rPr>
        <w:t xml:space="preserve">، والتي أصبحت مرجعًا أساسيًا في النقاش حول ما عُرف لاحقًا بـ«تأثير </w:t>
      </w:r>
      <w:proofErr w:type="spellStart"/>
      <w:r>
        <w:rPr>
          <w:color w:val="222222"/>
          <w:sz w:val="26"/>
          <w:szCs w:val="26"/>
          <w:rtl/>
        </w:rPr>
        <w:t>Macbeth</w:t>
      </w:r>
      <w:proofErr w:type="spellEnd"/>
      <w:r>
        <w:rPr>
          <w:color w:val="222222"/>
          <w:sz w:val="26"/>
          <w:szCs w:val="26"/>
          <w:rtl/>
        </w:rPr>
        <w:t>» (</w:t>
      </w:r>
      <w:proofErr w:type="spellStart"/>
      <w:r>
        <w:rPr>
          <w:color w:val="222222"/>
          <w:sz w:val="26"/>
          <w:szCs w:val="26"/>
          <w:rtl/>
        </w:rPr>
        <w:t>Macbeth</w:t>
      </w:r>
      <w:proofErr w:type="spellEnd"/>
      <w:r>
        <w:rPr>
          <w:color w:val="222222"/>
          <w:sz w:val="26"/>
          <w:szCs w:val="26"/>
          <w:rtl/>
        </w:rPr>
        <w:t xml:space="preserve"> </w:t>
      </w:r>
      <w:proofErr w:type="spellStart"/>
      <w:r>
        <w:rPr>
          <w:color w:val="222222"/>
          <w:sz w:val="26"/>
          <w:szCs w:val="26"/>
          <w:rtl/>
        </w:rPr>
        <w:t>Effect</w:t>
      </w:r>
      <w:proofErr w:type="spellEnd"/>
      <w:r>
        <w:rPr>
          <w:color w:val="222222"/>
          <w:sz w:val="26"/>
          <w:szCs w:val="26"/>
          <w:rtl/>
        </w:rPr>
        <w:t xml:space="preserve">). غير أن القراءة العلمية الدقيقة لهذا الحقل تقتضي حذرًا شديدًا من تحويل نتيجة تجريبية أولية إلى قانون نفسي عام؛ فقد فشلت محاولات تكرار مباشرة عديدة في العثور على الأثر ذاته، كما ظهرت انتقادات منهجية لاحقة بشأن التحيز </w:t>
      </w:r>
      <w:proofErr w:type="spellStart"/>
      <w:r>
        <w:rPr>
          <w:color w:val="222222"/>
          <w:sz w:val="26"/>
          <w:szCs w:val="26"/>
          <w:rtl/>
        </w:rPr>
        <w:t>النشري</w:t>
      </w:r>
      <w:proofErr w:type="spellEnd"/>
      <w:r>
        <w:rPr>
          <w:color w:val="222222"/>
          <w:sz w:val="26"/>
          <w:szCs w:val="26"/>
          <w:rtl/>
        </w:rPr>
        <w:t xml:space="preserve"> وقوة الدليل التراكمي على ظواهر التطهير.</w:t>
      </w:r>
    </w:p>
    <w:p w14:paraId="08159162" w14:textId="77777777" w:rsidR="00333F05" w:rsidRDefault="00D14A68">
      <w:pPr>
        <w:spacing w:after="200" w:line="340" w:lineRule="auto"/>
        <w:jc w:val="both"/>
      </w:pPr>
      <w:r>
        <w:rPr>
          <w:color w:val="222222"/>
          <w:sz w:val="26"/>
          <w:szCs w:val="26"/>
          <w:rtl/>
        </w:rPr>
        <w:t>وهنا تبرز أهمية المقارنة مع التصور الإسلامي للطهارة؛ فالإسلام لا يتعامل مع الوضوء بوصفه مجرد عملية تنظيف جسدي، بل الوضوء مرتبط بالصلاة، والطهارة شرط للدخول في حالة عبادية محددة، كما أن بعض الأحاديث الصحيحة تصف خروج الخطايا مع ماء الوضوء.</w:t>
      </w:r>
    </w:p>
    <w:tbl>
      <w:tblPr>
        <w:tblW w:w="5000" w:type="pct"/>
        <w:tblInd w:w="1" w:type="dxa"/>
        <w:tblBorders>
          <w:top w:val="single" w:sz="18" w:space="0" w:color="B8860B"/>
          <w:left w:val="single" w:sz="18" w:space="0" w:color="B8860B"/>
          <w:bottom w:val="single" w:sz="18" w:space="0" w:color="B8860B"/>
          <w:right w:val="single" w:sz="18" w:space="0" w:color="B8860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592"/>
      </w:tblGrid>
      <w:tr w:rsidR="00333F05" w14:paraId="110B1B93" w14:textId="77777777">
        <w:tblPrEx>
          <w:tblCellMar>
            <w:top w:w="0" w:type="dxa"/>
            <w:bottom w:w="0" w:type="dxa"/>
          </w:tblCellMar>
        </w:tblPrEx>
        <w:tc>
          <w:tcPr>
            <w:tcW w:w="0" w:type="auto"/>
            <w:shd w:val="clear" w:color="auto" w:fill="F7EFDC"/>
            <w:tcMar>
              <w:top w:w="200" w:type="dxa"/>
              <w:left w:w="240" w:type="dxa"/>
              <w:bottom w:w="200" w:type="dxa"/>
              <w:right w:w="240" w:type="dxa"/>
            </w:tcMar>
            <w:vAlign w:val="center"/>
          </w:tcPr>
          <w:p w14:paraId="3E772296" w14:textId="77777777" w:rsidR="00333F05" w:rsidRDefault="00D14A68">
            <w:pPr>
              <w:spacing w:after="120"/>
              <w:jc w:val="center"/>
            </w:pPr>
            <w:r>
              <w:rPr>
                <w:b/>
                <w:bCs/>
                <w:color w:val="1B3A5C"/>
                <w:sz w:val="28"/>
                <w:szCs w:val="28"/>
                <w:rtl/>
              </w:rPr>
              <w:t>﴿يَا أَيُّهَا الَّذِينَ آمَنُوا إِذَا قُمْتُمْ إِلَى الصَّلَاةِ فَاغْسِلُوا وُجُوهَكُمْ وَأَيْدِيَكُمْ إِلَى الْمَرَافِقِ وَامْسَحُوا بِرُءُوسِكُمْ وَأَرْجُلَكُمْ إِلَى الْكَعْبَيْنِ﴾</w:t>
            </w:r>
          </w:p>
          <w:p w14:paraId="7B76A0FE" w14:textId="77777777" w:rsidR="00333F05" w:rsidRDefault="00D14A68">
            <w:pPr>
              <w:jc w:val="center"/>
            </w:pPr>
            <w:r>
              <w:rPr>
                <w:i/>
                <w:iCs/>
                <w:color w:val="0E6E6A"/>
                <w:sz w:val="21"/>
                <w:szCs w:val="21"/>
                <w:rtl/>
              </w:rPr>
              <w:t>سورة المائدة، الآية 6</w:t>
            </w:r>
          </w:p>
        </w:tc>
      </w:tr>
    </w:tbl>
    <w:p w14:paraId="722D8E12" w14:textId="77777777" w:rsidR="00333F05" w:rsidRDefault="00333F05">
      <w:pPr>
        <w:spacing w:after="160"/>
      </w:pPr>
    </w:p>
    <w:tbl>
      <w:tblPr>
        <w:tblW w:w="5000" w:type="pct"/>
        <w:tblBorders>
          <w:top w:val="single" w:sz="8" w:space="0" w:color="0E6E6A"/>
          <w:left w:val="single" w:sz="8" w:space="0" w:color="0E6E6A"/>
          <w:bottom w:val="single" w:sz="8" w:space="0" w:color="0E6E6A"/>
          <w:right w:val="single" w:sz="8" w:space="0" w:color="0E6E6A"/>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18"/>
      </w:tblGrid>
      <w:tr w:rsidR="00333F05" w14:paraId="0DED405A" w14:textId="77777777">
        <w:tblPrEx>
          <w:tblCellMar>
            <w:top w:w="0" w:type="dxa"/>
            <w:bottom w:w="0" w:type="dxa"/>
          </w:tblCellMar>
        </w:tblPrEx>
        <w:tc>
          <w:tcPr>
            <w:tcW w:w="0" w:type="auto"/>
            <w:shd w:val="clear" w:color="auto" w:fill="EAF4F3"/>
            <w:tcMar>
              <w:top w:w="180" w:type="dxa"/>
              <w:left w:w="220" w:type="dxa"/>
              <w:bottom w:w="180" w:type="dxa"/>
              <w:right w:w="220" w:type="dxa"/>
            </w:tcMar>
            <w:vAlign w:val="center"/>
          </w:tcPr>
          <w:p w14:paraId="58B0472B" w14:textId="77777777" w:rsidR="00333F05" w:rsidRDefault="00D14A68">
            <w:pPr>
              <w:spacing w:after="100" w:line="320" w:lineRule="auto"/>
              <w:jc w:val="right"/>
            </w:pPr>
            <w:r>
              <w:rPr>
                <w:color w:val="222222"/>
                <w:sz w:val="25"/>
                <w:szCs w:val="25"/>
                <w:rtl/>
              </w:rPr>
              <w:t>عن أبي هريرة رضي الله عنه أن رسول الله ﷺ قال: «إذا توضأ العبد المسلم -أو المؤمن- فغسل وجهه، خرج من وجهه كل خطيئة نظر إليها بعينيه مع الماء -أو مع آخر قطر الماء- فإذا غسل يديه خرج من يديه كل خطيئة كان بطشتها يداه مع الماء -أو مع آخر قطر الماء- فإذا غسل رجليه خرجت كل خطيئة مشتها رجلاه مع الماء -أو مع آخر قطر الماء- حتى يخرج نقيًّا من الذنوب».</w:t>
            </w:r>
          </w:p>
          <w:p w14:paraId="7DA71568" w14:textId="77777777" w:rsidR="00333F05" w:rsidRDefault="00D14A68">
            <w:pPr>
              <w:jc w:val="right"/>
            </w:pPr>
            <w:r>
              <w:rPr>
                <w:i/>
                <w:iCs/>
                <w:color w:val="1B3A5C"/>
                <w:sz w:val="20"/>
                <w:szCs w:val="20"/>
                <w:rtl/>
              </w:rPr>
              <w:t>رواه مسلم في صحيحه، كتاب الطهارة، حديث رقم 244</w:t>
            </w:r>
          </w:p>
        </w:tc>
      </w:tr>
    </w:tbl>
    <w:p w14:paraId="61CA830D" w14:textId="77777777" w:rsidR="00333F05" w:rsidRDefault="00333F05">
      <w:pPr>
        <w:spacing w:after="160"/>
      </w:pPr>
    </w:p>
    <w:p w14:paraId="31127911" w14:textId="77777777" w:rsidR="00333F05" w:rsidRDefault="00D14A68">
      <w:pPr>
        <w:spacing w:after="200" w:line="340" w:lineRule="auto"/>
        <w:jc w:val="both"/>
      </w:pPr>
      <w:r>
        <w:rPr>
          <w:color w:val="222222"/>
          <w:sz w:val="26"/>
          <w:szCs w:val="26"/>
          <w:rtl/>
        </w:rPr>
        <w:t>ومن هنا يظهر السؤال المركزي لهذه الدراسة: هل يمكن قراءة الوضوء بوصفه نموذجًا مركّبًا للتطهير الجسدي والأخلاقي والرمزي؟ والسؤال الأكثر دقة: هل يستطيع علم النفس المعاصر أن يفسّر بعض الوظائف النفسية المحتملة للوضوء دون اختزال معناه الديني في آلية نفسية، وهل يستطيع النموذج الاستخلافي أن يقدّم إطارًا يربط بين التطهير والمصالحة والإصلاح السلوكي؟</w:t>
      </w:r>
    </w:p>
    <w:p w14:paraId="2CBB57DF" w14:textId="77777777" w:rsidR="00333F05" w:rsidRDefault="00D14A68">
      <w:pPr>
        <w:pStyle w:val="1"/>
        <w:pBdr>
          <w:bottom w:val="single" w:sz="10" w:space="6" w:color="B8860B"/>
        </w:pBdr>
        <w:bidi/>
        <w:spacing w:before="420" w:after="220"/>
        <w:jc w:val="right"/>
      </w:pPr>
      <w:r>
        <w:rPr>
          <w:b/>
          <w:bCs/>
          <w:color w:val="1B3A5C"/>
          <w:rtl/>
        </w:rPr>
        <w:t>2. إشكالية الدراسة وأهدافها</w:t>
      </w:r>
    </w:p>
    <w:p w14:paraId="2A26BF8F" w14:textId="77777777" w:rsidR="00333F05" w:rsidRDefault="00D14A68">
      <w:pPr>
        <w:spacing w:after="200" w:line="340" w:lineRule="auto"/>
        <w:jc w:val="both"/>
      </w:pPr>
      <w:r>
        <w:rPr>
          <w:color w:val="222222"/>
          <w:sz w:val="26"/>
          <w:szCs w:val="26"/>
          <w:rtl/>
        </w:rPr>
        <w:t>تتمثل المشكلة العلمية في وجود تقارب ظاهري بين مسارين معرفيين مختلفين:</w:t>
      </w:r>
    </w:p>
    <w:p w14:paraId="2B8F979C" w14:textId="77777777" w:rsidR="00333F05" w:rsidRDefault="00D14A68">
      <w:pPr>
        <w:pStyle w:val="a4"/>
        <w:numPr>
          <w:ilvl w:val="0"/>
          <w:numId w:val="1"/>
        </w:numPr>
        <w:bidi/>
        <w:spacing w:after="100" w:line="320" w:lineRule="auto"/>
        <w:jc w:val="right"/>
      </w:pPr>
      <w:r>
        <w:rPr>
          <w:color w:val="222222"/>
          <w:sz w:val="26"/>
          <w:szCs w:val="26"/>
          <w:rtl/>
        </w:rPr>
        <w:t>مسار علم النفس التجريبي، الذي يدرس أثر التهديد الأخلاقي في السلوك والرغبة في التطهير الجسدي.</w:t>
      </w:r>
    </w:p>
    <w:p w14:paraId="3EB7FA2A" w14:textId="77777777" w:rsidR="00333F05" w:rsidRDefault="00D14A68">
      <w:pPr>
        <w:pStyle w:val="a4"/>
        <w:numPr>
          <w:ilvl w:val="0"/>
          <w:numId w:val="1"/>
        </w:numPr>
        <w:bidi/>
        <w:spacing w:after="100" w:line="320" w:lineRule="auto"/>
        <w:jc w:val="right"/>
      </w:pPr>
      <w:r>
        <w:rPr>
          <w:color w:val="222222"/>
          <w:sz w:val="26"/>
          <w:szCs w:val="26"/>
          <w:rtl/>
        </w:rPr>
        <w:t>المسار الديني الإسلامي، الذي يربط الطهارة بالعبادة والتوبة وتزكية النفس.</w:t>
      </w:r>
    </w:p>
    <w:p w14:paraId="3304E377" w14:textId="77777777" w:rsidR="00333F05" w:rsidRDefault="00D14A68">
      <w:pPr>
        <w:spacing w:after="200" w:line="340" w:lineRule="auto"/>
        <w:jc w:val="both"/>
      </w:pPr>
      <w:r>
        <w:rPr>
          <w:color w:val="222222"/>
          <w:sz w:val="26"/>
          <w:szCs w:val="26"/>
          <w:rtl/>
        </w:rPr>
        <w:t>غير أن التشابه الظاهري بين ظاهرتين لا يعني بالضرورة تطابقهما، ولذلك ترفض الدراسة صراحةً ثلاثة اختزالات منهجية:</w:t>
      </w:r>
    </w:p>
    <w:p w14:paraId="5D972DA3" w14:textId="77777777" w:rsidR="00333F05" w:rsidRDefault="00D14A68">
      <w:pPr>
        <w:pStyle w:val="a4"/>
        <w:numPr>
          <w:ilvl w:val="0"/>
          <w:numId w:val="1"/>
        </w:numPr>
        <w:bidi/>
        <w:spacing w:after="100" w:line="320" w:lineRule="auto"/>
        <w:jc w:val="right"/>
      </w:pPr>
      <w:r>
        <w:rPr>
          <w:color w:val="222222"/>
          <w:sz w:val="26"/>
          <w:szCs w:val="26"/>
          <w:rtl/>
        </w:rPr>
        <w:t>الاختزال الأول: القول إن الوضوء ليس إلا وسيلة نفسية لتخفيف الشعور بالذنب.</w:t>
      </w:r>
    </w:p>
    <w:p w14:paraId="0BBEA527" w14:textId="77777777" w:rsidR="00333F05" w:rsidRDefault="00D14A68">
      <w:pPr>
        <w:pStyle w:val="a4"/>
        <w:numPr>
          <w:ilvl w:val="0"/>
          <w:numId w:val="1"/>
        </w:numPr>
        <w:bidi/>
        <w:spacing w:after="100" w:line="320" w:lineRule="auto"/>
        <w:jc w:val="right"/>
      </w:pPr>
      <w:r>
        <w:rPr>
          <w:color w:val="222222"/>
          <w:sz w:val="26"/>
          <w:szCs w:val="26"/>
          <w:rtl/>
        </w:rPr>
        <w:t>الاختزال الثاني: القول إن نتائج علم النفس التجريبي «تثبت» صحة التصور الديني.</w:t>
      </w:r>
    </w:p>
    <w:p w14:paraId="2BD281F7" w14:textId="77777777" w:rsidR="00333F05" w:rsidRDefault="00D14A68">
      <w:pPr>
        <w:pStyle w:val="a4"/>
        <w:numPr>
          <w:ilvl w:val="0"/>
          <w:numId w:val="1"/>
        </w:numPr>
        <w:bidi/>
        <w:spacing w:after="100" w:line="320" w:lineRule="auto"/>
        <w:jc w:val="right"/>
      </w:pPr>
      <w:r>
        <w:rPr>
          <w:color w:val="222222"/>
          <w:sz w:val="26"/>
          <w:szCs w:val="26"/>
          <w:rtl/>
        </w:rPr>
        <w:t>الاختزال الثالث: القول إن التشابه بينهما دليل على أن الدراسات الغربية الحديثة أعادت اكتشاف مفهوم إسلامي سابق.</w:t>
      </w:r>
    </w:p>
    <w:p w14:paraId="45D0AE6E" w14:textId="77777777" w:rsidR="00333F05" w:rsidRDefault="00D14A68">
      <w:pPr>
        <w:spacing w:after="200" w:line="340" w:lineRule="auto"/>
        <w:jc w:val="both"/>
      </w:pPr>
      <w:r>
        <w:rPr>
          <w:color w:val="222222"/>
          <w:sz w:val="26"/>
          <w:szCs w:val="26"/>
          <w:rtl/>
        </w:rPr>
        <w:t>وتهدف الدراسة، بدلًا من ذلك، إلى بناء نموذج مقارن متعدد المستويات يحقق الأهداف الآتية:</w:t>
      </w:r>
    </w:p>
    <w:p w14:paraId="71C099A9" w14:textId="77777777" w:rsidR="00333F05" w:rsidRDefault="00D14A68">
      <w:pPr>
        <w:pStyle w:val="a4"/>
        <w:numPr>
          <w:ilvl w:val="0"/>
          <w:numId w:val="1"/>
        </w:numPr>
        <w:bidi/>
        <w:spacing w:after="100" w:line="320" w:lineRule="auto"/>
        <w:jc w:val="right"/>
      </w:pPr>
      <w:r>
        <w:rPr>
          <w:color w:val="222222"/>
          <w:sz w:val="26"/>
          <w:szCs w:val="26"/>
          <w:rtl/>
        </w:rPr>
        <w:t>تقديم عرض نقدي دقيق ومحدَّث لأدبيات التطهير الأخلاقي، يميّز بين ما هو مؤكَّد تجريبيًا وما هو محل نقاش.</w:t>
      </w:r>
    </w:p>
    <w:p w14:paraId="04D3D139" w14:textId="77777777" w:rsidR="00333F05" w:rsidRDefault="00D14A68">
      <w:pPr>
        <w:pStyle w:val="a4"/>
        <w:numPr>
          <w:ilvl w:val="0"/>
          <w:numId w:val="1"/>
        </w:numPr>
        <w:bidi/>
        <w:spacing w:after="100" w:line="320" w:lineRule="auto"/>
        <w:jc w:val="right"/>
      </w:pPr>
      <w:r>
        <w:rPr>
          <w:color w:val="222222"/>
          <w:sz w:val="26"/>
          <w:szCs w:val="26"/>
          <w:rtl/>
        </w:rPr>
        <w:t>تحليل البنية النصية الإسلامية المتعلقة بالوضوء والطهارة تحليلًا يحترم استقلالية بعدها التعبدي والشرعي.</w:t>
      </w:r>
    </w:p>
    <w:p w14:paraId="4D0E2FAE" w14:textId="77777777" w:rsidR="00333F05" w:rsidRDefault="00D14A68">
      <w:pPr>
        <w:pStyle w:val="a4"/>
        <w:numPr>
          <w:ilvl w:val="0"/>
          <w:numId w:val="1"/>
        </w:numPr>
        <w:bidi/>
        <w:spacing w:after="100" w:line="320" w:lineRule="auto"/>
        <w:jc w:val="right"/>
      </w:pPr>
      <w:r>
        <w:rPr>
          <w:color w:val="222222"/>
          <w:sz w:val="26"/>
          <w:szCs w:val="26"/>
          <w:rtl/>
        </w:rPr>
        <w:t>صياغة مفهوم نظري استخلافي جديد («التطهير الانتقالي الاستخلافي») قابل للصياغة العلمية والاختبار التجريبي.</w:t>
      </w:r>
    </w:p>
    <w:p w14:paraId="3447F3FD" w14:textId="77777777" w:rsidR="00333F05" w:rsidRDefault="00D14A68">
      <w:pPr>
        <w:pStyle w:val="a4"/>
        <w:numPr>
          <w:ilvl w:val="0"/>
          <w:numId w:val="1"/>
        </w:numPr>
        <w:bidi/>
        <w:spacing w:after="100" w:line="320" w:lineRule="auto"/>
        <w:jc w:val="right"/>
      </w:pPr>
      <w:r>
        <w:rPr>
          <w:color w:val="222222"/>
          <w:sz w:val="26"/>
          <w:szCs w:val="26"/>
          <w:rtl/>
        </w:rPr>
        <w:t>اقتراح تصميم بحثي تجريبي مستقبلي يسمح باختبار الفرضيات الناتجة عن هذا النموذج.</w:t>
      </w:r>
    </w:p>
    <w:p w14:paraId="4767F937" w14:textId="77777777" w:rsidR="00333F05" w:rsidRDefault="00D14A68">
      <w:pPr>
        <w:pStyle w:val="1"/>
        <w:pBdr>
          <w:bottom w:val="single" w:sz="10" w:space="6" w:color="B8860B"/>
        </w:pBdr>
        <w:bidi/>
        <w:spacing w:before="420" w:after="220"/>
        <w:jc w:val="right"/>
      </w:pPr>
      <w:r>
        <w:rPr>
          <w:b/>
          <w:bCs/>
          <w:color w:val="1B3A5C"/>
          <w:rtl/>
        </w:rPr>
        <w:t>3. التطهير الأخلاقي في علم النفس المعاصر</w:t>
      </w:r>
    </w:p>
    <w:p w14:paraId="7AD097AE" w14:textId="77777777" w:rsidR="00333F05" w:rsidRDefault="00D14A68">
      <w:pPr>
        <w:pStyle w:val="2"/>
        <w:bidi/>
        <w:spacing w:before="260" w:after="160"/>
        <w:jc w:val="right"/>
      </w:pPr>
      <w:r>
        <w:rPr>
          <w:b/>
          <w:bCs/>
          <w:color w:val="0E6E6A"/>
          <w:sz w:val="27"/>
          <w:szCs w:val="27"/>
          <w:rtl/>
        </w:rPr>
        <w:t>3.1 من الذنب إلى الرغبة في التطهير</w:t>
      </w:r>
    </w:p>
    <w:p w14:paraId="2F57F336" w14:textId="77777777" w:rsidR="00333F05" w:rsidRDefault="00D14A68">
      <w:pPr>
        <w:spacing w:after="200" w:line="340" w:lineRule="auto"/>
        <w:jc w:val="both"/>
      </w:pPr>
      <w:r>
        <w:rPr>
          <w:color w:val="222222"/>
          <w:sz w:val="26"/>
          <w:szCs w:val="26"/>
          <w:rtl/>
        </w:rPr>
        <w:t xml:space="preserve">عرّف </w:t>
      </w:r>
      <w:proofErr w:type="spellStart"/>
      <w:r>
        <w:rPr>
          <w:color w:val="222222"/>
          <w:sz w:val="26"/>
          <w:szCs w:val="26"/>
          <w:rtl/>
        </w:rPr>
        <w:t>West</w:t>
      </w:r>
      <w:proofErr w:type="spellEnd"/>
      <w:r>
        <w:rPr>
          <w:color w:val="222222"/>
          <w:sz w:val="26"/>
          <w:szCs w:val="26"/>
          <w:rtl/>
        </w:rPr>
        <w:t xml:space="preserve"> و </w:t>
      </w:r>
      <w:proofErr w:type="spellStart"/>
      <w:r>
        <w:rPr>
          <w:color w:val="222222"/>
          <w:sz w:val="26"/>
          <w:szCs w:val="26"/>
          <w:rtl/>
        </w:rPr>
        <w:t>Zhong</w:t>
      </w:r>
      <w:proofErr w:type="spellEnd"/>
      <w:r>
        <w:rPr>
          <w:color w:val="222222"/>
          <w:sz w:val="26"/>
          <w:szCs w:val="26"/>
          <w:rtl/>
        </w:rPr>
        <w:t xml:space="preserve"> (2015) التطهير الأخلاقي (</w:t>
      </w:r>
      <w:proofErr w:type="spellStart"/>
      <w:r>
        <w:rPr>
          <w:color w:val="222222"/>
          <w:sz w:val="26"/>
          <w:szCs w:val="26"/>
          <w:rtl/>
        </w:rPr>
        <w:t>Moral</w:t>
      </w:r>
      <w:proofErr w:type="spellEnd"/>
      <w:r>
        <w:rPr>
          <w:color w:val="222222"/>
          <w:sz w:val="26"/>
          <w:szCs w:val="26"/>
          <w:rtl/>
        </w:rPr>
        <w:t xml:space="preserve"> </w:t>
      </w:r>
      <w:proofErr w:type="spellStart"/>
      <w:r>
        <w:rPr>
          <w:color w:val="222222"/>
          <w:sz w:val="26"/>
          <w:szCs w:val="26"/>
          <w:rtl/>
        </w:rPr>
        <w:t>Cleansing</w:t>
      </w:r>
      <w:proofErr w:type="spellEnd"/>
      <w:r>
        <w:rPr>
          <w:color w:val="222222"/>
          <w:sz w:val="26"/>
          <w:szCs w:val="26"/>
          <w:rtl/>
        </w:rPr>
        <w:t>) بوصفه مجموعة من السلوكيات التي تهدف إلى استعادة القيمة الأخلاقية للذات بعد انتهاك أخلاقي، واقترحا في هذا السياق ثلاثة أنماط واسعة للتطهير:</w:t>
      </w:r>
    </w:p>
    <w:p w14:paraId="5C1A21FA" w14:textId="77777777" w:rsidR="00333F05" w:rsidRDefault="00D14A68">
      <w:pPr>
        <w:pStyle w:val="a4"/>
        <w:numPr>
          <w:ilvl w:val="0"/>
          <w:numId w:val="1"/>
        </w:numPr>
        <w:bidi/>
        <w:spacing w:after="100" w:line="320" w:lineRule="auto"/>
        <w:jc w:val="right"/>
      </w:pPr>
      <w:r>
        <w:rPr>
          <w:color w:val="222222"/>
          <w:sz w:val="26"/>
          <w:szCs w:val="26"/>
          <w:rtl/>
        </w:rPr>
        <w:t>التطهير التعويضي (</w:t>
      </w:r>
      <w:proofErr w:type="spellStart"/>
      <w:r>
        <w:rPr>
          <w:color w:val="222222"/>
          <w:sz w:val="26"/>
          <w:szCs w:val="26"/>
          <w:rtl/>
        </w:rPr>
        <w:t>Restitution</w:t>
      </w:r>
      <w:proofErr w:type="spellEnd"/>
      <w:r>
        <w:rPr>
          <w:color w:val="222222"/>
          <w:sz w:val="26"/>
          <w:szCs w:val="26"/>
          <w:rtl/>
        </w:rPr>
        <w:t xml:space="preserve"> </w:t>
      </w:r>
      <w:proofErr w:type="spellStart"/>
      <w:r>
        <w:rPr>
          <w:color w:val="222222"/>
          <w:sz w:val="26"/>
          <w:szCs w:val="26"/>
          <w:rtl/>
        </w:rPr>
        <w:t>Cleansing</w:t>
      </w:r>
      <w:proofErr w:type="spellEnd"/>
      <w:r>
        <w:rPr>
          <w:color w:val="222222"/>
          <w:sz w:val="26"/>
          <w:szCs w:val="26"/>
          <w:rtl/>
        </w:rPr>
        <w:t>): إصلاح الضرر الناتج عن الفعل مباشرة.</w:t>
      </w:r>
    </w:p>
    <w:p w14:paraId="719658F9" w14:textId="77777777" w:rsidR="00333F05" w:rsidRDefault="00D14A68">
      <w:pPr>
        <w:pStyle w:val="a4"/>
        <w:numPr>
          <w:ilvl w:val="0"/>
          <w:numId w:val="1"/>
        </w:numPr>
        <w:bidi/>
        <w:spacing w:after="100" w:line="320" w:lineRule="auto"/>
        <w:jc w:val="right"/>
      </w:pPr>
      <w:r>
        <w:rPr>
          <w:color w:val="222222"/>
          <w:sz w:val="26"/>
          <w:szCs w:val="26"/>
          <w:rtl/>
        </w:rPr>
        <w:t>التطهير السلوكي (</w:t>
      </w:r>
      <w:proofErr w:type="spellStart"/>
      <w:r>
        <w:rPr>
          <w:color w:val="222222"/>
          <w:sz w:val="26"/>
          <w:szCs w:val="26"/>
          <w:rtl/>
        </w:rPr>
        <w:t>Behavioral</w:t>
      </w:r>
      <w:proofErr w:type="spellEnd"/>
      <w:r>
        <w:rPr>
          <w:color w:val="222222"/>
          <w:sz w:val="26"/>
          <w:szCs w:val="26"/>
          <w:rtl/>
        </w:rPr>
        <w:t xml:space="preserve"> </w:t>
      </w:r>
      <w:proofErr w:type="spellStart"/>
      <w:r>
        <w:rPr>
          <w:color w:val="222222"/>
          <w:sz w:val="26"/>
          <w:szCs w:val="26"/>
          <w:rtl/>
        </w:rPr>
        <w:t>Cleansing</w:t>
      </w:r>
      <w:proofErr w:type="spellEnd"/>
      <w:r>
        <w:rPr>
          <w:color w:val="222222"/>
          <w:sz w:val="26"/>
          <w:szCs w:val="26"/>
          <w:rtl/>
        </w:rPr>
        <w:t>): القيام بسلوك أخلاقي بديل يوازن الفعل السابق.</w:t>
      </w:r>
    </w:p>
    <w:p w14:paraId="2FE02A8A" w14:textId="77777777" w:rsidR="00333F05" w:rsidRDefault="00D14A68">
      <w:pPr>
        <w:pStyle w:val="a4"/>
        <w:numPr>
          <w:ilvl w:val="0"/>
          <w:numId w:val="1"/>
        </w:numPr>
        <w:bidi/>
        <w:spacing w:after="100" w:line="320" w:lineRule="auto"/>
        <w:jc w:val="right"/>
      </w:pPr>
      <w:r>
        <w:rPr>
          <w:color w:val="222222"/>
          <w:sz w:val="26"/>
          <w:szCs w:val="26"/>
          <w:rtl/>
        </w:rPr>
        <w:t>التطهير الرمزي (</w:t>
      </w:r>
      <w:proofErr w:type="spellStart"/>
      <w:r>
        <w:rPr>
          <w:color w:val="222222"/>
          <w:sz w:val="26"/>
          <w:szCs w:val="26"/>
          <w:rtl/>
        </w:rPr>
        <w:t>Symbolic</w:t>
      </w:r>
      <w:proofErr w:type="spellEnd"/>
      <w:r>
        <w:rPr>
          <w:color w:val="222222"/>
          <w:sz w:val="26"/>
          <w:szCs w:val="26"/>
          <w:rtl/>
        </w:rPr>
        <w:t xml:space="preserve"> </w:t>
      </w:r>
      <w:proofErr w:type="spellStart"/>
      <w:r>
        <w:rPr>
          <w:color w:val="222222"/>
          <w:sz w:val="26"/>
          <w:szCs w:val="26"/>
          <w:rtl/>
        </w:rPr>
        <w:t>Cleansing</w:t>
      </w:r>
      <w:proofErr w:type="spellEnd"/>
      <w:r>
        <w:rPr>
          <w:color w:val="222222"/>
          <w:sz w:val="26"/>
          <w:szCs w:val="26"/>
          <w:rtl/>
        </w:rPr>
        <w:t>): ممارسة فعل رمزي (كالغسل) يشعر الفرد بالانتقال من الحالة السابقة إلى حالة جديدة.</w:t>
      </w:r>
    </w:p>
    <w:p w14:paraId="45CCC121" w14:textId="77777777" w:rsidR="00333F05" w:rsidRDefault="00D14A68">
      <w:pPr>
        <w:spacing w:after="200" w:line="340" w:lineRule="auto"/>
        <w:jc w:val="both"/>
      </w:pPr>
      <w:r>
        <w:rPr>
          <w:color w:val="222222"/>
          <w:sz w:val="26"/>
          <w:szCs w:val="26"/>
          <w:rtl/>
        </w:rPr>
        <w:t>وهذا التصنيف الثلاثي مهم جدًا لأنه يوسّع مفهوم التطهير بحيث لا يعود مرادفًا لغسل الجسد فقط، بل يصبح عملية مرتبطة بإدارة صورة الذات الأخلاقية، لا مجرد استجابة للوسخ الجسدي؛ إذ يمكن للشخص الذي ارتكب خطأً أن يحاول إصلاح الضرر، أو القيام بسلوك أخلاقي بديل، أو ممارسة فعل رمزي يشعره بالانتقال إلى حالة جديدة.</w:t>
      </w:r>
    </w:p>
    <w:p w14:paraId="5B19F663" w14:textId="77777777" w:rsidR="00333F05" w:rsidRDefault="00D14A68">
      <w:pPr>
        <w:pStyle w:val="1"/>
        <w:pBdr>
          <w:bottom w:val="single" w:sz="10" w:space="6" w:color="B8860B"/>
        </w:pBdr>
        <w:bidi/>
        <w:spacing w:before="420" w:after="220"/>
        <w:jc w:val="right"/>
      </w:pPr>
      <w:r>
        <w:rPr>
          <w:b/>
          <w:bCs/>
          <w:color w:val="1B3A5C"/>
          <w:rtl/>
        </w:rPr>
        <w:t xml:space="preserve">4. تأثير </w:t>
      </w:r>
      <w:proofErr w:type="spellStart"/>
      <w:r>
        <w:rPr>
          <w:b/>
          <w:bCs/>
          <w:color w:val="1B3A5C"/>
          <w:rtl/>
        </w:rPr>
        <w:t>Macbeth</w:t>
      </w:r>
      <w:proofErr w:type="spellEnd"/>
      <w:r>
        <w:rPr>
          <w:b/>
          <w:bCs/>
          <w:color w:val="1B3A5C"/>
          <w:rtl/>
        </w:rPr>
        <w:t>: النشأة، والحدود، والنقد المنهجي</w:t>
      </w:r>
    </w:p>
    <w:p w14:paraId="0E0E2748" w14:textId="77777777" w:rsidR="00333F05" w:rsidRDefault="00D14A68">
      <w:pPr>
        <w:spacing w:after="200" w:line="340" w:lineRule="auto"/>
        <w:jc w:val="both"/>
      </w:pPr>
      <w:r>
        <w:rPr>
          <w:color w:val="222222"/>
          <w:sz w:val="26"/>
          <w:szCs w:val="26"/>
          <w:rtl/>
        </w:rPr>
        <w:t xml:space="preserve">كانت دراسة </w:t>
      </w:r>
      <w:proofErr w:type="spellStart"/>
      <w:r>
        <w:rPr>
          <w:color w:val="222222"/>
          <w:sz w:val="26"/>
          <w:szCs w:val="26"/>
          <w:rtl/>
        </w:rPr>
        <w:t>Zhong</w:t>
      </w:r>
      <w:proofErr w:type="spellEnd"/>
      <w:r>
        <w:rPr>
          <w:color w:val="222222"/>
          <w:sz w:val="26"/>
          <w:szCs w:val="26"/>
          <w:rtl/>
        </w:rPr>
        <w:t xml:space="preserve"> و </w:t>
      </w:r>
      <w:proofErr w:type="spellStart"/>
      <w:r>
        <w:rPr>
          <w:color w:val="222222"/>
          <w:sz w:val="26"/>
          <w:szCs w:val="26"/>
          <w:rtl/>
        </w:rPr>
        <w:t>Liljenquist</w:t>
      </w:r>
      <w:proofErr w:type="spellEnd"/>
      <w:r>
        <w:rPr>
          <w:color w:val="222222"/>
          <w:sz w:val="26"/>
          <w:szCs w:val="26"/>
          <w:rtl/>
        </w:rPr>
        <w:t xml:space="preserve"> (2006) نقطة تحول مهمة، إذ طرحت فكرة أن التهديد الأخلاقي قد يزيد الميل إلى التطهير الجسدي، وقد تجلّى ذلك في ثلاثة مؤشرات تجريبية: زيادة إتاحة المفاهيم المرتبطة بالتطهير ذهنيًا، وزيادة الرغبة في منتجات التنظيف، وزيادة احتمال اختيار المناديل المطهِّرة كهدية مجانية بعد استحضار فعل غير أخلاقي.</w:t>
      </w:r>
    </w:p>
    <w:p w14:paraId="5005BD89" w14:textId="77777777" w:rsidR="00333F05" w:rsidRDefault="00D14A68">
      <w:pPr>
        <w:spacing w:after="200" w:line="340" w:lineRule="auto"/>
        <w:jc w:val="both"/>
      </w:pPr>
      <w:r>
        <w:rPr>
          <w:color w:val="222222"/>
          <w:sz w:val="26"/>
          <w:szCs w:val="26"/>
          <w:rtl/>
        </w:rPr>
        <w:t>غير أنه من الضروري في أي نسخة أكاديمية دقيقة تجنّب عبارة من نوع: «أثبت علم النفس أن غسل اليدين يمحو الذنب»، لأن هذه صياغة أقوى بكثير من الأدلة المتاحة. والصياغة الأدق أكاديميًا هي: «أظهرت بعض الدراسات التجريبية وجود ارتباطات بين استحضار التهديد الأخلاقي وبعض مؤشرات الرغبة أو السلوك التطهيري الجسدي، مع تفاوت كبير في قابلية هذه الارتباطات للتكرار».</w:t>
      </w:r>
    </w:p>
    <w:p w14:paraId="07451C72" w14:textId="77777777" w:rsidR="00333F05" w:rsidRDefault="00D14A68">
      <w:pPr>
        <w:spacing w:after="200" w:line="340" w:lineRule="auto"/>
        <w:jc w:val="both"/>
      </w:pPr>
      <w:r>
        <w:rPr>
          <w:color w:val="222222"/>
          <w:sz w:val="26"/>
          <w:szCs w:val="26"/>
          <w:rtl/>
        </w:rPr>
        <w:t xml:space="preserve">فقد فشلت محاولات </w:t>
      </w:r>
      <w:proofErr w:type="spellStart"/>
      <w:r>
        <w:rPr>
          <w:color w:val="222222"/>
          <w:sz w:val="26"/>
          <w:szCs w:val="26"/>
          <w:rtl/>
        </w:rPr>
        <w:t>Earp</w:t>
      </w:r>
      <w:proofErr w:type="spellEnd"/>
      <w:r>
        <w:rPr>
          <w:color w:val="222222"/>
          <w:sz w:val="26"/>
          <w:szCs w:val="26"/>
          <w:rtl/>
        </w:rPr>
        <w:t xml:space="preserve"> وزملائه (</w:t>
      </w:r>
      <w:proofErr w:type="spellStart"/>
      <w:r>
        <w:rPr>
          <w:color w:val="222222"/>
          <w:sz w:val="26"/>
          <w:szCs w:val="26"/>
          <w:rtl/>
        </w:rPr>
        <w:t>Earp</w:t>
      </w:r>
      <w:proofErr w:type="spellEnd"/>
      <w:r>
        <w:rPr>
          <w:color w:val="222222"/>
          <w:sz w:val="26"/>
          <w:szCs w:val="26"/>
          <w:rtl/>
        </w:rPr>
        <w:t xml:space="preserve">, </w:t>
      </w:r>
      <w:proofErr w:type="spellStart"/>
      <w:r>
        <w:rPr>
          <w:color w:val="222222"/>
          <w:sz w:val="26"/>
          <w:szCs w:val="26"/>
          <w:rtl/>
        </w:rPr>
        <w:t>Everett</w:t>
      </w:r>
      <w:proofErr w:type="spellEnd"/>
      <w:r>
        <w:rPr>
          <w:color w:val="222222"/>
          <w:sz w:val="26"/>
          <w:szCs w:val="26"/>
          <w:rtl/>
        </w:rPr>
        <w:t xml:space="preserve">, </w:t>
      </w:r>
      <w:proofErr w:type="spellStart"/>
      <w:r>
        <w:rPr>
          <w:color w:val="222222"/>
          <w:sz w:val="26"/>
          <w:szCs w:val="26"/>
          <w:rtl/>
        </w:rPr>
        <w:t>Madva</w:t>
      </w:r>
      <w:proofErr w:type="spellEnd"/>
      <w:r>
        <w:rPr>
          <w:color w:val="222222"/>
          <w:sz w:val="26"/>
          <w:szCs w:val="26"/>
          <w:rtl/>
        </w:rPr>
        <w:t xml:space="preserve">, &amp; </w:t>
      </w:r>
      <w:proofErr w:type="spellStart"/>
      <w:r>
        <w:rPr>
          <w:color w:val="222222"/>
          <w:sz w:val="26"/>
          <w:szCs w:val="26"/>
          <w:rtl/>
        </w:rPr>
        <w:t>Hamlin</w:t>
      </w:r>
      <w:proofErr w:type="spellEnd"/>
      <w:r>
        <w:rPr>
          <w:color w:val="222222"/>
          <w:sz w:val="26"/>
          <w:szCs w:val="26"/>
          <w:rtl/>
        </w:rPr>
        <w:t xml:space="preserve">, 2014) في عدد من محاولات التكرار المباشر في إعادة إنتاج تأثير </w:t>
      </w:r>
      <w:proofErr w:type="spellStart"/>
      <w:r>
        <w:rPr>
          <w:color w:val="222222"/>
          <w:sz w:val="26"/>
          <w:szCs w:val="26"/>
          <w:rtl/>
        </w:rPr>
        <w:t>Macbeth</w:t>
      </w:r>
      <w:proofErr w:type="spellEnd"/>
      <w:r>
        <w:rPr>
          <w:color w:val="222222"/>
          <w:sz w:val="26"/>
          <w:szCs w:val="26"/>
          <w:rtl/>
        </w:rPr>
        <w:t xml:space="preserve">، رغم استخدامهم المواد والإجراءات الأصلية نفسها مع عينات أكبر وأكثر تنوعًا ثقافيًا (عبر ثلاث قارات). كما توصّل </w:t>
      </w:r>
      <w:proofErr w:type="spellStart"/>
      <w:r>
        <w:rPr>
          <w:color w:val="222222"/>
          <w:sz w:val="26"/>
          <w:szCs w:val="26"/>
          <w:rtl/>
        </w:rPr>
        <w:t>Fayard</w:t>
      </w:r>
      <w:proofErr w:type="spellEnd"/>
      <w:r>
        <w:rPr>
          <w:color w:val="222222"/>
          <w:sz w:val="26"/>
          <w:szCs w:val="26"/>
          <w:rtl/>
        </w:rPr>
        <w:t xml:space="preserve"> وزملاؤه (</w:t>
      </w:r>
      <w:proofErr w:type="spellStart"/>
      <w:r>
        <w:rPr>
          <w:color w:val="222222"/>
          <w:sz w:val="26"/>
          <w:szCs w:val="26"/>
          <w:rtl/>
        </w:rPr>
        <w:t>Fayard</w:t>
      </w:r>
      <w:proofErr w:type="spellEnd"/>
      <w:r>
        <w:rPr>
          <w:color w:val="222222"/>
          <w:sz w:val="26"/>
          <w:szCs w:val="26"/>
          <w:rtl/>
        </w:rPr>
        <w:t xml:space="preserve">, </w:t>
      </w:r>
      <w:proofErr w:type="spellStart"/>
      <w:r>
        <w:rPr>
          <w:color w:val="222222"/>
          <w:sz w:val="26"/>
          <w:szCs w:val="26"/>
          <w:rtl/>
        </w:rPr>
        <w:t>Bassi</w:t>
      </w:r>
      <w:proofErr w:type="spellEnd"/>
      <w:r>
        <w:rPr>
          <w:color w:val="222222"/>
          <w:sz w:val="26"/>
          <w:szCs w:val="26"/>
          <w:rtl/>
        </w:rPr>
        <w:t xml:space="preserve">, </w:t>
      </w:r>
      <w:proofErr w:type="spellStart"/>
      <w:r>
        <w:rPr>
          <w:color w:val="222222"/>
          <w:sz w:val="26"/>
          <w:szCs w:val="26"/>
          <w:rtl/>
        </w:rPr>
        <w:t>Bernstein</w:t>
      </w:r>
      <w:proofErr w:type="spellEnd"/>
      <w:r>
        <w:rPr>
          <w:color w:val="222222"/>
          <w:sz w:val="26"/>
          <w:szCs w:val="26"/>
          <w:rtl/>
        </w:rPr>
        <w:t xml:space="preserve">, &amp; </w:t>
      </w:r>
      <w:proofErr w:type="spellStart"/>
      <w:r>
        <w:rPr>
          <w:color w:val="222222"/>
          <w:sz w:val="26"/>
          <w:szCs w:val="26"/>
          <w:rtl/>
        </w:rPr>
        <w:t>Roberts</w:t>
      </w:r>
      <w:proofErr w:type="spellEnd"/>
      <w:r>
        <w:rPr>
          <w:color w:val="222222"/>
          <w:sz w:val="26"/>
          <w:szCs w:val="26"/>
          <w:rtl/>
        </w:rPr>
        <w:t xml:space="preserve">, 2009) إلى نتيجة مماثلة في محاولة تكرار مستقلة. والأهم من ذلك أن التحليل التلوي الذي أجراه </w:t>
      </w:r>
      <w:proofErr w:type="spellStart"/>
      <w:r>
        <w:rPr>
          <w:color w:val="222222"/>
          <w:sz w:val="26"/>
          <w:szCs w:val="26"/>
          <w:rtl/>
        </w:rPr>
        <w:t>Siev</w:t>
      </w:r>
      <w:proofErr w:type="spellEnd"/>
      <w:r>
        <w:rPr>
          <w:color w:val="222222"/>
          <w:sz w:val="26"/>
          <w:szCs w:val="26"/>
          <w:rtl/>
        </w:rPr>
        <w:t xml:space="preserve"> وزملاؤه (</w:t>
      </w:r>
      <w:proofErr w:type="spellStart"/>
      <w:r>
        <w:rPr>
          <w:color w:val="222222"/>
          <w:sz w:val="26"/>
          <w:szCs w:val="26"/>
          <w:rtl/>
        </w:rPr>
        <w:t>Siev</w:t>
      </w:r>
      <w:proofErr w:type="spellEnd"/>
      <w:r>
        <w:rPr>
          <w:color w:val="222222"/>
          <w:sz w:val="26"/>
          <w:szCs w:val="26"/>
          <w:rtl/>
        </w:rPr>
        <w:t xml:space="preserve">, </w:t>
      </w:r>
      <w:proofErr w:type="spellStart"/>
      <w:r>
        <w:rPr>
          <w:color w:val="222222"/>
          <w:sz w:val="26"/>
          <w:szCs w:val="26"/>
          <w:rtl/>
        </w:rPr>
        <w:t>Zuckerman</w:t>
      </w:r>
      <w:proofErr w:type="spellEnd"/>
      <w:r>
        <w:rPr>
          <w:color w:val="222222"/>
          <w:sz w:val="26"/>
          <w:szCs w:val="26"/>
          <w:rtl/>
        </w:rPr>
        <w:t xml:space="preserve">, &amp; </w:t>
      </w:r>
      <w:proofErr w:type="spellStart"/>
      <w:r>
        <w:rPr>
          <w:color w:val="222222"/>
          <w:sz w:val="26"/>
          <w:szCs w:val="26"/>
          <w:rtl/>
        </w:rPr>
        <w:t>Siev</w:t>
      </w:r>
      <w:proofErr w:type="spellEnd"/>
      <w:r>
        <w:rPr>
          <w:color w:val="222222"/>
          <w:sz w:val="26"/>
          <w:szCs w:val="26"/>
          <w:rtl/>
        </w:rPr>
        <w:t>, 2018) على خمس عشرة دراسة شملت أكثر من 1700 مشارك من ثلاث قارات، خلص إلى أن الحجم الإجمالي للأثر صغير جدًا</w:t>
      </w:r>
      <w:r>
        <w:rPr>
          <w:color w:val="222222"/>
          <w:sz w:val="26"/>
          <w:szCs w:val="26"/>
          <w:rtl/>
        </w:rPr>
        <w:t xml:space="preserve"> (g = 0.17)، وأنه غير دالّ إحصائيًا إطلاقًا (g = 0.07) عند حصر التحليل في الدراسات المستقلة عن الفريق الأصلي.</w:t>
      </w:r>
    </w:p>
    <w:p w14:paraId="0160F591" w14:textId="77777777" w:rsidR="00333F05" w:rsidRDefault="00D14A68">
      <w:pPr>
        <w:spacing w:after="200" w:line="340" w:lineRule="auto"/>
        <w:jc w:val="both"/>
      </w:pPr>
      <w:r>
        <w:rPr>
          <w:color w:val="222222"/>
          <w:sz w:val="26"/>
          <w:szCs w:val="26"/>
          <w:rtl/>
        </w:rPr>
        <w:t>وتشير هذه المعطيات مجتمعة إلى أن التطهير الأخلاقي — بالمعنى الضيق الذي طرحته دراسة 2006 (أي أن استحضار الذنب يزيد الرغبة في التنظيف) — موضوع بحثي مهم، لكنه ليس حقيقة تجريبية مغلقة. أما الاتجاه المعاكس — أي أن التطهير الفعلي يخفّف المشاعر الأخلاقية السلبية — فقد حظي بدعم تجريبي أكثر استقرارًا نسبيًا في عدد من الدراسات المستقلة، وهو ما يجعل التمييز بين الشقّين (الإثارة مقابل التخفيف) ضروريًا منهجيًا. وهذه الإضافة تجعل البحث أقوى أكاديميًا؛ لأنها تمنعه من بناء المقارنة الإسلامية على نتيجة تجريبية غير محسومة با</w:t>
      </w:r>
      <w:r>
        <w:rPr>
          <w:color w:val="222222"/>
          <w:sz w:val="26"/>
          <w:szCs w:val="26"/>
          <w:rtl/>
        </w:rPr>
        <w:t>لكامل.</w:t>
      </w:r>
    </w:p>
    <w:p w14:paraId="7FB97F55" w14:textId="77777777" w:rsidR="00333F05" w:rsidRDefault="00D14A68">
      <w:pPr>
        <w:pStyle w:val="1"/>
        <w:pBdr>
          <w:bottom w:val="single" w:sz="10" w:space="6" w:color="B8860B"/>
        </w:pBdr>
        <w:bidi/>
        <w:spacing w:before="420" w:after="220"/>
        <w:jc w:val="right"/>
      </w:pPr>
      <w:r>
        <w:rPr>
          <w:b/>
          <w:bCs/>
          <w:color w:val="1B3A5C"/>
          <w:rtl/>
        </w:rPr>
        <w:t>5. من «التطهير الأخلاقي» إلى «الإجراء الجسدي المجسَّد»</w:t>
      </w:r>
    </w:p>
    <w:p w14:paraId="0A56E0E9" w14:textId="77777777" w:rsidR="00333F05" w:rsidRDefault="00D14A68">
      <w:pPr>
        <w:spacing w:after="200" w:line="340" w:lineRule="auto"/>
        <w:jc w:val="both"/>
      </w:pPr>
      <w:r>
        <w:rPr>
          <w:color w:val="222222"/>
          <w:sz w:val="26"/>
          <w:szCs w:val="26"/>
          <w:rtl/>
        </w:rPr>
        <w:t xml:space="preserve">ظهرت لاحقًا محاولات لتفسير آثار التطهير بعيدًا عن الأخلاق وحدها. فقد اقترح </w:t>
      </w:r>
      <w:proofErr w:type="spellStart"/>
      <w:r>
        <w:rPr>
          <w:color w:val="222222"/>
          <w:sz w:val="26"/>
          <w:szCs w:val="26"/>
          <w:rtl/>
        </w:rPr>
        <w:t>Lee</w:t>
      </w:r>
      <w:proofErr w:type="spellEnd"/>
      <w:r>
        <w:rPr>
          <w:color w:val="222222"/>
          <w:sz w:val="26"/>
          <w:szCs w:val="26"/>
          <w:rtl/>
        </w:rPr>
        <w:t xml:space="preserve"> و </w:t>
      </w:r>
      <w:proofErr w:type="spellStart"/>
      <w:r>
        <w:rPr>
          <w:color w:val="222222"/>
          <w:sz w:val="26"/>
          <w:szCs w:val="26"/>
          <w:rtl/>
        </w:rPr>
        <w:t>Schwarz</w:t>
      </w:r>
      <w:proofErr w:type="spellEnd"/>
      <w:r>
        <w:rPr>
          <w:color w:val="222222"/>
          <w:sz w:val="26"/>
          <w:szCs w:val="26"/>
          <w:rtl/>
        </w:rPr>
        <w:t xml:space="preserve"> (2010) في دراستهما </w:t>
      </w:r>
      <w:proofErr w:type="spellStart"/>
      <w:r>
        <w:rPr>
          <w:color w:val="222222"/>
          <w:sz w:val="26"/>
          <w:szCs w:val="26"/>
          <w:rtl/>
        </w:rPr>
        <w:t>المعنونة</w:t>
      </w:r>
      <w:proofErr w:type="spellEnd"/>
      <w:r>
        <w:rPr>
          <w:color w:val="222222"/>
          <w:sz w:val="26"/>
          <w:szCs w:val="26"/>
          <w:rtl/>
        </w:rPr>
        <w:t xml:space="preserve"> </w:t>
      </w:r>
      <w:proofErr w:type="spellStart"/>
      <w:r>
        <w:rPr>
          <w:color w:val="222222"/>
          <w:sz w:val="26"/>
          <w:szCs w:val="26"/>
          <w:rtl/>
        </w:rPr>
        <w:t>Dirty</w:t>
      </w:r>
      <w:proofErr w:type="spellEnd"/>
      <w:r>
        <w:rPr>
          <w:color w:val="222222"/>
          <w:sz w:val="26"/>
          <w:szCs w:val="26"/>
          <w:rtl/>
        </w:rPr>
        <w:t xml:space="preserve"> </w:t>
      </w:r>
      <w:proofErr w:type="spellStart"/>
      <w:r>
        <w:rPr>
          <w:color w:val="222222"/>
          <w:sz w:val="26"/>
          <w:szCs w:val="26"/>
          <w:rtl/>
        </w:rPr>
        <w:t>Hands</w:t>
      </w:r>
      <w:proofErr w:type="spellEnd"/>
      <w:r>
        <w:rPr>
          <w:color w:val="222222"/>
          <w:sz w:val="26"/>
          <w:szCs w:val="26"/>
          <w:rtl/>
        </w:rPr>
        <w:t xml:space="preserve"> </w:t>
      </w:r>
      <w:proofErr w:type="spellStart"/>
      <w:r>
        <w:rPr>
          <w:color w:val="222222"/>
          <w:sz w:val="26"/>
          <w:szCs w:val="26"/>
          <w:rtl/>
        </w:rPr>
        <w:t>and</w:t>
      </w:r>
      <w:proofErr w:type="spellEnd"/>
      <w:r>
        <w:rPr>
          <w:color w:val="222222"/>
          <w:sz w:val="26"/>
          <w:szCs w:val="26"/>
          <w:rtl/>
        </w:rPr>
        <w:t xml:space="preserve"> </w:t>
      </w:r>
      <w:proofErr w:type="spellStart"/>
      <w:r>
        <w:rPr>
          <w:color w:val="222222"/>
          <w:sz w:val="26"/>
          <w:szCs w:val="26"/>
          <w:rtl/>
        </w:rPr>
        <w:t>Dirty</w:t>
      </w:r>
      <w:proofErr w:type="spellEnd"/>
      <w:r>
        <w:rPr>
          <w:color w:val="222222"/>
          <w:sz w:val="26"/>
          <w:szCs w:val="26"/>
          <w:rtl/>
        </w:rPr>
        <w:t xml:space="preserve"> </w:t>
      </w:r>
      <w:proofErr w:type="spellStart"/>
      <w:r>
        <w:rPr>
          <w:color w:val="222222"/>
          <w:sz w:val="26"/>
          <w:szCs w:val="26"/>
          <w:rtl/>
        </w:rPr>
        <w:t>Mouths</w:t>
      </w:r>
      <w:proofErr w:type="spellEnd"/>
      <w:r>
        <w:rPr>
          <w:color w:val="222222"/>
          <w:sz w:val="26"/>
          <w:szCs w:val="26"/>
          <w:rtl/>
        </w:rPr>
        <w:t xml:space="preserve"> أن العلاقة بين السلوك الجسدي والمفهوم الأخلاقي مرتبطة بالوسيلة الحركية (</w:t>
      </w:r>
      <w:proofErr w:type="spellStart"/>
      <w:r>
        <w:rPr>
          <w:color w:val="222222"/>
          <w:sz w:val="26"/>
          <w:szCs w:val="26"/>
          <w:rtl/>
        </w:rPr>
        <w:t>Motor</w:t>
      </w:r>
      <w:proofErr w:type="spellEnd"/>
      <w:r>
        <w:rPr>
          <w:color w:val="222222"/>
          <w:sz w:val="26"/>
          <w:szCs w:val="26"/>
          <w:rtl/>
        </w:rPr>
        <w:t xml:space="preserve"> </w:t>
      </w:r>
      <w:proofErr w:type="spellStart"/>
      <w:r>
        <w:rPr>
          <w:color w:val="222222"/>
          <w:sz w:val="26"/>
          <w:szCs w:val="26"/>
          <w:rtl/>
        </w:rPr>
        <w:t>Modality</w:t>
      </w:r>
      <w:proofErr w:type="spellEnd"/>
      <w:r>
        <w:rPr>
          <w:color w:val="222222"/>
          <w:sz w:val="26"/>
          <w:szCs w:val="26"/>
          <w:rtl/>
        </w:rPr>
        <w:t>) التي ارتبط بها الفعل الأخلاقي تحديدًا؛ فقد وجدا أن من كذب صوتيًا (عبر رسالة صوتية) يفضّل غسول الفم، بينما من كذب كتابيًا (عبر البريد الإلكتروني) يفضّل معقِّم اليدين، مما يشير إلى أن أثر التطهير موضعي بحسب العضو المتورط في الفعل، لا آلية عامة بسيطة من نوع «كل غسل يؤدي إلى زوال الذنب».</w:t>
      </w:r>
    </w:p>
    <w:p w14:paraId="41FF016B" w14:textId="77777777" w:rsidR="00333F05" w:rsidRDefault="00D14A68">
      <w:pPr>
        <w:spacing w:after="200" w:line="340" w:lineRule="auto"/>
        <w:jc w:val="both"/>
      </w:pPr>
      <w:r>
        <w:rPr>
          <w:color w:val="222222"/>
          <w:sz w:val="26"/>
          <w:szCs w:val="26"/>
          <w:rtl/>
        </w:rPr>
        <w:t xml:space="preserve">ثم قدّم </w:t>
      </w:r>
      <w:proofErr w:type="spellStart"/>
      <w:r>
        <w:rPr>
          <w:color w:val="222222"/>
          <w:sz w:val="26"/>
          <w:szCs w:val="26"/>
          <w:rtl/>
        </w:rPr>
        <w:t>Lee</w:t>
      </w:r>
      <w:proofErr w:type="spellEnd"/>
      <w:r>
        <w:rPr>
          <w:color w:val="222222"/>
          <w:sz w:val="26"/>
          <w:szCs w:val="26"/>
          <w:rtl/>
        </w:rPr>
        <w:t xml:space="preserve"> و </w:t>
      </w:r>
      <w:proofErr w:type="spellStart"/>
      <w:r>
        <w:rPr>
          <w:color w:val="222222"/>
          <w:sz w:val="26"/>
          <w:szCs w:val="26"/>
          <w:rtl/>
        </w:rPr>
        <w:t>Schwarz</w:t>
      </w:r>
      <w:proofErr w:type="spellEnd"/>
      <w:r>
        <w:rPr>
          <w:color w:val="222222"/>
          <w:sz w:val="26"/>
          <w:szCs w:val="26"/>
          <w:rtl/>
        </w:rPr>
        <w:t xml:space="preserve"> تصورًا أكثر عمومية عُرف باسم الإجراءات المجسَّدة (</w:t>
      </w:r>
      <w:proofErr w:type="spellStart"/>
      <w:r>
        <w:rPr>
          <w:color w:val="222222"/>
          <w:sz w:val="26"/>
          <w:szCs w:val="26"/>
          <w:rtl/>
        </w:rPr>
        <w:t>Grounded</w:t>
      </w:r>
      <w:proofErr w:type="spellEnd"/>
      <w:r>
        <w:rPr>
          <w:color w:val="222222"/>
          <w:sz w:val="26"/>
          <w:szCs w:val="26"/>
          <w:rtl/>
        </w:rPr>
        <w:t xml:space="preserve"> </w:t>
      </w:r>
      <w:proofErr w:type="spellStart"/>
      <w:r>
        <w:rPr>
          <w:color w:val="222222"/>
          <w:sz w:val="26"/>
          <w:szCs w:val="26"/>
          <w:rtl/>
        </w:rPr>
        <w:t>Procedures</w:t>
      </w:r>
      <w:proofErr w:type="spellEnd"/>
      <w:r>
        <w:rPr>
          <w:color w:val="222222"/>
          <w:sz w:val="26"/>
          <w:szCs w:val="26"/>
          <w:rtl/>
        </w:rPr>
        <w:t>)، حيث يُنظر إلى التطهير باعتباره إجراءً جسديًا للفصل أو الانتقال من حالة نفسية إلى أخرى، لا مجرد إزالة للوسخ الرمزي. وهذا التطور مهم جدًا بالنسبة إلى الدراسة الحالية، لأنه يسمح بإعادة صياغة السؤال المركزي: ليس فقط «هل يغسل الإنسان ذنبه؟»، بل «هل يساعد الفعل الجسدي المنظَّم والمتكرر على تمثيل الانتقال النفسي من حالة إلى حالة؟». وهنا يصبح الوضوء موضوعًا نفسيًا أكثر ثراءً من مجرد نظير إسلامي لتجربة الأنبوب المعملي.</w:t>
      </w:r>
    </w:p>
    <w:p w14:paraId="6EE6373E" w14:textId="77777777" w:rsidR="00333F05" w:rsidRDefault="00D14A68">
      <w:pPr>
        <w:pStyle w:val="1"/>
        <w:pBdr>
          <w:bottom w:val="single" w:sz="10" w:space="6" w:color="B8860B"/>
        </w:pBdr>
        <w:bidi/>
        <w:spacing w:before="420" w:after="220"/>
        <w:jc w:val="right"/>
      </w:pPr>
      <w:r>
        <w:rPr>
          <w:b/>
          <w:bCs/>
          <w:color w:val="1B3A5C"/>
          <w:rtl/>
        </w:rPr>
        <w:t>6. الوضوء في المنظومة الإسلامية</w:t>
      </w:r>
    </w:p>
    <w:p w14:paraId="10E22968" w14:textId="77777777" w:rsidR="00333F05" w:rsidRDefault="00D14A68">
      <w:pPr>
        <w:spacing w:after="200" w:line="340" w:lineRule="auto"/>
        <w:jc w:val="both"/>
      </w:pPr>
      <w:r>
        <w:rPr>
          <w:color w:val="222222"/>
          <w:sz w:val="26"/>
          <w:szCs w:val="26"/>
          <w:rtl/>
        </w:rPr>
        <w:t>لا تختزل الوظيفة الإسلامية للوضوء في إزالة الأوساخ الحسية؛ فالوضوء جزء من نظام الطهارة الذي يسبق الصلاة ويهيّئ الإنسان للدخول في فعل تعبدي. والأهم أن حديث أبي هريرة الوارد في صحيح مسلم (المذكور أعلاه) يربط أعضاء الوضوء بأفعال أخلاقية محدَّدة:</w:t>
      </w:r>
    </w:p>
    <w:p w14:paraId="4F5B3334" w14:textId="77777777" w:rsidR="00333F05" w:rsidRDefault="00D14A68">
      <w:pPr>
        <w:pStyle w:val="a4"/>
        <w:numPr>
          <w:ilvl w:val="0"/>
          <w:numId w:val="1"/>
        </w:numPr>
        <w:bidi/>
        <w:spacing w:after="100" w:line="320" w:lineRule="auto"/>
        <w:jc w:val="right"/>
      </w:pPr>
      <w:r>
        <w:rPr>
          <w:color w:val="222222"/>
          <w:sz w:val="26"/>
          <w:szCs w:val="26"/>
          <w:rtl/>
        </w:rPr>
        <w:t>الوجه ← ما نظرت إليه العين.</w:t>
      </w:r>
    </w:p>
    <w:p w14:paraId="78C8231C" w14:textId="77777777" w:rsidR="00333F05" w:rsidRDefault="00D14A68">
      <w:pPr>
        <w:pStyle w:val="a4"/>
        <w:numPr>
          <w:ilvl w:val="0"/>
          <w:numId w:val="1"/>
        </w:numPr>
        <w:bidi/>
        <w:spacing w:after="100" w:line="320" w:lineRule="auto"/>
        <w:jc w:val="right"/>
      </w:pPr>
      <w:r>
        <w:rPr>
          <w:color w:val="222222"/>
          <w:sz w:val="26"/>
          <w:szCs w:val="26"/>
          <w:rtl/>
        </w:rPr>
        <w:t>اليدان ← ما فعلته اليدان (بطشتا به).</w:t>
      </w:r>
    </w:p>
    <w:p w14:paraId="30F7E57B" w14:textId="77777777" w:rsidR="00333F05" w:rsidRDefault="00D14A68">
      <w:pPr>
        <w:pStyle w:val="a4"/>
        <w:numPr>
          <w:ilvl w:val="0"/>
          <w:numId w:val="1"/>
        </w:numPr>
        <w:bidi/>
        <w:spacing w:after="100" w:line="320" w:lineRule="auto"/>
        <w:jc w:val="right"/>
      </w:pPr>
      <w:r>
        <w:rPr>
          <w:color w:val="222222"/>
          <w:sz w:val="26"/>
          <w:szCs w:val="26"/>
          <w:rtl/>
        </w:rPr>
        <w:t>القدمان ← ما مشت إليه القدمان.</w:t>
      </w:r>
    </w:p>
    <w:p w14:paraId="312B6059" w14:textId="77777777" w:rsidR="00333F05" w:rsidRDefault="00D14A68">
      <w:pPr>
        <w:spacing w:after="200" w:line="340" w:lineRule="auto"/>
        <w:jc w:val="both"/>
      </w:pPr>
      <w:r>
        <w:rPr>
          <w:color w:val="222222"/>
          <w:sz w:val="26"/>
          <w:szCs w:val="26"/>
          <w:rtl/>
        </w:rPr>
        <w:t xml:space="preserve">وهذا الحديث يمنح الدراسة أساسًا نصيًا قويًا لفكرة أن أعضاء الجسد ليست منفصلة عن المسؤولية الأخلاقية في التصور الإسلامي؛ فكل عضو من أعضاء الوضوء مرتبط بحقل فعل أخلاقي مخصوص، لا بتنظيف عام غير متمايز. كما يربط حديث آخر بين الوضوء والصلاة وتكفير الذنوب السابقة في سياق أداء الصلاة بعد الوضوء (رواه مسلم في كتاب الطهارة). وبذلك، يمكن تمثيل البنية الإسلامية للوضوء على النحو الآتي: الجسد ← العضو ← الفعل ← المسؤولية ← التطهير ← العبادة ← إعادة التوجيه الأخلاقي. وهذه البنية أوسع بكثير من نموذج «غسل اليدين بعد ارتكاب </w:t>
      </w:r>
      <w:r>
        <w:rPr>
          <w:color w:val="222222"/>
          <w:sz w:val="26"/>
          <w:szCs w:val="26"/>
          <w:rtl/>
        </w:rPr>
        <w:t xml:space="preserve">الخطأ» الذي تفترضه بعض القراءات المبسّطة لتأثير </w:t>
      </w:r>
      <w:proofErr w:type="spellStart"/>
      <w:r>
        <w:rPr>
          <w:color w:val="222222"/>
          <w:sz w:val="26"/>
          <w:szCs w:val="26"/>
          <w:rtl/>
        </w:rPr>
        <w:t>Macbeth</w:t>
      </w:r>
      <w:proofErr w:type="spellEnd"/>
      <w:r>
        <w:rPr>
          <w:color w:val="222222"/>
          <w:sz w:val="26"/>
          <w:szCs w:val="26"/>
          <w:rtl/>
        </w:rPr>
        <w:t>.</w:t>
      </w:r>
    </w:p>
    <w:p w14:paraId="681C06CE" w14:textId="77777777" w:rsidR="00333F05" w:rsidRDefault="00D14A68">
      <w:pPr>
        <w:pStyle w:val="1"/>
        <w:pBdr>
          <w:bottom w:val="single" w:sz="10" w:space="6" w:color="B8860B"/>
        </w:pBdr>
        <w:bidi/>
        <w:spacing w:before="420" w:after="220"/>
        <w:jc w:val="right"/>
      </w:pPr>
      <w:r>
        <w:rPr>
          <w:b/>
          <w:bCs/>
          <w:color w:val="1B3A5C"/>
          <w:rtl/>
        </w:rPr>
        <w:t>7. نقطة جوهرية: الوضوء ليس هو التوبة</w:t>
      </w:r>
    </w:p>
    <w:p w14:paraId="163DE9D3" w14:textId="77777777" w:rsidR="00333F05" w:rsidRDefault="00D14A68">
      <w:pPr>
        <w:spacing w:after="200" w:line="340" w:lineRule="auto"/>
        <w:jc w:val="both"/>
      </w:pPr>
      <w:r>
        <w:rPr>
          <w:color w:val="222222"/>
          <w:sz w:val="26"/>
          <w:szCs w:val="26"/>
          <w:rtl/>
        </w:rPr>
        <w:t xml:space="preserve">من الضروري إدخال هذا التمييز بوضوح في أي نسخة أكاديمية للدراسة، فالوضوء لا ينبغي أن يُقدَّم بوصفه بديلًا عن التوبة. وفي النموذج الاستخلافي، توجد فكرة جوهرية مفادها أن الأخطاء التي تتضمن حقوق الآخرين تحتاج إلى الرد والإصلاح والتعويض، لا إلى فعل تطهيري رمزي فقط؛ وهذه من أقوى نقاط النموذج نظريًا، لأنها تمنع الانزلاق إلى تديُّن شكلاني يستبدل الإصلاح الفعلي بطقس رمزي. وهي تسمح ببناء تسلسل واضح: التطهير ← المصالحة ← الإصلاح ← إعادة بناء السلوك. وهنا تظهر إحدى النقاط التي يختلف فيها TLRT عن نموذج التطهير الأخلاقي </w:t>
      </w:r>
      <w:r>
        <w:rPr>
          <w:color w:val="222222"/>
          <w:sz w:val="26"/>
          <w:szCs w:val="26"/>
          <w:rtl/>
        </w:rPr>
        <w:t>البسيط في الأدبيات الغربية: فالتطهير في النموذج الاستخلافي ليس نهاية العملية، بل مرحلة انتقالية ضمن مسار أطول.</w:t>
      </w:r>
    </w:p>
    <w:p w14:paraId="60400716" w14:textId="77777777" w:rsidR="00333F05" w:rsidRDefault="00D14A68">
      <w:pPr>
        <w:pStyle w:val="1"/>
        <w:pBdr>
          <w:bottom w:val="single" w:sz="10" w:space="6" w:color="B8860B"/>
        </w:pBdr>
        <w:bidi/>
        <w:spacing w:before="420" w:after="220"/>
        <w:jc w:val="right"/>
      </w:pPr>
      <w:r>
        <w:rPr>
          <w:b/>
          <w:bCs/>
          <w:color w:val="1B3A5C"/>
          <w:rtl/>
        </w:rPr>
        <w:t>8. من التطهير إلى الإصلاح الأخلاقي: نحو مفهوم جديد</w:t>
      </w:r>
    </w:p>
    <w:p w14:paraId="135CC31E" w14:textId="77777777" w:rsidR="00333F05" w:rsidRDefault="00D14A68">
      <w:pPr>
        <w:spacing w:after="200" w:line="340" w:lineRule="auto"/>
        <w:jc w:val="both"/>
      </w:pPr>
      <w:r>
        <w:rPr>
          <w:color w:val="222222"/>
          <w:sz w:val="26"/>
          <w:szCs w:val="26"/>
          <w:rtl/>
        </w:rPr>
        <w:t>يمكن تطوير الأطروحة الاستخلافية هنا نحو مفهوم أكثر تحديدًا اصطلاحيًا، هو «التطهير الانتقالي الأخلاقي»، ويُقصد به:</w:t>
      </w:r>
    </w:p>
    <w:p w14:paraId="68B60D7E" w14:textId="77777777" w:rsidR="00333F05" w:rsidRDefault="00D14A68">
      <w:pPr>
        <w:spacing w:after="200" w:line="340" w:lineRule="auto"/>
        <w:jc w:val="center"/>
      </w:pPr>
      <w:r>
        <w:rPr>
          <w:i/>
          <w:iCs/>
          <w:color w:val="1B3A5C"/>
          <w:sz w:val="26"/>
          <w:szCs w:val="26"/>
          <w:rtl/>
        </w:rPr>
        <w:t>«عملية نفسية-رمزية ينتقل فيها الفرد من إدراك الانحراف الأخلاقي إلى حالة من إعادة تنظيم الذات، بحيث لا يكون الهدف إزالة الشعور بالذنب فقط، وإنما تحويله إلى استعداد للإصلاح والسلوك الأخلاقي اللاحق.»</w:t>
      </w:r>
    </w:p>
    <w:p w14:paraId="2B30926F" w14:textId="77777777" w:rsidR="00333F05" w:rsidRDefault="00D14A68">
      <w:pPr>
        <w:spacing w:after="200" w:line="340" w:lineRule="auto"/>
        <w:jc w:val="both"/>
      </w:pPr>
      <w:r>
        <w:rPr>
          <w:color w:val="222222"/>
          <w:sz w:val="26"/>
          <w:szCs w:val="26"/>
          <w:rtl/>
        </w:rPr>
        <w:t>وهذا التعريف أكثر قوة من القول إن الوضوء «يعالج الذنب»؛ لأن العلاج النفسي بالمعنى الإكلينيكي يتطلب أدلة إكلينيكية مضبوطة، بينما المفهوم المقترح هنا يُطرح أولًا بوصفه بنية نظرية قابلة للاختبار التجريبي المستقل، لا حكمًا إكلينيكيًا جاهزًا.</w:t>
      </w:r>
    </w:p>
    <w:p w14:paraId="016E893D" w14:textId="77777777" w:rsidR="00333F05" w:rsidRDefault="00D14A68">
      <w:pPr>
        <w:pStyle w:val="1"/>
        <w:pBdr>
          <w:bottom w:val="single" w:sz="10" w:space="6" w:color="B8860B"/>
        </w:pBdr>
        <w:bidi/>
        <w:spacing w:before="420" w:after="220"/>
        <w:jc w:val="right"/>
      </w:pPr>
      <w:r>
        <w:rPr>
          <w:b/>
          <w:bCs/>
          <w:color w:val="1B3A5C"/>
          <w:rtl/>
        </w:rPr>
        <w:t>9. الطقوس وتقليل القلق: من الأداء إلى العبادة</w:t>
      </w:r>
    </w:p>
    <w:p w14:paraId="0893A5A2" w14:textId="77777777" w:rsidR="00333F05" w:rsidRDefault="00D14A68">
      <w:pPr>
        <w:spacing w:after="200" w:line="340" w:lineRule="auto"/>
        <w:jc w:val="both"/>
      </w:pPr>
      <w:r>
        <w:rPr>
          <w:color w:val="222222"/>
          <w:sz w:val="26"/>
          <w:szCs w:val="26"/>
          <w:rtl/>
        </w:rPr>
        <w:t>تقدّم أبحاث دراسة الطقوس (</w:t>
      </w:r>
      <w:proofErr w:type="spellStart"/>
      <w:r>
        <w:rPr>
          <w:color w:val="222222"/>
          <w:sz w:val="26"/>
          <w:szCs w:val="26"/>
          <w:rtl/>
        </w:rPr>
        <w:t>Ritual</w:t>
      </w:r>
      <w:proofErr w:type="spellEnd"/>
      <w:r>
        <w:rPr>
          <w:color w:val="222222"/>
          <w:sz w:val="26"/>
          <w:szCs w:val="26"/>
          <w:rtl/>
        </w:rPr>
        <w:t xml:space="preserve"> </w:t>
      </w:r>
      <w:proofErr w:type="spellStart"/>
      <w:r>
        <w:rPr>
          <w:color w:val="222222"/>
          <w:sz w:val="26"/>
          <w:szCs w:val="26"/>
          <w:rtl/>
        </w:rPr>
        <w:t>Studies</w:t>
      </w:r>
      <w:proofErr w:type="spellEnd"/>
      <w:r>
        <w:rPr>
          <w:color w:val="222222"/>
          <w:sz w:val="26"/>
          <w:szCs w:val="26"/>
          <w:rtl/>
        </w:rPr>
        <w:t xml:space="preserve">) مسارًا مهمًا آخر للمقارنة. فقد وجدت سلسلة تجارب </w:t>
      </w:r>
      <w:proofErr w:type="spellStart"/>
      <w:r>
        <w:rPr>
          <w:color w:val="222222"/>
          <w:sz w:val="26"/>
          <w:szCs w:val="26"/>
          <w:rtl/>
        </w:rPr>
        <w:t>Brooks</w:t>
      </w:r>
      <w:proofErr w:type="spellEnd"/>
      <w:r>
        <w:rPr>
          <w:color w:val="222222"/>
          <w:sz w:val="26"/>
          <w:szCs w:val="26"/>
          <w:rtl/>
        </w:rPr>
        <w:t xml:space="preserve"> وزملائه (</w:t>
      </w:r>
      <w:proofErr w:type="spellStart"/>
      <w:r>
        <w:rPr>
          <w:color w:val="222222"/>
          <w:sz w:val="26"/>
          <w:szCs w:val="26"/>
          <w:rtl/>
        </w:rPr>
        <w:t>Brooks</w:t>
      </w:r>
      <w:proofErr w:type="spellEnd"/>
      <w:r>
        <w:rPr>
          <w:color w:val="222222"/>
          <w:sz w:val="26"/>
          <w:szCs w:val="26"/>
          <w:rtl/>
        </w:rPr>
        <w:t xml:space="preserve">, </w:t>
      </w:r>
      <w:proofErr w:type="spellStart"/>
      <w:r>
        <w:rPr>
          <w:color w:val="222222"/>
          <w:sz w:val="26"/>
          <w:szCs w:val="26"/>
          <w:rtl/>
        </w:rPr>
        <w:t>Schroeder</w:t>
      </w:r>
      <w:proofErr w:type="spellEnd"/>
      <w:r>
        <w:rPr>
          <w:color w:val="222222"/>
          <w:sz w:val="26"/>
          <w:szCs w:val="26"/>
          <w:rtl/>
        </w:rPr>
        <w:t xml:space="preserve">, </w:t>
      </w:r>
      <w:proofErr w:type="spellStart"/>
      <w:r>
        <w:rPr>
          <w:color w:val="222222"/>
          <w:sz w:val="26"/>
          <w:szCs w:val="26"/>
          <w:rtl/>
        </w:rPr>
        <w:t>Risen</w:t>
      </w:r>
      <w:proofErr w:type="spellEnd"/>
      <w:r>
        <w:rPr>
          <w:color w:val="222222"/>
          <w:sz w:val="26"/>
          <w:szCs w:val="26"/>
          <w:rtl/>
        </w:rPr>
        <w:t xml:space="preserve">, </w:t>
      </w:r>
      <w:proofErr w:type="spellStart"/>
      <w:r>
        <w:rPr>
          <w:color w:val="222222"/>
          <w:sz w:val="26"/>
          <w:szCs w:val="26"/>
          <w:rtl/>
        </w:rPr>
        <w:t>Gino</w:t>
      </w:r>
      <w:proofErr w:type="spellEnd"/>
      <w:r>
        <w:rPr>
          <w:color w:val="222222"/>
          <w:sz w:val="26"/>
          <w:szCs w:val="26"/>
          <w:rtl/>
        </w:rPr>
        <w:t xml:space="preserve">, </w:t>
      </w:r>
      <w:proofErr w:type="spellStart"/>
      <w:r>
        <w:rPr>
          <w:color w:val="222222"/>
          <w:sz w:val="26"/>
          <w:szCs w:val="26"/>
          <w:rtl/>
        </w:rPr>
        <w:t>Galinsky</w:t>
      </w:r>
      <w:proofErr w:type="spellEnd"/>
      <w:r>
        <w:rPr>
          <w:color w:val="222222"/>
          <w:sz w:val="26"/>
          <w:szCs w:val="26"/>
          <w:rtl/>
        </w:rPr>
        <w:t xml:space="preserve">, </w:t>
      </w:r>
      <w:proofErr w:type="spellStart"/>
      <w:r>
        <w:rPr>
          <w:color w:val="222222"/>
          <w:sz w:val="26"/>
          <w:szCs w:val="26"/>
          <w:rtl/>
        </w:rPr>
        <w:t>Norton</w:t>
      </w:r>
      <w:proofErr w:type="spellEnd"/>
      <w:r>
        <w:rPr>
          <w:color w:val="222222"/>
          <w:sz w:val="26"/>
          <w:szCs w:val="26"/>
          <w:rtl/>
        </w:rPr>
        <w:t xml:space="preserve">, &amp; </w:t>
      </w:r>
      <w:proofErr w:type="spellStart"/>
      <w:r>
        <w:rPr>
          <w:color w:val="222222"/>
          <w:sz w:val="26"/>
          <w:szCs w:val="26"/>
          <w:rtl/>
        </w:rPr>
        <w:t>Schweitzer</w:t>
      </w:r>
      <w:proofErr w:type="spellEnd"/>
      <w:r>
        <w:rPr>
          <w:color w:val="222222"/>
          <w:sz w:val="26"/>
          <w:szCs w:val="26"/>
          <w:rtl/>
        </w:rPr>
        <w:t>, 2016) أن الطقوس المنظَّمة والمتكررة يمكن أن تساعد في تقليل قلق الأداء (</w:t>
      </w:r>
      <w:proofErr w:type="spellStart"/>
      <w:r>
        <w:rPr>
          <w:color w:val="222222"/>
          <w:sz w:val="26"/>
          <w:szCs w:val="26"/>
          <w:rtl/>
        </w:rPr>
        <w:t>Performance</w:t>
      </w:r>
      <w:proofErr w:type="spellEnd"/>
      <w:r>
        <w:rPr>
          <w:color w:val="222222"/>
          <w:sz w:val="26"/>
          <w:szCs w:val="26"/>
          <w:rtl/>
        </w:rPr>
        <w:t xml:space="preserve"> </w:t>
      </w:r>
      <w:proofErr w:type="spellStart"/>
      <w:r>
        <w:rPr>
          <w:color w:val="222222"/>
          <w:sz w:val="26"/>
          <w:szCs w:val="26"/>
          <w:rtl/>
        </w:rPr>
        <w:t>Anxiety</w:t>
      </w:r>
      <w:proofErr w:type="spellEnd"/>
      <w:r>
        <w:rPr>
          <w:color w:val="222222"/>
          <w:sz w:val="26"/>
          <w:szCs w:val="26"/>
          <w:rtl/>
        </w:rPr>
        <w:t>) وتحسين النتائج في عدد من السياقات التجريبية، وأن الإيمان بأن السلوك يمثّل «طقسًا» — لا مجرد سلسلة عشوائية من الأفعال — كان عنصرًا حاسمًا في إحداث هذا الأثر.</w:t>
      </w:r>
    </w:p>
    <w:p w14:paraId="2345DB5F" w14:textId="77777777" w:rsidR="00333F05" w:rsidRDefault="00D14A68">
      <w:pPr>
        <w:spacing w:after="200" w:line="340" w:lineRule="auto"/>
        <w:jc w:val="both"/>
      </w:pPr>
      <w:r>
        <w:rPr>
          <w:color w:val="222222"/>
          <w:sz w:val="26"/>
          <w:szCs w:val="26"/>
          <w:rtl/>
        </w:rPr>
        <w:t>وهذا لا يثبت بالطبع أن الوضوء يخفض القلق بالآلية النفسية نفسها التي رُصدت في تلك التجارب المعملية، لكنه يقدّم فرضية تجريبية قابلة للاختبار: فإذا كان الوضوء طقسًا:</w:t>
      </w:r>
    </w:p>
    <w:p w14:paraId="49FD8E3C" w14:textId="77777777" w:rsidR="00333F05" w:rsidRDefault="00D14A68">
      <w:pPr>
        <w:pStyle w:val="a4"/>
        <w:numPr>
          <w:ilvl w:val="0"/>
          <w:numId w:val="1"/>
        </w:numPr>
        <w:bidi/>
        <w:spacing w:after="100" w:line="320" w:lineRule="auto"/>
        <w:jc w:val="right"/>
      </w:pPr>
      <w:r>
        <w:rPr>
          <w:color w:val="222222"/>
          <w:sz w:val="26"/>
          <w:szCs w:val="26"/>
          <w:rtl/>
        </w:rPr>
        <w:t>متكررًا يوميًا عدة مرات.</w:t>
      </w:r>
    </w:p>
    <w:p w14:paraId="1F467744" w14:textId="77777777" w:rsidR="00333F05" w:rsidRDefault="00D14A68">
      <w:pPr>
        <w:pStyle w:val="a4"/>
        <w:numPr>
          <w:ilvl w:val="0"/>
          <w:numId w:val="1"/>
        </w:numPr>
        <w:bidi/>
        <w:spacing w:after="100" w:line="320" w:lineRule="auto"/>
        <w:jc w:val="right"/>
      </w:pPr>
      <w:r>
        <w:rPr>
          <w:color w:val="222222"/>
          <w:sz w:val="26"/>
          <w:szCs w:val="26"/>
          <w:rtl/>
        </w:rPr>
        <w:t>منظَّمًا في تسلسل ثابت.</w:t>
      </w:r>
    </w:p>
    <w:p w14:paraId="6D5A374E" w14:textId="77777777" w:rsidR="00333F05" w:rsidRDefault="00D14A68">
      <w:pPr>
        <w:pStyle w:val="a4"/>
        <w:numPr>
          <w:ilvl w:val="0"/>
          <w:numId w:val="1"/>
        </w:numPr>
        <w:bidi/>
        <w:spacing w:after="100" w:line="320" w:lineRule="auto"/>
        <w:jc w:val="right"/>
      </w:pPr>
      <w:r>
        <w:rPr>
          <w:color w:val="222222"/>
          <w:sz w:val="26"/>
          <w:szCs w:val="26"/>
          <w:rtl/>
        </w:rPr>
        <w:t>رمزيًا يحمل دلالة تتجاوز الوظيفة الحسية.</w:t>
      </w:r>
    </w:p>
    <w:p w14:paraId="39088FBE" w14:textId="77777777" w:rsidR="00333F05" w:rsidRDefault="00D14A68">
      <w:pPr>
        <w:pStyle w:val="a4"/>
        <w:numPr>
          <w:ilvl w:val="0"/>
          <w:numId w:val="1"/>
        </w:numPr>
        <w:bidi/>
        <w:spacing w:after="100" w:line="320" w:lineRule="auto"/>
        <w:jc w:val="right"/>
      </w:pPr>
      <w:r>
        <w:rPr>
          <w:color w:val="222222"/>
          <w:sz w:val="26"/>
          <w:szCs w:val="26"/>
          <w:rtl/>
        </w:rPr>
        <w:t>مرتبطًا بغاية عبادية واضحة (الصلاة).</w:t>
      </w:r>
    </w:p>
    <w:p w14:paraId="187F2ECA" w14:textId="77777777" w:rsidR="00333F05" w:rsidRDefault="00D14A68">
      <w:pPr>
        <w:spacing w:after="200" w:line="340" w:lineRule="auto"/>
        <w:jc w:val="both"/>
      </w:pPr>
      <w:r>
        <w:rPr>
          <w:color w:val="222222"/>
          <w:sz w:val="26"/>
          <w:szCs w:val="26"/>
          <w:rtl/>
        </w:rPr>
        <w:t>فيمكن اختبار ما إذا كان يؤدي لدى بعض الممارسين إلى خفض القلق اللحظي، وزيادة الإحساس بالسيطرة الذاتية، وزيادة الاستعداد النفسي للصلاة، وزيادة الإحساس بالنقاء الأخلاقي، وتحسين التنظيم الانفعالي العام. وينبغي التأكيد أن هذه كلها فرضيات بحثية مستقبلية، وليست نتائج مثبتة في حدود الأدبيات الحالية.</w:t>
      </w:r>
    </w:p>
    <w:p w14:paraId="6232A8CA" w14:textId="77777777" w:rsidR="00333F05" w:rsidRDefault="00D14A68">
      <w:pPr>
        <w:pStyle w:val="1"/>
        <w:pBdr>
          <w:bottom w:val="single" w:sz="10" w:space="6" w:color="B8860B"/>
        </w:pBdr>
        <w:bidi/>
        <w:spacing w:before="420" w:after="220"/>
        <w:jc w:val="right"/>
      </w:pPr>
      <w:r>
        <w:rPr>
          <w:b/>
          <w:bCs/>
          <w:color w:val="1B3A5C"/>
          <w:rtl/>
        </w:rPr>
        <w:t>10. المفارقة الأخلاقية: متى يتحوّل التطهير إلى مشكلة؟</w:t>
      </w:r>
    </w:p>
    <w:p w14:paraId="4C822A12" w14:textId="77777777" w:rsidR="00333F05" w:rsidRDefault="00D14A68">
      <w:pPr>
        <w:spacing w:after="200" w:line="340" w:lineRule="auto"/>
        <w:jc w:val="both"/>
      </w:pPr>
      <w:r>
        <w:rPr>
          <w:color w:val="222222"/>
          <w:sz w:val="26"/>
          <w:szCs w:val="26"/>
          <w:rtl/>
        </w:rPr>
        <w:t xml:space="preserve">من أهم إضافات هذه النسخة الموسَّعة التأكيدُ على أن القول بأن التطهير مفيد دائمًا سيكون خطأً علميًا فادحًا. فقد أظهرت دراسة </w:t>
      </w:r>
      <w:proofErr w:type="spellStart"/>
      <w:r>
        <w:rPr>
          <w:color w:val="222222"/>
          <w:sz w:val="26"/>
          <w:szCs w:val="26"/>
          <w:rtl/>
        </w:rPr>
        <w:t>Reuven</w:t>
      </w:r>
      <w:proofErr w:type="spellEnd"/>
      <w:r>
        <w:rPr>
          <w:color w:val="222222"/>
          <w:sz w:val="26"/>
          <w:szCs w:val="26"/>
          <w:rtl/>
        </w:rPr>
        <w:t xml:space="preserve"> </w:t>
      </w:r>
      <w:proofErr w:type="spellStart"/>
      <w:r>
        <w:rPr>
          <w:color w:val="222222"/>
          <w:sz w:val="26"/>
          <w:szCs w:val="26"/>
          <w:rtl/>
        </w:rPr>
        <w:t>وLiberman</w:t>
      </w:r>
      <w:proofErr w:type="spellEnd"/>
      <w:r>
        <w:rPr>
          <w:color w:val="222222"/>
          <w:sz w:val="26"/>
          <w:szCs w:val="26"/>
          <w:rtl/>
        </w:rPr>
        <w:t xml:space="preserve"> </w:t>
      </w:r>
      <w:proofErr w:type="spellStart"/>
      <w:r>
        <w:rPr>
          <w:color w:val="222222"/>
          <w:sz w:val="26"/>
          <w:szCs w:val="26"/>
          <w:rtl/>
        </w:rPr>
        <w:t>وDar</w:t>
      </w:r>
      <w:proofErr w:type="spellEnd"/>
      <w:r>
        <w:rPr>
          <w:color w:val="222222"/>
          <w:sz w:val="26"/>
          <w:szCs w:val="26"/>
          <w:rtl/>
        </w:rPr>
        <w:t xml:space="preserve"> (2014) أن أثر التطهير الجسدي بعد استحضار فعل غير أخلاقي (تخفيف المشاعر السلبية وتقليل الاستعداد لمساعدة الآخرين) يكون أكثر وضوحًا لدى الأشخاص المصابين بالوسواس القهري (OCD) منه لدى عيّنة الضبط.</w:t>
      </w:r>
    </w:p>
    <w:p w14:paraId="3894C277" w14:textId="77777777" w:rsidR="00333F05" w:rsidRDefault="00D14A68">
      <w:pPr>
        <w:spacing w:after="200" w:line="340" w:lineRule="auto"/>
        <w:jc w:val="both"/>
      </w:pPr>
      <w:r>
        <w:rPr>
          <w:color w:val="222222"/>
          <w:sz w:val="26"/>
          <w:szCs w:val="26"/>
          <w:rtl/>
        </w:rPr>
        <w:t xml:space="preserve">والأهم أن دراسة </w:t>
      </w:r>
      <w:proofErr w:type="spellStart"/>
      <w:r>
        <w:rPr>
          <w:color w:val="222222"/>
          <w:sz w:val="26"/>
          <w:szCs w:val="26"/>
          <w:rtl/>
        </w:rPr>
        <w:t>Gilchrist</w:t>
      </w:r>
      <w:proofErr w:type="spellEnd"/>
      <w:r>
        <w:rPr>
          <w:color w:val="222222"/>
          <w:sz w:val="26"/>
          <w:szCs w:val="26"/>
          <w:rtl/>
        </w:rPr>
        <w:t xml:space="preserve"> و </w:t>
      </w:r>
      <w:proofErr w:type="spellStart"/>
      <w:r>
        <w:rPr>
          <w:color w:val="222222"/>
          <w:sz w:val="26"/>
          <w:szCs w:val="26"/>
          <w:rtl/>
        </w:rPr>
        <w:t>Schnall</w:t>
      </w:r>
      <w:proofErr w:type="spellEnd"/>
      <w:r>
        <w:rPr>
          <w:color w:val="222222"/>
          <w:sz w:val="26"/>
          <w:szCs w:val="26"/>
          <w:rtl/>
        </w:rPr>
        <w:t xml:space="preserve"> (2018)، المنشورة في </w:t>
      </w:r>
      <w:proofErr w:type="spellStart"/>
      <w:r>
        <w:rPr>
          <w:color w:val="222222"/>
          <w:sz w:val="26"/>
          <w:szCs w:val="26"/>
          <w:rtl/>
        </w:rPr>
        <w:t>Journal</w:t>
      </w:r>
      <w:proofErr w:type="spellEnd"/>
      <w:r>
        <w:rPr>
          <w:color w:val="222222"/>
          <w:sz w:val="26"/>
          <w:szCs w:val="26"/>
          <w:rtl/>
        </w:rPr>
        <w:t xml:space="preserve"> </w:t>
      </w:r>
      <w:proofErr w:type="spellStart"/>
      <w:r>
        <w:rPr>
          <w:color w:val="222222"/>
          <w:sz w:val="26"/>
          <w:szCs w:val="26"/>
          <w:rtl/>
        </w:rPr>
        <w:t>of</w:t>
      </w:r>
      <w:proofErr w:type="spellEnd"/>
      <w:r>
        <w:rPr>
          <w:color w:val="222222"/>
          <w:sz w:val="26"/>
          <w:szCs w:val="26"/>
          <w:rtl/>
        </w:rPr>
        <w:t xml:space="preserve"> </w:t>
      </w:r>
      <w:proofErr w:type="spellStart"/>
      <w:r>
        <w:rPr>
          <w:color w:val="222222"/>
          <w:sz w:val="26"/>
          <w:szCs w:val="26"/>
          <w:rtl/>
        </w:rPr>
        <w:t>Behavior</w:t>
      </w:r>
      <w:proofErr w:type="spellEnd"/>
      <w:r>
        <w:rPr>
          <w:color w:val="222222"/>
          <w:sz w:val="26"/>
          <w:szCs w:val="26"/>
          <w:rtl/>
        </w:rPr>
        <w:t xml:space="preserve"> </w:t>
      </w:r>
      <w:proofErr w:type="spellStart"/>
      <w:r>
        <w:rPr>
          <w:color w:val="222222"/>
          <w:sz w:val="26"/>
          <w:szCs w:val="26"/>
          <w:rtl/>
        </w:rPr>
        <w:t>Therapy</w:t>
      </w:r>
      <w:proofErr w:type="spellEnd"/>
      <w:r>
        <w:rPr>
          <w:color w:val="222222"/>
          <w:sz w:val="26"/>
          <w:szCs w:val="26"/>
          <w:rtl/>
        </w:rPr>
        <w:t xml:space="preserve"> </w:t>
      </w:r>
      <w:proofErr w:type="spellStart"/>
      <w:r>
        <w:rPr>
          <w:color w:val="222222"/>
          <w:sz w:val="26"/>
          <w:szCs w:val="26"/>
          <w:rtl/>
        </w:rPr>
        <w:t>and</w:t>
      </w:r>
      <w:proofErr w:type="spellEnd"/>
      <w:r>
        <w:rPr>
          <w:color w:val="222222"/>
          <w:sz w:val="26"/>
          <w:szCs w:val="26"/>
          <w:rtl/>
        </w:rPr>
        <w:t xml:space="preserve"> </w:t>
      </w:r>
      <w:proofErr w:type="spellStart"/>
      <w:r>
        <w:rPr>
          <w:color w:val="222222"/>
          <w:sz w:val="26"/>
          <w:szCs w:val="26"/>
          <w:rtl/>
        </w:rPr>
        <w:t>Experimental</w:t>
      </w:r>
      <w:proofErr w:type="spellEnd"/>
      <w:r>
        <w:rPr>
          <w:color w:val="222222"/>
          <w:sz w:val="26"/>
          <w:szCs w:val="26"/>
          <w:rtl/>
        </w:rPr>
        <w:t xml:space="preserve"> </w:t>
      </w:r>
      <w:proofErr w:type="spellStart"/>
      <w:r>
        <w:rPr>
          <w:color w:val="222222"/>
          <w:sz w:val="26"/>
          <w:szCs w:val="26"/>
          <w:rtl/>
        </w:rPr>
        <w:t>Psychiatry</w:t>
      </w:r>
      <w:proofErr w:type="spellEnd"/>
      <w:r>
        <w:rPr>
          <w:color w:val="222222"/>
          <w:sz w:val="26"/>
          <w:szCs w:val="26"/>
          <w:rtl/>
        </w:rPr>
        <w:t>، وجدت أن التطهير الجسدي بعد استحضار فعل غير أخلاقي يقلّل سلوكيات الغسل المتكرر في الظروف العادية (وهو ما يتوافق مع فرضية «التطهير الصحي»)، لكنه في وجود أفكار وسواسية مُنشَّطة (</w:t>
      </w:r>
      <w:proofErr w:type="spellStart"/>
      <w:r>
        <w:rPr>
          <w:color w:val="222222"/>
          <w:sz w:val="26"/>
          <w:szCs w:val="26"/>
          <w:rtl/>
        </w:rPr>
        <w:t>Activated</w:t>
      </w:r>
      <w:proofErr w:type="spellEnd"/>
      <w:r>
        <w:rPr>
          <w:color w:val="222222"/>
          <w:sz w:val="26"/>
          <w:szCs w:val="26"/>
          <w:rtl/>
        </w:rPr>
        <w:t xml:space="preserve"> </w:t>
      </w:r>
      <w:proofErr w:type="spellStart"/>
      <w:r>
        <w:rPr>
          <w:color w:val="222222"/>
          <w:sz w:val="26"/>
          <w:szCs w:val="26"/>
          <w:rtl/>
        </w:rPr>
        <w:t>Obsessive-Type</w:t>
      </w:r>
      <w:proofErr w:type="spellEnd"/>
      <w:r>
        <w:rPr>
          <w:color w:val="222222"/>
          <w:sz w:val="26"/>
          <w:szCs w:val="26"/>
          <w:rtl/>
        </w:rPr>
        <w:t xml:space="preserve"> </w:t>
      </w:r>
      <w:proofErr w:type="spellStart"/>
      <w:r>
        <w:rPr>
          <w:color w:val="222222"/>
          <w:sz w:val="26"/>
          <w:szCs w:val="26"/>
          <w:rtl/>
        </w:rPr>
        <w:t>Cognitions</w:t>
      </w:r>
      <w:proofErr w:type="spellEnd"/>
      <w:r>
        <w:rPr>
          <w:color w:val="222222"/>
          <w:sz w:val="26"/>
          <w:szCs w:val="26"/>
          <w:rtl/>
        </w:rPr>
        <w:t>) يؤدي إلى نتيجة معاكسة تمامًا: زيادة مشاعر الذنب وزيادة سلوكيات الغسل المتكرر، ربما لأن فعل التطهير نفسه يجعل هدف «النقاء» أكثر إلحاحًا وحضورًا في الذهن، لا أقل.</w:t>
      </w:r>
    </w:p>
    <w:p w14:paraId="3DF52579" w14:textId="77777777" w:rsidR="00333F05" w:rsidRDefault="00D14A68">
      <w:pPr>
        <w:spacing w:after="200" w:line="340" w:lineRule="auto"/>
        <w:jc w:val="both"/>
      </w:pPr>
      <w:r>
        <w:rPr>
          <w:color w:val="222222"/>
          <w:sz w:val="26"/>
          <w:szCs w:val="26"/>
          <w:rtl/>
        </w:rPr>
        <w:t>وهذا يقدّم نقطة نظرية بالغة الأهمية للنموذج الاستخلافي، يمكن صياغتها في معادلة موجزة:</w:t>
      </w:r>
    </w:p>
    <w:p w14:paraId="00AB6F6C" w14:textId="77777777" w:rsidR="00333F05" w:rsidRDefault="00D14A68">
      <w:pPr>
        <w:spacing w:after="200" w:line="340" w:lineRule="auto"/>
        <w:jc w:val="center"/>
      </w:pPr>
      <w:r>
        <w:rPr>
          <w:b/>
          <w:bCs/>
          <w:color w:val="B8860B"/>
          <w:sz w:val="30"/>
          <w:szCs w:val="30"/>
          <w:rtl/>
        </w:rPr>
        <w:t>التطهير الصحي ≠ التطهير القهري</w:t>
      </w:r>
    </w:p>
    <w:p w14:paraId="4BDE3B41" w14:textId="77777777" w:rsidR="00333F05" w:rsidRDefault="00D14A68">
      <w:pPr>
        <w:spacing w:after="200" w:line="340" w:lineRule="auto"/>
        <w:jc w:val="both"/>
      </w:pPr>
      <w:r>
        <w:rPr>
          <w:color w:val="222222"/>
          <w:sz w:val="26"/>
          <w:szCs w:val="26"/>
          <w:rtl/>
        </w:rPr>
        <w:t>فيمكن أن تكون هناك دورة صحية: «ذنب ← تطهير ← راحة ← انتهاء»، لكنها قد تتحول عند بعض الأفراد إلى دورة قهرية: «شك ← تطهير ← راحة مؤقتة ← شك جديد ← تطهير متكرر ← زيادة القلق». ومن هنا تظهر أهمية الضوابط الفقهية المتعلقة بالشك في منع هذا الانزلاق.</w:t>
      </w:r>
    </w:p>
    <w:p w14:paraId="27940F39" w14:textId="77777777" w:rsidR="00333F05" w:rsidRDefault="00D14A68">
      <w:pPr>
        <w:pStyle w:val="1"/>
        <w:pBdr>
          <w:bottom w:val="single" w:sz="10" w:space="6" w:color="B8860B"/>
        </w:pBdr>
        <w:bidi/>
        <w:spacing w:before="420" w:after="220"/>
        <w:jc w:val="right"/>
      </w:pPr>
      <w:r>
        <w:rPr>
          <w:b/>
          <w:bCs/>
          <w:color w:val="1B3A5C"/>
          <w:rtl/>
        </w:rPr>
        <w:t>11. «اليقين لا يزول بالشك» كنقطة تقاطع مثيرة للاختبار</w:t>
      </w:r>
    </w:p>
    <w:p w14:paraId="7618BE24" w14:textId="77777777" w:rsidR="00333F05" w:rsidRDefault="00D14A68">
      <w:pPr>
        <w:spacing w:after="200" w:line="340" w:lineRule="auto"/>
        <w:jc w:val="both"/>
      </w:pPr>
      <w:r>
        <w:rPr>
          <w:color w:val="222222"/>
          <w:sz w:val="26"/>
          <w:szCs w:val="26"/>
          <w:rtl/>
        </w:rPr>
        <w:t xml:space="preserve">للقاعدة الفقهية «اليقين لا يزول بالشك» تطبيق مباشر في مسائل الوضوء؛ فإذا كان الشخص متيقنًا من الطهارة ثم شكّ في انتقاضها، لا يُلغى اليقين بمجرد الشك، وتُعَدّ هذه القاعدة من القواعد الفقهية الكبرى </w:t>
      </w:r>
      <w:proofErr w:type="spellStart"/>
      <w:r>
        <w:rPr>
          <w:color w:val="222222"/>
          <w:sz w:val="26"/>
          <w:szCs w:val="26"/>
          <w:rtl/>
        </w:rPr>
        <w:t>المستقاة</w:t>
      </w:r>
      <w:proofErr w:type="spellEnd"/>
      <w:r>
        <w:rPr>
          <w:color w:val="222222"/>
          <w:sz w:val="26"/>
          <w:szCs w:val="26"/>
          <w:rtl/>
        </w:rPr>
        <w:t xml:space="preserve"> من عموم الأدلة الشرعية (ومنها حديث الرجل الذي يجد الشيء في الصلاة، فلا ينصرف حتى يسمع صوتًا أو يجد ريحًا، رواه البخاري ومسلم).</w:t>
      </w:r>
    </w:p>
    <w:p w14:paraId="2E437360" w14:textId="77777777" w:rsidR="00333F05" w:rsidRDefault="00D14A68">
      <w:pPr>
        <w:spacing w:after="200" w:line="340" w:lineRule="auto"/>
        <w:jc w:val="both"/>
      </w:pPr>
      <w:r>
        <w:rPr>
          <w:color w:val="222222"/>
          <w:sz w:val="26"/>
          <w:szCs w:val="26"/>
          <w:rtl/>
        </w:rPr>
        <w:t xml:space="preserve">ولا يصحّ علميًا القول إن هذه القاعدة «اخترعت علاجًا للوسواس القهري»، فهذا إسقاط لغائية حديثة على نص تشريعي قديم. لكن يمكن طرح فرضية أكثر تحفظًا ودقة منهجية: «بعض القواعد الفقهية المنظِّمة للتعامل مع الشك قد تعمل سلوكيًا على الحدّ من إعادة الطقوس القهرية لدى بعض الأفراد، لأن القاعدة تمنع تحويل الشك غير المتيقن إلى سلوك تطهيري متكرر». وهذه الفرضية — التي تتقاطع مباشرة مع نتائج </w:t>
      </w:r>
      <w:proofErr w:type="spellStart"/>
      <w:r>
        <w:rPr>
          <w:color w:val="222222"/>
          <w:sz w:val="26"/>
          <w:szCs w:val="26"/>
          <w:rtl/>
        </w:rPr>
        <w:t>Gilchrist</w:t>
      </w:r>
      <w:proofErr w:type="spellEnd"/>
      <w:r>
        <w:rPr>
          <w:color w:val="222222"/>
          <w:sz w:val="26"/>
          <w:szCs w:val="26"/>
          <w:rtl/>
        </w:rPr>
        <w:t xml:space="preserve"> و </w:t>
      </w:r>
      <w:proofErr w:type="spellStart"/>
      <w:r>
        <w:rPr>
          <w:color w:val="222222"/>
          <w:sz w:val="26"/>
          <w:szCs w:val="26"/>
          <w:rtl/>
        </w:rPr>
        <w:t>Schnall</w:t>
      </w:r>
      <w:proofErr w:type="spellEnd"/>
      <w:r>
        <w:rPr>
          <w:color w:val="222222"/>
          <w:sz w:val="26"/>
          <w:szCs w:val="26"/>
          <w:rtl/>
        </w:rPr>
        <w:t xml:space="preserve"> (2018) حول دور الأفكار </w:t>
      </w:r>
      <w:proofErr w:type="spellStart"/>
      <w:r>
        <w:rPr>
          <w:color w:val="222222"/>
          <w:sz w:val="26"/>
          <w:szCs w:val="26"/>
          <w:rtl/>
        </w:rPr>
        <w:t>الوسواسية</w:t>
      </w:r>
      <w:proofErr w:type="spellEnd"/>
      <w:r>
        <w:rPr>
          <w:color w:val="222222"/>
          <w:sz w:val="26"/>
          <w:szCs w:val="26"/>
          <w:rtl/>
        </w:rPr>
        <w:t xml:space="preserve"> في عكس أثر التطهير — تستحق دراسة نفسية-فقهية مستقلة تجمع بين علم النفس الإكلينيكي وأصول الفقه.</w:t>
      </w:r>
    </w:p>
    <w:p w14:paraId="6CADECEF" w14:textId="77777777" w:rsidR="00333F05" w:rsidRDefault="00D14A68">
      <w:pPr>
        <w:pStyle w:val="1"/>
        <w:pBdr>
          <w:bottom w:val="single" w:sz="10" w:space="6" w:color="B8860B"/>
        </w:pBdr>
        <w:bidi/>
        <w:spacing w:before="420" w:after="220"/>
        <w:jc w:val="right"/>
      </w:pPr>
      <w:r>
        <w:rPr>
          <w:b/>
          <w:bCs/>
          <w:color w:val="1B3A5C"/>
          <w:rtl/>
        </w:rPr>
        <w:t>12. النموذج الاستخلافي: نموذج من ست مراحل</w:t>
      </w:r>
    </w:p>
    <w:p w14:paraId="67677C77" w14:textId="77777777" w:rsidR="00333F05" w:rsidRDefault="00D14A68">
      <w:pPr>
        <w:spacing w:after="200" w:line="340" w:lineRule="auto"/>
        <w:jc w:val="both"/>
      </w:pPr>
      <w:r>
        <w:rPr>
          <w:color w:val="222222"/>
          <w:sz w:val="26"/>
          <w:szCs w:val="26"/>
          <w:rtl/>
        </w:rPr>
        <w:t>يمكن تطوير أطروحة البحث الأصلية إلى نموذج مرحلي مفصَّل يتكوَّن من ست مراحل متتابعة:</w:t>
      </w:r>
    </w:p>
    <w:p w14:paraId="081ED3CD" w14:textId="77777777" w:rsidR="00333F05" w:rsidRDefault="00D14A68">
      <w:pPr>
        <w:spacing w:after="200" w:line="340" w:lineRule="auto"/>
        <w:jc w:val="both"/>
      </w:pPr>
      <w:r>
        <w:rPr>
          <w:b/>
          <w:bCs/>
          <w:color w:val="0E6E6A"/>
          <w:sz w:val="26"/>
          <w:szCs w:val="26"/>
          <w:rtl/>
        </w:rPr>
        <w:t xml:space="preserve">المرحلة الأولى: الانتهاك: </w:t>
      </w:r>
      <w:r>
        <w:rPr>
          <w:color w:val="222222"/>
          <w:sz w:val="26"/>
          <w:szCs w:val="26"/>
          <w:rtl/>
        </w:rPr>
        <w:t>يقوم الفرد بفعل يتعارض مع منظومته الأخلاقية أو الشرعية.</w:t>
      </w:r>
    </w:p>
    <w:p w14:paraId="21B00889" w14:textId="77777777" w:rsidR="00333F05" w:rsidRDefault="00D14A68">
      <w:pPr>
        <w:spacing w:after="200" w:line="340" w:lineRule="auto"/>
        <w:jc w:val="both"/>
      </w:pPr>
      <w:r>
        <w:rPr>
          <w:b/>
          <w:bCs/>
          <w:color w:val="0E6E6A"/>
          <w:sz w:val="26"/>
          <w:szCs w:val="26"/>
          <w:rtl/>
        </w:rPr>
        <w:t xml:space="preserve">المرحلة الثانية: الوعي الأخلاقي: </w:t>
      </w:r>
      <w:r>
        <w:rPr>
          <w:color w:val="222222"/>
          <w:sz w:val="26"/>
          <w:szCs w:val="26"/>
          <w:rtl/>
        </w:rPr>
        <w:t xml:space="preserve">يكتشف الفرد التناقض بين «ما فعله» </w:t>
      </w:r>
      <w:proofErr w:type="spellStart"/>
      <w:r>
        <w:rPr>
          <w:color w:val="222222"/>
          <w:sz w:val="26"/>
          <w:szCs w:val="26"/>
          <w:rtl/>
        </w:rPr>
        <w:t>و«ما</w:t>
      </w:r>
      <w:proofErr w:type="spellEnd"/>
      <w:r>
        <w:rPr>
          <w:color w:val="222222"/>
          <w:sz w:val="26"/>
          <w:szCs w:val="26"/>
          <w:rtl/>
        </w:rPr>
        <w:t xml:space="preserve"> ينبغي أن يكون عليه» وفق معياره الداخلي.</w:t>
      </w:r>
    </w:p>
    <w:p w14:paraId="794437EC" w14:textId="77777777" w:rsidR="00333F05" w:rsidRDefault="00D14A68">
      <w:pPr>
        <w:spacing w:after="200" w:line="340" w:lineRule="auto"/>
        <w:jc w:val="both"/>
      </w:pPr>
      <w:r>
        <w:rPr>
          <w:b/>
          <w:bCs/>
          <w:color w:val="0E6E6A"/>
          <w:sz w:val="26"/>
          <w:szCs w:val="26"/>
          <w:rtl/>
        </w:rPr>
        <w:t xml:space="preserve">المرحلة الثالثة: التلوث الأخلاقي: </w:t>
      </w:r>
      <w:r>
        <w:rPr>
          <w:color w:val="222222"/>
          <w:sz w:val="26"/>
          <w:szCs w:val="26"/>
          <w:rtl/>
        </w:rPr>
        <w:t>يتولّد شعور بالذنب أو عدم الاتساق أو فقدان النقاء الأخلاقي والوجودي.</w:t>
      </w:r>
    </w:p>
    <w:p w14:paraId="492255DD" w14:textId="77777777" w:rsidR="00333F05" w:rsidRDefault="00D14A68">
      <w:pPr>
        <w:spacing w:after="200" w:line="340" w:lineRule="auto"/>
        <w:jc w:val="both"/>
      </w:pPr>
      <w:r>
        <w:rPr>
          <w:b/>
          <w:bCs/>
          <w:color w:val="0E6E6A"/>
          <w:sz w:val="26"/>
          <w:szCs w:val="26"/>
          <w:rtl/>
        </w:rPr>
        <w:t xml:space="preserve">المرحلة الرابعة: التطهير الانتقالي: </w:t>
      </w:r>
      <w:r>
        <w:rPr>
          <w:color w:val="222222"/>
          <w:sz w:val="26"/>
          <w:szCs w:val="26"/>
          <w:rtl/>
        </w:rPr>
        <w:t>يستخدم الفرد فعلًا رمزيًا أو تعبديًا أو سلوكيًا (كالوضوء) للانتقال من الحالة السابقة.</w:t>
      </w:r>
    </w:p>
    <w:p w14:paraId="4544E629" w14:textId="77777777" w:rsidR="00333F05" w:rsidRDefault="00D14A68">
      <w:pPr>
        <w:spacing w:after="200" w:line="340" w:lineRule="auto"/>
        <w:jc w:val="both"/>
      </w:pPr>
      <w:r>
        <w:rPr>
          <w:b/>
          <w:bCs/>
          <w:color w:val="0E6E6A"/>
          <w:sz w:val="26"/>
          <w:szCs w:val="26"/>
          <w:rtl/>
        </w:rPr>
        <w:t xml:space="preserve">المرحلة الخامسة: المصالحة: </w:t>
      </w:r>
      <w:r>
        <w:rPr>
          <w:color w:val="222222"/>
          <w:sz w:val="26"/>
          <w:szCs w:val="26"/>
          <w:rtl/>
        </w:rPr>
        <w:t>يعيد الفرد تنظيم علاقته بذاته وبالآخر وبالقيمة الأخلاقية التي انتهكها.</w:t>
      </w:r>
    </w:p>
    <w:p w14:paraId="7F3E9BCA" w14:textId="77777777" w:rsidR="00333F05" w:rsidRDefault="00D14A68">
      <w:pPr>
        <w:spacing w:after="200" w:line="340" w:lineRule="auto"/>
        <w:jc w:val="both"/>
      </w:pPr>
      <w:r>
        <w:rPr>
          <w:b/>
          <w:bCs/>
          <w:color w:val="0E6E6A"/>
          <w:sz w:val="26"/>
          <w:szCs w:val="26"/>
          <w:rtl/>
        </w:rPr>
        <w:t xml:space="preserve">المرحلة السادسة: الإصلاح: </w:t>
      </w:r>
      <w:r>
        <w:rPr>
          <w:color w:val="222222"/>
          <w:sz w:val="26"/>
          <w:szCs w:val="26"/>
          <w:rtl/>
        </w:rPr>
        <w:t>يتحوّل التطهير إلى فعل سلوكي جديد وملموس، لا يبقى في حدود الشعور الداخلي.</w:t>
      </w:r>
    </w:p>
    <w:p w14:paraId="1FEB9FFA" w14:textId="77777777" w:rsidR="00333F05" w:rsidRDefault="00D14A68">
      <w:pPr>
        <w:spacing w:after="200" w:line="340" w:lineRule="auto"/>
        <w:jc w:val="both"/>
      </w:pPr>
      <w:r>
        <w:rPr>
          <w:color w:val="222222"/>
          <w:sz w:val="26"/>
          <w:szCs w:val="26"/>
          <w:rtl/>
        </w:rPr>
        <w:t>وبذلك تصبح الصيغة العامة للنموذج:</w:t>
      </w:r>
    </w:p>
    <w:p w14:paraId="2D64FC95" w14:textId="77777777" w:rsidR="00333F05" w:rsidRDefault="00D14A68">
      <w:pPr>
        <w:spacing w:after="200" w:line="340" w:lineRule="auto"/>
        <w:jc w:val="center"/>
      </w:pPr>
      <w:r>
        <w:rPr>
          <w:b/>
          <w:bCs/>
          <w:color w:val="1B3A5C"/>
          <w:sz w:val="27"/>
          <w:szCs w:val="27"/>
          <w:rtl/>
        </w:rPr>
        <w:t>الذنب ← الوعي ← التطهير ← المصالحة ← الإصلاح ← إعادة بناء الذات</w:t>
      </w:r>
    </w:p>
    <w:p w14:paraId="163AB3E7" w14:textId="77777777" w:rsidR="00333F05" w:rsidRDefault="00D14A68">
      <w:pPr>
        <w:spacing w:after="200" w:line="340" w:lineRule="auto"/>
        <w:jc w:val="both"/>
      </w:pPr>
      <w:r>
        <w:rPr>
          <w:color w:val="222222"/>
          <w:sz w:val="26"/>
          <w:szCs w:val="26"/>
          <w:rtl/>
        </w:rPr>
        <w:t>وهنا تظهر الإضافة الحقيقية لنظرية TLRT كما يعرضها المشروع الاستخلافي: عدم الاكتفاء بإزالة الشعور السلبي، وإنما تحويله إلى مسار إصلاحي بنّاء يعيد تنظيم سلوك الفرد وعلاقاته.</w:t>
      </w:r>
    </w:p>
    <w:p w14:paraId="65145B3D" w14:textId="77777777" w:rsidR="00333F05" w:rsidRDefault="00D14A68">
      <w:pPr>
        <w:pStyle w:val="1"/>
        <w:pBdr>
          <w:bottom w:val="single" w:sz="10" w:space="6" w:color="B8860B"/>
        </w:pBdr>
        <w:bidi/>
        <w:spacing w:before="420" w:after="220"/>
        <w:jc w:val="right"/>
      </w:pPr>
      <w:r>
        <w:rPr>
          <w:b/>
          <w:bCs/>
          <w:color w:val="1B3A5C"/>
          <w:rtl/>
        </w:rPr>
        <w:t>13. الفرق بين النموذج الغربي والنموذج الاستخلافي</w:t>
      </w:r>
    </w:p>
    <w:p w14:paraId="58FD2773" w14:textId="77777777" w:rsidR="00333F05" w:rsidRDefault="00D14A68">
      <w:pPr>
        <w:spacing w:after="200" w:line="340" w:lineRule="auto"/>
        <w:jc w:val="both"/>
      </w:pPr>
      <w:r>
        <w:rPr>
          <w:color w:val="222222"/>
          <w:sz w:val="26"/>
          <w:szCs w:val="26"/>
          <w:rtl/>
        </w:rPr>
        <w:t>يمكن تلخيص الفروق الجوهرية بين نموذج التطهير الأخلاقي كما تعرضه الأدبيات النفسية الغربية، والنموذج الاستخلافي المقترح، في الجدول المقارن الآتي:</w:t>
      </w:r>
    </w:p>
    <w:p w14:paraId="02DF3D06" w14:textId="77777777" w:rsidR="00333F05" w:rsidRDefault="00333F05">
      <w:pPr>
        <w:spacing w:after="120"/>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600"/>
        <w:gridCol w:w="3600"/>
      </w:tblGrid>
      <w:tr w:rsidR="00333F05" w14:paraId="43A1B846" w14:textId="77777777">
        <w:tblPrEx>
          <w:tblCellMar>
            <w:top w:w="0" w:type="dxa"/>
            <w:bottom w:w="0" w:type="dxa"/>
          </w:tblCellMar>
        </w:tblPrEx>
        <w:trPr>
          <w:tblHeader/>
        </w:trPr>
        <w:tc>
          <w:tcPr>
            <w:tcW w:w="2200" w:type="dxa"/>
            <w:shd w:val="clear" w:color="auto" w:fill="1B3A5C"/>
            <w:tcMar>
              <w:top w:w="120" w:type="dxa"/>
              <w:left w:w="120" w:type="dxa"/>
              <w:bottom w:w="120" w:type="dxa"/>
              <w:right w:w="120" w:type="dxa"/>
            </w:tcMar>
            <w:vAlign w:val="center"/>
          </w:tcPr>
          <w:p w14:paraId="4934C547" w14:textId="77777777" w:rsidR="00333F05" w:rsidRDefault="00D14A68">
            <w:pPr>
              <w:jc w:val="center"/>
            </w:pPr>
            <w:r>
              <w:rPr>
                <w:b/>
                <w:bCs/>
                <w:color w:val="FFFFFF"/>
                <w:sz w:val="23"/>
                <w:szCs w:val="23"/>
                <w:rtl/>
              </w:rPr>
              <w:t>البعد</w:t>
            </w:r>
          </w:p>
        </w:tc>
        <w:tc>
          <w:tcPr>
            <w:tcW w:w="3600" w:type="dxa"/>
            <w:shd w:val="clear" w:color="auto" w:fill="1B3A5C"/>
            <w:tcMar>
              <w:top w:w="120" w:type="dxa"/>
              <w:left w:w="120" w:type="dxa"/>
              <w:bottom w:w="120" w:type="dxa"/>
              <w:right w:w="120" w:type="dxa"/>
            </w:tcMar>
            <w:vAlign w:val="center"/>
          </w:tcPr>
          <w:p w14:paraId="0881142F" w14:textId="77777777" w:rsidR="00333F05" w:rsidRDefault="00D14A68">
            <w:pPr>
              <w:jc w:val="center"/>
            </w:pPr>
            <w:r>
              <w:rPr>
                <w:b/>
                <w:bCs/>
                <w:color w:val="FFFFFF"/>
                <w:sz w:val="23"/>
                <w:szCs w:val="23"/>
                <w:rtl/>
              </w:rPr>
              <w:t>التطهير الأخلاقي في الأدبيات النفسية</w:t>
            </w:r>
          </w:p>
        </w:tc>
        <w:tc>
          <w:tcPr>
            <w:tcW w:w="3600" w:type="dxa"/>
            <w:shd w:val="clear" w:color="auto" w:fill="1B3A5C"/>
            <w:tcMar>
              <w:top w:w="120" w:type="dxa"/>
              <w:left w:w="120" w:type="dxa"/>
              <w:bottom w:w="120" w:type="dxa"/>
              <w:right w:w="120" w:type="dxa"/>
            </w:tcMar>
            <w:vAlign w:val="center"/>
          </w:tcPr>
          <w:p w14:paraId="5AEFFBF4" w14:textId="77777777" w:rsidR="00333F05" w:rsidRDefault="00D14A68">
            <w:pPr>
              <w:jc w:val="center"/>
            </w:pPr>
            <w:r>
              <w:rPr>
                <w:b/>
                <w:bCs/>
                <w:color w:val="FFFFFF"/>
                <w:sz w:val="23"/>
                <w:szCs w:val="23"/>
                <w:rtl/>
              </w:rPr>
              <w:t>النموذج الاستخلافي المقترح</w:t>
            </w:r>
          </w:p>
        </w:tc>
      </w:tr>
      <w:tr w:rsidR="00333F05" w14:paraId="751CDDC5" w14:textId="77777777">
        <w:tblPrEx>
          <w:tblCellMar>
            <w:top w:w="0" w:type="dxa"/>
            <w:bottom w:w="0" w:type="dxa"/>
          </w:tblCellMar>
        </w:tblPrEx>
        <w:tc>
          <w:tcPr>
            <w:tcW w:w="2200" w:type="dxa"/>
            <w:shd w:val="clear" w:color="auto" w:fill="FFFFFF"/>
            <w:tcMar>
              <w:top w:w="100" w:type="dxa"/>
              <w:left w:w="120" w:type="dxa"/>
              <w:bottom w:w="100" w:type="dxa"/>
              <w:right w:w="120" w:type="dxa"/>
            </w:tcMar>
          </w:tcPr>
          <w:p w14:paraId="2E274034" w14:textId="77777777" w:rsidR="00333F05" w:rsidRDefault="00D14A68">
            <w:pPr>
              <w:jc w:val="center"/>
            </w:pPr>
            <w:r>
              <w:rPr>
                <w:b/>
                <w:bCs/>
                <w:color w:val="222222"/>
                <w:sz w:val="21"/>
                <w:szCs w:val="21"/>
                <w:rtl/>
              </w:rPr>
              <w:t>نقطة البداية</w:t>
            </w:r>
          </w:p>
        </w:tc>
        <w:tc>
          <w:tcPr>
            <w:tcW w:w="3600" w:type="dxa"/>
            <w:shd w:val="clear" w:color="auto" w:fill="FFFFFF"/>
            <w:tcMar>
              <w:top w:w="100" w:type="dxa"/>
              <w:left w:w="120" w:type="dxa"/>
              <w:bottom w:w="100" w:type="dxa"/>
              <w:right w:w="120" w:type="dxa"/>
            </w:tcMar>
          </w:tcPr>
          <w:p w14:paraId="32D6DE83" w14:textId="77777777" w:rsidR="00333F05" w:rsidRDefault="00D14A68">
            <w:pPr>
              <w:jc w:val="right"/>
            </w:pPr>
            <w:r>
              <w:rPr>
                <w:color w:val="222222"/>
                <w:sz w:val="21"/>
                <w:szCs w:val="21"/>
                <w:rtl/>
              </w:rPr>
              <w:t>تهديد صورة الذات الأخلاقية</w:t>
            </w:r>
          </w:p>
        </w:tc>
        <w:tc>
          <w:tcPr>
            <w:tcW w:w="3600" w:type="dxa"/>
            <w:shd w:val="clear" w:color="auto" w:fill="FFFFFF"/>
            <w:tcMar>
              <w:top w:w="100" w:type="dxa"/>
              <w:left w:w="120" w:type="dxa"/>
              <w:bottom w:w="100" w:type="dxa"/>
              <w:right w:w="120" w:type="dxa"/>
            </w:tcMar>
          </w:tcPr>
          <w:p w14:paraId="78231656" w14:textId="77777777" w:rsidR="00333F05" w:rsidRDefault="00D14A68">
            <w:pPr>
              <w:jc w:val="right"/>
            </w:pPr>
            <w:r>
              <w:rPr>
                <w:color w:val="222222"/>
                <w:sz w:val="21"/>
                <w:szCs w:val="21"/>
                <w:rtl/>
              </w:rPr>
              <w:t>انحراف عن الفطرة/القيمة</w:t>
            </w:r>
          </w:p>
        </w:tc>
      </w:tr>
      <w:tr w:rsidR="00333F05" w14:paraId="1C5D4B87" w14:textId="77777777">
        <w:tblPrEx>
          <w:tblCellMar>
            <w:top w:w="0" w:type="dxa"/>
            <w:bottom w:w="0" w:type="dxa"/>
          </w:tblCellMar>
        </w:tblPrEx>
        <w:tc>
          <w:tcPr>
            <w:tcW w:w="2200" w:type="dxa"/>
            <w:shd w:val="clear" w:color="auto" w:fill="F4F4F4"/>
            <w:tcMar>
              <w:top w:w="100" w:type="dxa"/>
              <w:left w:w="120" w:type="dxa"/>
              <w:bottom w:w="100" w:type="dxa"/>
              <w:right w:w="120" w:type="dxa"/>
            </w:tcMar>
          </w:tcPr>
          <w:p w14:paraId="6F74CA6C" w14:textId="77777777" w:rsidR="00333F05" w:rsidRDefault="00D14A68">
            <w:pPr>
              <w:jc w:val="center"/>
            </w:pPr>
            <w:r>
              <w:rPr>
                <w:b/>
                <w:bCs/>
                <w:color w:val="222222"/>
                <w:sz w:val="21"/>
                <w:szCs w:val="21"/>
                <w:rtl/>
              </w:rPr>
              <w:t>طبيعة المشكلة</w:t>
            </w:r>
          </w:p>
        </w:tc>
        <w:tc>
          <w:tcPr>
            <w:tcW w:w="3600" w:type="dxa"/>
            <w:shd w:val="clear" w:color="auto" w:fill="F4F4F4"/>
            <w:tcMar>
              <w:top w:w="100" w:type="dxa"/>
              <w:left w:w="120" w:type="dxa"/>
              <w:bottom w:w="100" w:type="dxa"/>
              <w:right w:w="120" w:type="dxa"/>
            </w:tcMar>
          </w:tcPr>
          <w:p w14:paraId="6E8674D0" w14:textId="77777777" w:rsidR="00333F05" w:rsidRDefault="00D14A68">
            <w:pPr>
              <w:jc w:val="right"/>
            </w:pPr>
            <w:r>
              <w:rPr>
                <w:color w:val="222222"/>
                <w:sz w:val="21"/>
                <w:szCs w:val="21"/>
                <w:rtl/>
              </w:rPr>
              <w:t>شعور بالذنب أو عدم الاتساق المعرفي</w:t>
            </w:r>
          </w:p>
        </w:tc>
        <w:tc>
          <w:tcPr>
            <w:tcW w:w="3600" w:type="dxa"/>
            <w:shd w:val="clear" w:color="auto" w:fill="F4F4F4"/>
            <w:tcMar>
              <w:top w:w="100" w:type="dxa"/>
              <w:left w:w="120" w:type="dxa"/>
              <w:bottom w:w="100" w:type="dxa"/>
              <w:right w:w="120" w:type="dxa"/>
            </w:tcMar>
          </w:tcPr>
          <w:p w14:paraId="373C38D6" w14:textId="77777777" w:rsidR="00333F05" w:rsidRDefault="00D14A68">
            <w:pPr>
              <w:jc w:val="right"/>
            </w:pPr>
            <w:r>
              <w:rPr>
                <w:color w:val="222222"/>
                <w:sz w:val="21"/>
                <w:szCs w:val="21"/>
                <w:rtl/>
              </w:rPr>
              <w:t>اختلال أخلاقي ووجودي شامل</w:t>
            </w:r>
          </w:p>
        </w:tc>
      </w:tr>
      <w:tr w:rsidR="00333F05" w14:paraId="42629B75" w14:textId="77777777">
        <w:tblPrEx>
          <w:tblCellMar>
            <w:top w:w="0" w:type="dxa"/>
            <w:bottom w:w="0" w:type="dxa"/>
          </w:tblCellMar>
        </w:tblPrEx>
        <w:tc>
          <w:tcPr>
            <w:tcW w:w="2200" w:type="dxa"/>
            <w:shd w:val="clear" w:color="auto" w:fill="FFFFFF"/>
            <w:tcMar>
              <w:top w:w="100" w:type="dxa"/>
              <w:left w:w="120" w:type="dxa"/>
              <w:bottom w:w="100" w:type="dxa"/>
              <w:right w:w="120" w:type="dxa"/>
            </w:tcMar>
          </w:tcPr>
          <w:p w14:paraId="42272F18" w14:textId="77777777" w:rsidR="00333F05" w:rsidRDefault="00D14A68">
            <w:pPr>
              <w:jc w:val="center"/>
            </w:pPr>
            <w:r>
              <w:rPr>
                <w:b/>
                <w:bCs/>
                <w:color w:val="222222"/>
                <w:sz w:val="21"/>
                <w:szCs w:val="21"/>
                <w:rtl/>
              </w:rPr>
              <w:t>آلية التطهير</w:t>
            </w:r>
          </w:p>
        </w:tc>
        <w:tc>
          <w:tcPr>
            <w:tcW w:w="3600" w:type="dxa"/>
            <w:shd w:val="clear" w:color="auto" w:fill="FFFFFF"/>
            <w:tcMar>
              <w:top w:w="100" w:type="dxa"/>
              <w:left w:w="120" w:type="dxa"/>
              <w:bottom w:w="100" w:type="dxa"/>
              <w:right w:w="120" w:type="dxa"/>
            </w:tcMar>
          </w:tcPr>
          <w:p w14:paraId="74467645" w14:textId="77777777" w:rsidR="00333F05" w:rsidRDefault="00D14A68">
            <w:pPr>
              <w:jc w:val="right"/>
            </w:pPr>
            <w:r>
              <w:rPr>
                <w:color w:val="222222"/>
                <w:sz w:val="21"/>
                <w:szCs w:val="21"/>
                <w:rtl/>
              </w:rPr>
              <w:t>جسدي أو رمزي أو سلوكي</w:t>
            </w:r>
          </w:p>
        </w:tc>
        <w:tc>
          <w:tcPr>
            <w:tcW w:w="3600" w:type="dxa"/>
            <w:shd w:val="clear" w:color="auto" w:fill="FFFFFF"/>
            <w:tcMar>
              <w:top w:w="100" w:type="dxa"/>
              <w:left w:w="120" w:type="dxa"/>
              <w:bottom w:w="100" w:type="dxa"/>
              <w:right w:w="120" w:type="dxa"/>
            </w:tcMar>
          </w:tcPr>
          <w:p w14:paraId="4E342B01" w14:textId="77777777" w:rsidR="00333F05" w:rsidRDefault="00D14A68">
            <w:pPr>
              <w:jc w:val="right"/>
            </w:pPr>
            <w:r>
              <w:rPr>
                <w:color w:val="222222"/>
                <w:sz w:val="21"/>
                <w:szCs w:val="21"/>
                <w:rtl/>
              </w:rPr>
              <w:t>جسدي + تعبدي + نفسي + سلوكي</w:t>
            </w:r>
          </w:p>
        </w:tc>
      </w:tr>
      <w:tr w:rsidR="00333F05" w14:paraId="15FC23B4" w14:textId="77777777">
        <w:tblPrEx>
          <w:tblCellMar>
            <w:top w:w="0" w:type="dxa"/>
            <w:bottom w:w="0" w:type="dxa"/>
          </w:tblCellMar>
        </w:tblPrEx>
        <w:tc>
          <w:tcPr>
            <w:tcW w:w="2200" w:type="dxa"/>
            <w:shd w:val="clear" w:color="auto" w:fill="F4F4F4"/>
            <w:tcMar>
              <w:top w:w="100" w:type="dxa"/>
              <w:left w:w="120" w:type="dxa"/>
              <w:bottom w:w="100" w:type="dxa"/>
              <w:right w:w="120" w:type="dxa"/>
            </w:tcMar>
          </w:tcPr>
          <w:p w14:paraId="5BF2A607" w14:textId="77777777" w:rsidR="00333F05" w:rsidRDefault="00D14A68">
            <w:pPr>
              <w:jc w:val="center"/>
            </w:pPr>
            <w:r>
              <w:rPr>
                <w:b/>
                <w:bCs/>
                <w:color w:val="222222"/>
                <w:sz w:val="21"/>
                <w:szCs w:val="21"/>
                <w:rtl/>
              </w:rPr>
              <w:t>الهدف المباشر</w:t>
            </w:r>
          </w:p>
        </w:tc>
        <w:tc>
          <w:tcPr>
            <w:tcW w:w="3600" w:type="dxa"/>
            <w:shd w:val="clear" w:color="auto" w:fill="F4F4F4"/>
            <w:tcMar>
              <w:top w:w="100" w:type="dxa"/>
              <w:left w:w="120" w:type="dxa"/>
              <w:bottom w:w="100" w:type="dxa"/>
              <w:right w:w="120" w:type="dxa"/>
            </w:tcMar>
          </w:tcPr>
          <w:p w14:paraId="06D8422C" w14:textId="77777777" w:rsidR="00333F05" w:rsidRDefault="00D14A68">
            <w:pPr>
              <w:jc w:val="right"/>
            </w:pPr>
            <w:r>
              <w:rPr>
                <w:color w:val="222222"/>
                <w:sz w:val="21"/>
                <w:szCs w:val="21"/>
                <w:rtl/>
              </w:rPr>
              <w:t>استعادة صورة الذات الإيجابية</w:t>
            </w:r>
          </w:p>
        </w:tc>
        <w:tc>
          <w:tcPr>
            <w:tcW w:w="3600" w:type="dxa"/>
            <w:shd w:val="clear" w:color="auto" w:fill="F4F4F4"/>
            <w:tcMar>
              <w:top w:w="100" w:type="dxa"/>
              <w:left w:w="120" w:type="dxa"/>
              <w:bottom w:w="100" w:type="dxa"/>
              <w:right w:w="120" w:type="dxa"/>
            </w:tcMar>
          </w:tcPr>
          <w:p w14:paraId="316F4D7B" w14:textId="77777777" w:rsidR="00333F05" w:rsidRDefault="00D14A68">
            <w:pPr>
              <w:jc w:val="right"/>
            </w:pPr>
            <w:r>
              <w:rPr>
                <w:color w:val="222222"/>
                <w:sz w:val="21"/>
                <w:szCs w:val="21"/>
                <w:rtl/>
              </w:rPr>
              <w:t>المصالحة وإعادة البناء</w:t>
            </w:r>
          </w:p>
        </w:tc>
      </w:tr>
      <w:tr w:rsidR="00333F05" w14:paraId="4753E23C" w14:textId="77777777">
        <w:tblPrEx>
          <w:tblCellMar>
            <w:top w:w="0" w:type="dxa"/>
            <w:bottom w:w="0" w:type="dxa"/>
          </w:tblCellMar>
        </w:tblPrEx>
        <w:tc>
          <w:tcPr>
            <w:tcW w:w="2200" w:type="dxa"/>
            <w:shd w:val="clear" w:color="auto" w:fill="FFFFFF"/>
            <w:tcMar>
              <w:top w:w="100" w:type="dxa"/>
              <w:left w:w="120" w:type="dxa"/>
              <w:bottom w:w="100" w:type="dxa"/>
              <w:right w:w="120" w:type="dxa"/>
            </w:tcMar>
          </w:tcPr>
          <w:p w14:paraId="04F276D4" w14:textId="77777777" w:rsidR="00333F05" w:rsidRDefault="00D14A68">
            <w:pPr>
              <w:jc w:val="center"/>
            </w:pPr>
            <w:r>
              <w:rPr>
                <w:b/>
                <w:bCs/>
                <w:color w:val="222222"/>
                <w:sz w:val="21"/>
                <w:szCs w:val="21"/>
                <w:rtl/>
              </w:rPr>
              <w:t>الهدف النهائي</w:t>
            </w:r>
          </w:p>
        </w:tc>
        <w:tc>
          <w:tcPr>
            <w:tcW w:w="3600" w:type="dxa"/>
            <w:shd w:val="clear" w:color="auto" w:fill="FFFFFF"/>
            <w:tcMar>
              <w:top w:w="100" w:type="dxa"/>
              <w:left w:w="120" w:type="dxa"/>
              <w:bottom w:w="100" w:type="dxa"/>
              <w:right w:w="120" w:type="dxa"/>
            </w:tcMar>
          </w:tcPr>
          <w:p w14:paraId="64C54C99" w14:textId="77777777" w:rsidR="00333F05" w:rsidRDefault="00D14A68">
            <w:pPr>
              <w:jc w:val="right"/>
            </w:pPr>
            <w:r>
              <w:rPr>
                <w:color w:val="222222"/>
                <w:sz w:val="21"/>
                <w:szCs w:val="21"/>
                <w:rtl/>
              </w:rPr>
              <w:t>استعادة الاتزان النفسي</w:t>
            </w:r>
          </w:p>
        </w:tc>
        <w:tc>
          <w:tcPr>
            <w:tcW w:w="3600" w:type="dxa"/>
            <w:shd w:val="clear" w:color="auto" w:fill="FFFFFF"/>
            <w:tcMar>
              <w:top w:w="100" w:type="dxa"/>
              <w:left w:w="120" w:type="dxa"/>
              <w:bottom w:w="100" w:type="dxa"/>
              <w:right w:w="120" w:type="dxa"/>
            </w:tcMar>
          </w:tcPr>
          <w:p w14:paraId="00188285" w14:textId="77777777" w:rsidR="00333F05" w:rsidRDefault="00D14A68">
            <w:pPr>
              <w:jc w:val="right"/>
            </w:pPr>
            <w:r>
              <w:rPr>
                <w:color w:val="222222"/>
                <w:sz w:val="21"/>
                <w:szCs w:val="21"/>
                <w:rtl/>
              </w:rPr>
              <w:t xml:space="preserve">الإصلاح والإحسان </w:t>
            </w:r>
            <w:proofErr w:type="spellStart"/>
            <w:r>
              <w:rPr>
                <w:color w:val="222222"/>
                <w:sz w:val="21"/>
                <w:szCs w:val="21"/>
                <w:rtl/>
              </w:rPr>
              <w:t>والاستخلاف</w:t>
            </w:r>
            <w:proofErr w:type="spellEnd"/>
          </w:p>
        </w:tc>
      </w:tr>
      <w:tr w:rsidR="00333F05" w14:paraId="2033EE23" w14:textId="77777777">
        <w:tblPrEx>
          <w:tblCellMar>
            <w:top w:w="0" w:type="dxa"/>
            <w:bottom w:w="0" w:type="dxa"/>
          </w:tblCellMar>
        </w:tblPrEx>
        <w:tc>
          <w:tcPr>
            <w:tcW w:w="2200" w:type="dxa"/>
            <w:shd w:val="clear" w:color="auto" w:fill="F4F4F4"/>
            <w:tcMar>
              <w:top w:w="100" w:type="dxa"/>
              <w:left w:w="120" w:type="dxa"/>
              <w:bottom w:w="100" w:type="dxa"/>
              <w:right w:w="120" w:type="dxa"/>
            </w:tcMar>
          </w:tcPr>
          <w:p w14:paraId="781B014B" w14:textId="77777777" w:rsidR="00333F05" w:rsidRDefault="00D14A68">
            <w:pPr>
              <w:jc w:val="center"/>
            </w:pPr>
            <w:r>
              <w:rPr>
                <w:b/>
                <w:bCs/>
                <w:color w:val="222222"/>
                <w:sz w:val="21"/>
                <w:szCs w:val="21"/>
                <w:rtl/>
              </w:rPr>
              <w:t>العلاقة بالآخر</w:t>
            </w:r>
          </w:p>
        </w:tc>
        <w:tc>
          <w:tcPr>
            <w:tcW w:w="3600" w:type="dxa"/>
            <w:shd w:val="clear" w:color="auto" w:fill="F4F4F4"/>
            <w:tcMar>
              <w:top w:w="100" w:type="dxa"/>
              <w:left w:w="120" w:type="dxa"/>
              <w:bottom w:w="100" w:type="dxa"/>
              <w:right w:w="120" w:type="dxa"/>
            </w:tcMar>
          </w:tcPr>
          <w:p w14:paraId="3F0D9E7F" w14:textId="77777777" w:rsidR="00333F05" w:rsidRDefault="00D14A68">
            <w:pPr>
              <w:jc w:val="right"/>
            </w:pPr>
            <w:r>
              <w:rPr>
                <w:color w:val="222222"/>
                <w:sz w:val="21"/>
                <w:szCs w:val="21"/>
                <w:rtl/>
              </w:rPr>
              <w:t>قد تكون ثانوية أو غائبة</w:t>
            </w:r>
          </w:p>
        </w:tc>
        <w:tc>
          <w:tcPr>
            <w:tcW w:w="3600" w:type="dxa"/>
            <w:shd w:val="clear" w:color="auto" w:fill="F4F4F4"/>
            <w:tcMar>
              <w:top w:w="100" w:type="dxa"/>
              <w:left w:w="120" w:type="dxa"/>
              <w:bottom w:w="100" w:type="dxa"/>
              <w:right w:w="120" w:type="dxa"/>
            </w:tcMar>
          </w:tcPr>
          <w:p w14:paraId="0886388B" w14:textId="77777777" w:rsidR="00333F05" w:rsidRDefault="00D14A68">
            <w:pPr>
              <w:jc w:val="right"/>
            </w:pPr>
            <w:r>
              <w:rPr>
                <w:color w:val="222222"/>
                <w:sz w:val="21"/>
                <w:szCs w:val="21"/>
                <w:rtl/>
              </w:rPr>
              <w:t>مركزية عند وجود حقّ للآخر</w:t>
            </w:r>
          </w:p>
        </w:tc>
      </w:tr>
      <w:tr w:rsidR="00333F05" w14:paraId="022A6FBB" w14:textId="77777777">
        <w:tblPrEx>
          <w:tblCellMar>
            <w:top w:w="0" w:type="dxa"/>
            <w:bottom w:w="0" w:type="dxa"/>
          </w:tblCellMar>
        </w:tblPrEx>
        <w:tc>
          <w:tcPr>
            <w:tcW w:w="2200" w:type="dxa"/>
            <w:shd w:val="clear" w:color="auto" w:fill="FFFFFF"/>
            <w:tcMar>
              <w:top w:w="100" w:type="dxa"/>
              <w:left w:w="120" w:type="dxa"/>
              <w:bottom w:w="100" w:type="dxa"/>
              <w:right w:w="120" w:type="dxa"/>
            </w:tcMar>
          </w:tcPr>
          <w:p w14:paraId="03436CB1" w14:textId="77777777" w:rsidR="00333F05" w:rsidRDefault="00D14A68">
            <w:pPr>
              <w:jc w:val="center"/>
            </w:pPr>
            <w:r>
              <w:rPr>
                <w:b/>
                <w:bCs/>
                <w:color w:val="222222"/>
                <w:sz w:val="21"/>
                <w:szCs w:val="21"/>
                <w:rtl/>
              </w:rPr>
              <w:t>مكانة الذنب</w:t>
            </w:r>
          </w:p>
        </w:tc>
        <w:tc>
          <w:tcPr>
            <w:tcW w:w="3600" w:type="dxa"/>
            <w:shd w:val="clear" w:color="auto" w:fill="FFFFFF"/>
            <w:tcMar>
              <w:top w:w="100" w:type="dxa"/>
              <w:left w:w="120" w:type="dxa"/>
              <w:bottom w:w="100" w:type="dxa"/>
              <w:right w:w="120" w:type="dxa"/>
            </w:tcMar>
          </w:tcPr>
          <w:p w14:paraId="4CAD69B6" w14:textId="77777777" w:rsidR="00333F05" w:rsidRDefault="00D14A68">
            <w:pPr>
              <w:jc w:val="right"/>
            </w:pPr>
            <w:r>
              <w:rPr>
                <w:color w:val="222222"/>
                <w:sz w:val="21"/>
                <w:szCs w:val="21"/>
                <w:rtl/>
              </w:rPr>
              <w:t>حالة نفسية عابرة</w:t>
            </w:r>
          </w:p>
        </w:tc>
        <w:tc>
          <w:tcPr>
            <w:tcW w:w="3600" w:type="dxa"/>
            <w:shd w:val="clear" w:color="auto" w:fill="FFFFFF"/>
            <w:tcMar>
              <w:top w:w="100" w:type="dxa"/>
              <w:left w:w="120" w:type="dxa"/>
              <w:bottom w:w="100" w:type="dxa"/>
              <w:right w:w="120" w:type="dxa"/>
            </w:tcMar>
          </w:tcPr>
          <w:p w14:paraId="33BD59CA" w14:textId="77777777" w:rsidR="00333F05" w:rsidRDefault="00D14A68">
            <w:pPr>
              <w:jc w:val="right"/>
            </w:pPr>
            <w:r>
              <w:rPr>
                <w:color w:val="222222"/>
                <w:sz w:val="21"/>
                <w:szCs w:val="21"/>
                <w:rtl/>
              </w:rPr>
              <w:t>مدخل إلى مسار إصلاحي ممتد</w:t>
            </w:r>
          </w:p>
        </w:tc>
      </w:tr>
      <w:tr w:rsidR="00333F05" w14:paraId="6B201E63" w14:textId="77777777">
        <w:tblPrEx>
          <w:tblCellMar>
            <w:top w:w="0" w:type="dxa"/>
            <w:bottom w:w="0" w:type="dxa"/>
          </w:tblCellMar>
        </w:tblPrEx>
        <w:tc>
          <w:tcPr>
            <w:tcW w:w="2200" w:type="dxa"/>
            <w:shd w:val="clear" w:color="auto" w:fill="F4F4F4"/>
            <w:tcMar>
              <w:top w:w="100" w:type="dxa"/>
              <w:left w:w="120" w:type="dxa"/>
              <w:bottom w:w="100" w:type="dxa"/>
              <w:right w:w="120" w:type="dxa"/>
            </w:tcMar>
          </w:tcPr>
          <w:p w14:paraId="310D0824" w14:textId="77777777" w:rsidR="00333F05" w:rsidRDefault="00D14A68">
            <w:pPr>
              <w:jc w:val="center"/>
            </w:pPr>
            <w:r>
              <w:rPr>
                <w:b/>
                <w:bCs/>
                <w:color w:val="222222"/>
                <w:sz w:val="21"/>
                <w:szCs w:val="21"/>
                <w:rtl/>
              </w:rPr>
              <w:t>الخطر الكامن</w:t>
            </w:r>
          </w:p>
        </w:tc>
        <w:tc>
          <w:tcPr>
            <w:tcW w:w="3600" w:type="dxa"/>
            <w:shd w:val="clear" w:color="auto" w:fill="F4F4F4"/>
            <w:tcMar>
              <w:top w:w="100" w:type="dxa"/>
              <w:left w:w="120" w:type="dxa"/>
              <w:bottom w:w="100" w:type="dxa"/>
              <w:right w:w="120" w:type="dxa"/>
            </w:tcMar>
          </w:tcPr>
          <w:p w14:paraId="5BFE1130" w14:textId="77777777" w:rsidR="00333F05" w:rsidRDefault="00D14A68">
            <w:pPr>
              <w:jc w:val="right"/>
            </w:pPr>
            <w:r>
              <w:rPr>
                <w:color w:val="222222"/>
                <w:sz w:val="21"/>
                <w:szCs w:val="21"/>
                <w:rtl/>
              </w:rPr>
              <w:t>التطهير القهري (انظر §10)</w:t>
            </w:r>
          </w:p>
        </w:tc>
        <w:tc>
          <w:tcPr>
            <w:tcW w:w="3600" w:type="dxa"/>
            <w:shd w:val="clear" w:color="auto" w:fill="F4F4F4"/>
            <w:tcMar>
              <w:top w:w="100" w:type="dxa"/>
              <w:left w:w="120" w:type="dxa"/>
              <w:bottom w:w="100" w:type="dxa"/>
              <w:right w:w="120" w:type="dxa"/>
            </w:tcMar>
          </w:tcPr>
          <w:p w14:paraId="3CE6538D" w14:textId="77777777" w:rsidR="00333F05" w:rsidRDefault="00D14A68">
            <w:pPr>
              <w:jc w:val="right"/>
            </w:pPr>
            <w:r>
              <w:rPr>
                <w:color w:val="222222"/>
                <w:sz w:val="21"/>
                <w:szCs w:val="21"/>
                <w:rtl/>
              </w:rPr>
              <w:t>يحتاج إلى ضوابط شرعية تمنع الوسواس</w:t>
            </w:r>
          </w:p>
        </w:tc>
      </w:tr>
      <w:tr w:rsidR="00333F05" w14:paraId="76C1BE91" w14:textId="77777777">
        <w:tblPrEx>
          <w:tblCellMar>
            <w:top w:w="0" w:type="dxa"/>
            <w:bottom w:w="0" w:type="dxa"/>
          </w:tblCellMar>
        </w:tblPrEx>
        <w:tc>
          <w:tcPr>
            <w:tcW w:w="2200" w:type="dxa"/>
            <w:shd w:val="clear" w:color="auto" w:fill="FFFFFF"/>
            <w:tcMar>
              <w:top w:w="100" w:type="dxa"/>
              <w:left w:w="120" w:type="dxa"/>
              <w:bottom w:w="100" w:type="dxa"/>
              <w:right w:w="120" w:type="dxa"/>
            </w:tcMar>
          </w:tcPr>
          <w:p w14:paraId="4A3AB7D2" w14:textId="77777777" w:rsidR="00333F05" w:rsidRDefault="00D14A68">
            <w:pPr>
              <w:jc w:val="center"/>
            </w:pPr>
            <w:r>
              <w:rPr>
                <w:b/>
                <w:bCs/>
                <w:color w:val="222222"/>
                <w:sz w:val="21"/>
                <w:szCs w:val="21"/>
                <w:rtl/>
              </w:rPr>
              <w:t>معيار النجاح</w:t>
            </w:r>
          </w:p>
        </w:tc>
        <w:tc>
          <w:tcPr>
            <w:tcW w:w="3600" w:type="dxa"/>
            <w:shd w:val="clear" w:color="auto" w:fill="FFFFFF"/>
            <w:tcMar>
              <w:top w:w="100" w:type="dxa"/>
              <w:left w:w="120" w:type="dxa"/>
              <w:bottom w:w="100" w:type="dxa"/>
              <w:right w:w="120" w:type="dxa"/>
            </w:tcMar>
          </w:tcPr>
          <w:p w14:paraId="49AAD6DE" w14:textId="77777777" w:rsidR="00333F05" w:rsidRDefault="00D14A68">
            <w:pPr>
              <w:jc w:val="right"/>
            </w:pPr>
            <w:r>
              <w:rPr>
                <w:color w:val="222222"/>
                <w:sz w:val="21"/>
                <w:szCs w:val="21"/>
                <w:rtl/>
              </w:rPr>
              <w:t>انخفاض الضيق / استعادة صورة الذات</w:t>
            </w:r>
          </w:p>
        </w:tc>
        <w:tc>
          <w:tcPr>
            <w:tcW w:w="3600" w:type="dxa"/>
            <w:shd w:val="clear" w:color="auto" w:fill="FFFFFF"/>
            <w:tcMar>
              <w:top w:w="100" w:type="dxa"/>
              <w:left w:w="120" w:type="dxa"/>
              <w:bottom w:w="100" w:type="dxa"/>
              <w:right w:w="120" w:type="dxa"/>
            </w:tcMar>
          </w:tcPr>
          <w:p w14:paraId="3A01EBD9" w14:textId="77777777" w:rsidR="00333F05" w:rsidRDefault="00D14A68">
            <w:pPr>
              <w:jc w:val="right"/>
            </w:pPr>
            <w:r>
              <w:rPr>
                <w:color w:val="222222"/>
                <w:sz w:val="21"/>
                <w:szCs w:val="21"/>
                <w:rtl/>
              </w:rPr>
              <w:t>التحوّل السلوكي والأخلاقي الفعلي</w:t>
            </w:r>
          </w:p>
        </w:tc>
      </w:tr>
    </w:tbl>
    <w:p w14:paraId="01B8BF9C" w14:textId="77777777" w:rsidR="00333F05" w:rsidRDefault="00333F05">
      <w:pPr>
        <w:spacing w:after="160"/>
      </w:pPr>
    </w:p>
    <w:p w14:paraId="279B6B9C" w14:textId="77777777" w:rsidR="00333F05" w:rsidRDefault="00D14A68">
      <w:pPr>
        <w:spacing w:after="200" w:line="340" w:lineRule="auto"/>
        <w:jc w:val="both"/>
      </w:pPr>
      <w:r>
        <w:rPr>
          <w:color w:val="222222"/>
          <w:sz w:val="26"/>
          <w:szCs w:val="26"/>
          <w:rtl/>
        </w:rPr>
        <w:t>وهذه المقارنة المنهجية تجعل الأطروحة الاستخلافية أكثر قابلية للمناقشة العلمية والنقد الأكاديمي، بدل الاكتفاء بدعوى التفوق التاريخي.</w:t>
      </w:r>
    </w:p>
    <w:p w14:paraId="107C1266" w14:textId="77777777" w:rsidR="00333F05" w:rsidRDefault="00D14A68">
      <w:pPr>
        <w:pStyle w:val="1"/>
        <w:pBdr>
          <w:bottom w:val="single" w:sz="10" w:space="6" w:color="B8860B"/>
        </w:pBdr>
        <w:bidi/>
        <w:spacing w:before="420" w:after="220"/>
        <w:jc w:val="right"/>
      </w:pPr>
      <w:r>
        <w:rPr>
          <w:b/>
          <w:bCs/>
          <w:color w:val="1B3A5C"/>
          <w:rtl/>
        </w:rPr>
        <w:t>14. الفرضية المركزية الجديدة</w:t>
      </w:r>
    </w:p>
    <w:p w14:paraId="02DA8B8E" w14:textId="77777777" w:rsidR="00333F05" w:rsidRDefault="00D14A68">
      <w:pPr>
        <w:spacing w:after="200" w:line="340" w:lineRule="auto"/>
        <w:jc w:val="both"/>
      </w:pPr>
      <w:r>
        <w:rPr>
          <w:color w:val="222222"/>
          <w:sz w:val="26"/>
          <w:szCs w:val="26"/>
          <w:rtl/>
        </w:rPr>
        <w:t>يمكن صياغة الفرضية الأساسية لهذه الدراسة الموسَّعة على النحو الآتي:</w:t>
      </w:r>
    </w:p>
    <w:p w14:paraId="1528786B" w14:textId="77777777" w:rsidR="00333F05" w:rsidRDefault="00D14A68">
      <w:pPr>
        <w:spacing w:after="200" w:line="340" w:lineRule="auto"/>
        <w:jc w:val="center"/>
      </w:pPr>
      <w:r>
        <w:rPr>
          <w:i/>
          <w:iCs/>
          <w:color w:val="1B3A5C"/>
          <w:sz w:val="26"/>
          <w:szCs w:val="26"/>
          <w:rtl/>
        </w:rPr>
        <w:t>«الوضوء، بوصفه طقسًا جسديًا منظَّمًا ومتكررًا ومرتبطًا بالصلاة، قد يعمل لدى بعض الأفراد كإجراء انتقالي (</w:t>
      </w:r>
      <w:proofErr w:type="spellStart"/>
      <w:r>
        <w:rPr>
          <w:i/>
          <w:iCs/>
          <w:color w:val="1B3A5C"/>
          <w:sz w:val="26"/>
          <w:szCs w:val="26"/>
          <w:rtl/>
        </w:rPr>
        <w:t>Grounded</w:t>
      </w:r>
      <w:proofErr w:type="spellEnd"/>
      <w:r>
        <w:rPr>
          <w:i/>
          <w:iCs/>
          <w:color w:val="1B3A5C"/>
          <w:sz w:val="26"/>
          <w:szCs w:val="26"/>
          <w:rtl/>
        </w:rPr>
        <w:t xml:space="preserve"> </w:t>
      </w:r>
      <w:proofErr w:type="spellStart"/>
      <w:r>
        <w:rPr>
          <w:i/>
          <w:iCs/>
          <w:color w:val="1B3A5C"/>
          <w:sz w:val="26"/>
          <w:szCs w:val="26"/>
          <w:rtl/>
        </w:rPr>
        <w:t>Procedure</w:t>
      </w:r>
      <w:proofErr w:type="spellEnd"/>
      <w:r>
        <w:rPr>
          <w:i/>
          <w:iCs/>
          <w:color w:val="1B3A5C"/>
          <w:sz w:val="26"/>
          <w:szCs w:val="26"/>
          <w:rtl/>
        </w:rPr>
        <w:t>) يجمع بين الاستعداد الجسدي، والتنظيم الانفعالي، واستحضار المسؤولية الأخلاقية، والانتقال الرمزي إلى حالة عبادية؛ إلا أن حجم هذه الآثار وآلياتها النفسية الدقيقة لا يمكن افتراضهما من النصوص الدينية وحدها، وإنما يحتاجان إلى اختبار تجريبي مستقل.»</w:t>
      </w:r>
    </w:p>
    <w:p w14:paraId="4CA04C55" w14:textId="77777777" w:rsidR="00333F05" w:rsidRDefault="00D14A68">
      <w:pPr>
        <w:spacing w:after="200" w:line="340" w:lineRule="auto"/>
        <w:jc w:val="both"/>
      </w:pPr>
      <w:r>
        <w:rPr>
          <w:color w:val="222222"/>
          <w:sz w:val="26"/>
          <w:szCs w:val="26"/>
          <w:rtl/>
        </w:rPr>
        <w:t>وهذه الصياغة، في تقدير هذه الدراسة، أقوى بكثير من عبارة تقريرية جازمة من نوع «الوضوء نظرية تطهير أخلاقي متكاملة»؛ لأن العبارة الأخيرة تقريرية مغلقة، بينما الصياغة المقترحة نظرية علمية قابلة للتفنيد والاختبار (</w:t>
      </w:r>
      <w:proofErr w:type="spellStart"/>
      <w:r>
        <w:rPr>
          <w:color w:val="222222"/>
          <w:sz w:val="26"/>
          <w:szCs w:val="26"/>
          <w:rtl/>
        </w:rPr>
        <w:t>Falsifiable</w:t>
      </w:r>
      <w:proofErr w:type="spellEnd"/>
      <w:r>
        <w:rPr>
          <w:color w:val="222222"/>
          <w:sz w:val="26"/>
          <w:szCs w:val="26"/>
          <w:rtl/>
        </w:rPr>
        <w:t xml:space="preserve">)، بالمعنى </w:t>
      </w:r>
      <w:proofErr w:type="spellStart"/>
      <w:r>
        <w:rPr>
          <w:color w:val="222222"/>
          <w:sz w:val="26"/>
          <w:szCs w:val="26"/>
          <w:rtl/>
        </w:rPr>
        <w:t>البوبري</w:t>
      </w:r>
      <w:proofErr w:type="spellEnd"/>
      <w:r>
        <w:rPr>
          <w:color w:val="222222"/>
          <w:sz w:val="26"/>
          <w:szCs w:val="26"/>
          <w:rtl/>
        </w:rPr>
        <w:t xml:space="preserve"> (</w:t>
      </w:r>
      <w:proofErr w:type="spellStart"/>
      <w:r>
        <w:rPr>
          <w:color w:val="222222"/>
          <w:sz w:val="26"/>
          <w:szCs w:val="26"/>
          <w:rtl/>
        </w:rPr>
        <w:t>Popper</w:t>
      </w:r>
      <w:proofErr w:type="spellEnd"/>
      <w:r>
        <w:rPr>
          <w:color w:val="222222"/>
          <w:sz w:val="26"/>
          <w:szCs w:val="26"/>
          <w:rtl/>
        </w:rPr>
        <w:t>, 1959) للكلمة.</w:t>
      </w:r>
    </w:p>
    <w:p w14:paraId="3C9D30D8" w14:textId="77777777" w:rsidR="00333F05" w:rsidRDefault="00D14A68">
      <w:pPr>
        <w:pStyle w:val="1"/>
        <w:pBdr>
          <w:bottom w:val="single" w:sz="10" w:space="6" w:color="B8860B"/>
        </w:pBdr>
        <w:bidi/>
        <w:spacing w:before="420" w:after="220"/>
        <w:jc w:val="right"/>
      </w:pPr>
      <w:r>
        <w:rPr>
          <w:b/>
          <w:bCs/>
          <w:color w:val="1B3A5C"/>
          <w:rtl/>
        </w:rPr>
        <w:t>15. نموذج بحث تجريبي مستقبلي</w:t>
      </w:r>
    </w:p>
    <w:p w14:paraId="7567B1BF" w14:textId="77777777" w:rsidR="00333F05" w:rsidRDefault="00D14A68">
      <w:pPr>
        <w:spacing w:after="200" w:line="340" w:lineRule="auto"/>
        <w:jc w:val="both"/>
      </w:pPr>
      <w:r>
        <w:rPr>
          <w:color w:val="222222"/>
          <w:sz w:val="26"/>
          <w:szCs w:val="26"/>
          <w:rtl/>
        </w:rPr>
        <w:t>يمكن تحويل هذه الدراسة من بحث فلسفي مقارن إلى برنامج بحث تجريبي متكامل، وفق التصميم الآتي:</w:t>
      </w:r>
    </w:p>
    <w:p w14:paraId="261AE014" w14:textId="77777777" w:rsidR="00333F05" w:rsidRDefault="00D14A68">
      <w:pPr>
        <w:pStyle w:val="2"/>
        <w:bidi/>
        <w:spacing w:before="260" w:after="160"/>
        <w:jc w:val="right"/>
      </w:pPr>
      <w:r>
        <w:rPr>
          <w:b/>
          <w:bCs/>
          <w:color w:val="0E6E6A"/>
          <w:sz w:val="27"/>
          <w:szCs w:val="27"/>
          <w:rtl/>
        </w:rPr>
        <w:t>العينة</w:t>
      </w:r>
    </w:p>
    <w:p w14:paraId="7013241F" w14:textId="77777777" w:rsidR="00333F05" w:rsidRDefault="00D14A68">
      <w:pPr>
        <w:spacing w:after="200" w:line="340" w:lineRule="auto"/>
        <w:jc w:val="both"/>
      </w:pPr>
      <w:r>
        <w:rPr>
          <w:color w:val="222222"/>
          <w:sz w:val="26"/>
          <w:szCs w:val="26"/>
          <w:rtl/>
        </w:rPr>
        <w:t xml:space="preserve">مسلمون بالغون يمارسون الوضوء بانتظام، مع مراعاة التنوع في العمر، والجنس، والخلفية </w:t>
      </w:r>
      <w:proofErr w:type="spellStart"/>
      <w:r>
        <w:rPr>
          <w:color w:val="222222"/>
          <w:sz w:val="26"/>
          <w:szCs w:val="26"/>
          <w:rtl/>
        </w:rPr>
        <w:t>التدينية</w:t>
      </w:r>
      <w:proofErr w:type="spellEnd"/>
      <w:r>
        <w:rPr>
          <w:color w:val="222222"/>
          <w:sz w:val="26"/>
          <w:szCs w:val="26"/>
          <w:rtl/>
        </w:rPr>
        <w:t>.</w:t>
      </w:r>
    </w:p>
    <w:p w14:paraId="295DB6B2" w14:textId="77777777" w:rsidR="00333F05" w:rsidRDefault="00D14A68">
      <w:pPr>
        <w:pStyle w:val="2"/>
        <w:bidi/>
        <w:spacing w:before="260" w:after="160"/>
        <w:jc w:val="right"/>
      </w:pPr>
      <w:r>
        <w:rPr>
          <w:b/>
          <w:bCs/>
          <w:color w:val="0E6E6A"/>
          <w:sz w:val="27"/>
          <w:szCs w:val="27"/>
          <w:rtl/>
        </w:rPr>
        <w:t>المجموعات التجريبية</w:t>
      </w:r>
    </w:p>
    <w:p w14:paraId="0B3680B1" w14:textId="77777777" w:rsidR="00333F05" w:rsidRDefault="00D14A68">
      <w:pPr>
        <w:pStyle w:val="a4"/>
        <w:numPr>
          <w:ilvl w:val="0"/>
          <w:numId w:val="1"/>
        </w:numPr>
        <w:bidi/>
        <w:spacing w:after="100" w:line="320" w:lineRule="auto"/>
        <w:jc w:val="right"/>
      </w:pPr>
      <w:r>
        <w:rPr>
          <w:color w:val="222222"/>
          <w:sz w:val="26"/>
          <w:szCs w:val="26"/>
          <w:rtl/>
        </w:rPr>
        <w:t>المجموعة الأولى: وضوء كامل بنيّته وترتيبه المعتاد.</w:t>
      </w:r>
    </w:p>
    <w:p w14:paraId="44F3B85A" w14:textId="77777777" w:rsidR="00333F05" w:rsidRDefault="00D14A68">
      <w:pPr>
        <w:pStyle w:val="a4"/>
        <w:numPr>
          <w:ilvl w:val="0"/>
          <w:numId w:val="1"/>
        </w:numPr>
        <w:bidi/>
        <w:spacing w:after="100" w:line="320" w:lineRule="auto"/>
        <w:jc w:val="right"/>
      </w:pPr>
      <w:r>
        <w:rPr>
          <w:color w:val="222222"/>
          <w:sz w:val="26"/>
          <w:szCs w:val="26"/>
          <w:rtl/>
        </w:rPr>
        <w:t>المجموعة الثانية: غسل جسدي غير تعبدي مماثل زمنيًا (ضبط لعامل الفعل الحركي).</w:t>
      </w:r>
    </w:p>
    <w:p w14:paraId="54F43B6C" w14:textId="77777777" w:rsidR="00333F05" w:rsidRDefault="00D14A68">
      <w:pPr>
        <w:pStyle w:val="a4"/>
        <w:numPr>
          <w:ilvl w:val="0"/>
          <w:numId w:val="1"/>
        </w:numPr>
        <w:bidi/>
        <w:spacing w:after="100" w:line="320" w:lineRule="auto"/>
        <w:jc w:val="right"/>
      </w:pPr>
      <w:r>
        <w:rPr>
          <w:color w:val="222222"/>
          <w:sz w:val="26"/>
          <w:szCs w:val="26"/>
          <w:rtl/>
        </w:rPr>
        <w:t>المجموعة الثالثة: طقس رمزي غير مائي (ضبط لعامل «الطقسية» بمعزل عن الماء).</w:t>
      </w:r>
    </w:p>
    <w:p w14:paraId="38987933" w14:textId="77777777" w:rsidR="00333F05" w:rsidRDefault="00D14A68">
      <w:pPr>
        <w:pStyle w:val="a4"/>
        <w:numPr>
          <w:ilvl w:val="0"/>
          <w:numId w:val="1"/>
        </w:numPr>
        <w:bidi/>
        <w:spacing w:after="100" w:line="320" w:lineRule="auto"/>
        <w:jc w:val="right"/>
      </w:pPr>
      <w:r>
        <w:rPr>
          <w:color w:val="222222"/>
          <w:sz w:val="26"/>
          <w:szCs w:val="26"/>
          <w:rtl/>
        </w:rPr>
        <w:t>المجموعة الرابعة: مجموعة ضابطة بلا أي تدخل.</w:t>
      </w:r>
    </w:p>
    <w:p w14:paraId="4C6E60A2" w14:textId="77777777" w:rsidR="00333F05" w:rsidRDefault="00D14A68">
      <w:pPr>
        <w:pStyle w:val="2"/>
        <w:bidi/>
        <w:spacing w:before="260" w:after="160"/>
        <w:jc w:val="right"/>
      </w:pPr>
      <w:r>
        <w:rPr>
          <w:b/>
          <w:bCs/>
          <w:color w:val="0E6E6A"/>
          <w:sz w:val="27"/>
          <w:szCs w:val="27"/>
          <w:rtl/>
        </w:rPr>
        <w:t>القياسات قبل وبعد التدخل</w:t>
      </w:r>
    </w:p>
    <w:p w14:paraId="417E0F27" w14:textId="77777777" w:rsidR="00333F05" w:rsidRDefault="00D14A68">
      <w:pPr>
        <w:pStyle w:val="a4"/>
        <w:numPr>
          <w:ilvl w:val="0"/>
          <w:numId w:val="1"/>
        </w:numPr>
        <w:bidi/>
        <w:spacing w:after="100" w:line="320" w:lineRule="auto"/>
        <w:jc w:val="right"/>
      </w:pPr>
      <w:r>
        <w:rPr>
          <w:color w:val="222222"/>
          <w:sz w:val="26"/>
          <w:szCs w:val="26"/>
          <w:rtl/>
        </w:rPr>
        <w:t>القلق الحالي (</w:t>
      </w:r>
      <w:proofErr w:type="spellStart"/>
      <w:r>
        <w:rPr>
          <w:color w:val="222222"/>
          <w:sz w:val="26"/>
          <w:szCs w:val="26"/>
          <w:rtl/>
        </w:rPr>
        <w:t>State</w:t>
      </w:r>
      <w:proofErr w:type="spellEnd"/>
      <w:r>
        <w:rPr>
          <w:color w:val="222222"/>
          <w:sz w:val="26"/>
          <w:szCs w:val="26"/>
          <w:rtl/>
        </w:rPr>
        <w:t xml:space="preserve"> </w:t>
      </w:r>
      <w:proofErr w:type="spellStart"/>
      <w:r>
        <w:rPr>
          <w:color w:val="222222"/>
          <w:sz w:val="26"/>
          <w:szCs w:val="26"/>
          <w:rtl/>
        </w:rPr>
        <w:t>Anxiety</w:t>
      </w:r>
      <w:proofErr w:type="spellEnd"/>
      <w:r>
        <w:rPr>
          <w:color w:val="222222"/>
          <w:sz w:val="26"/>
          <w:szCs w:val="26"/>
          <w:rtl/>
        </w:rPr>
        <w:t>).</w:t>
      </w:r>
    </w:p>
    <w:p w14:paraId="1C181F04" w14:textId="77777777" w:rsidR="00333F05" w:rsidRDefault="00D14A68">
      <w:pPr>
        <w:pStyle w:val="a4"/>
        <w:numPr>
          <w:ilvl w:val="0"/>
          <w:numId w:val="1"/>
        </w:numPr>
        <w:bidi/>
        <w:spacing w:after="100" w:line="320" w:lineRule="auto"/>
        <w:jc w:val="right"/>
      </w:pPr>
      <w:r>
        <w:rPr>
          <w:color w:val="222222"/>
          <w:sz w:val="26"/>
          <w:szCs w:val="26"/>
          <w:rtl/>
        </w:rPr>
        <w:t>الشعور بالذنب (</w:t>
      </w:r>
      <w:proofErr w:type="spellStart"/>
      <w:r>
        <w:rPr>
          <w:color w:val="222222"/>
          <w:sz w:val="26"/>
          <w:szCs w:val="26"/>
          <w:rtl/>
        </w:rPr>
        <w:t>Guilt</w:t>
      </w:r>
      <w:proofErr w:type="spellEnd"/>
      <w:r>
        <w:rPr>
          <w:color w:val="222222"/>
          <w:sz w:val="26"/>
          <w:szCs w:val="26"/>
          <w:rtl/>
        </w:rPr>
        <w:t>).</w:t>
      </w:r>
    </w:p>
    <w:p w14:paraId="646A99BE" w14:textId="77777777" w:rsidR="00333F05" w:rsidRDefault="00D14A68">
      <w:pPr>
        <w:pStyle w:val="a4"/>
        <w:numPr>
          <w:ilvl w:val="0"/>
          <w:numId w:val="1"/>
        </w:numPr>
        <w:bidi/>
        <w:spacing w:after="100" w:line="320" w:lineRule="auto"/>
        <w:jc w:val="right"/>
      </w:pPr>
      <w:r>
        <w:rPr>
          <w:color w:val="222222"/>
          <w:sz w:val="26"/>
          <w:szCs w:val="26"/>
          <w:rtl/>
        </w:rPr>
        <w:t>تقدير الذات الأخلاقي (</w:t>
      </w:r>
      <w:proofErr w:type="spellStart"/>
      <w:r>
        <w:rPr>
          <w:color w:val="222222"/>
          <w:sz w:val="26"/>
          <w:szCs w:val="26"/>
          <w:rtl/>
        </w:rPr>
        <w:t>Moral</w:t>
      </w:r>
      <w:proofErr w:type="spellEnd"/>
      <w:r>
        <w:rPr>
          <w:color w:val="222222"/>
          <w:sz w:val="26"/>
          <w:szCs w:val="26"/>
          <w:rtl/>
        </w:rPr>
        <w:t xml:space="preserve"> </w:t>
      </w:r>
      <w:proofErr w:type="spellStart"/>
      <w:r>
        <w:rPr>
          <w:color w:val="222222"/>
          <w:sz w:val="26"/>
          <w:szCs w:val="26"/>
          <w:rtl/>
        </w:rPr>
        <w:t>Self-Worth</w:t>
      </w:r>
      <w:proofErr w:type="spellEnd"/>
      <w:r>
        <w:rPr>
          <w:color w:val="222222"/>
          <w:sz w:val="26"/>
          <w:szCs w:val="26"/>
          <w:rtl/>
        </w:rPr>
        <w:t>).</w:t>
      </w:r>
    </w:p>
    <w:p w14:paraId="6898FE30" w14:textId="77777777" w:rsidR="00333F05" w:rsidRDefault="00D14A68">
      <w:pPr>
        <w:pStyle w:val="a4"/>
        <w:numPr>
          <w:ilvl w:val="0"/>
          <w:numId w:val="1"/>
        </w:numPr>
        <w:bidi/>
        <w:spacing w:after="100" w:line="320" w:lineRule="auto"/>
        <w:jc w:val="right"/>
      </w:pPr>
      <w:r>
        <w:rPr>
          <w:color w:val="222222"/>
          <w:sz w:val="26"/>
          <w:szCs w:val="26"/>
          <w:rtl/>
        </w:rPr>
        <w:t>الإحساس بالنظافة المُدرَكة (</w:t>
      </w:r>
      <w:proofErr w:type="spellStart"/>
      <w:r>
        <w:rPr>
          <w:color w:val="222222"/>
          <w:sz w:val="26"/>
          <w:szCs w:val="26"/>
          <w:rtl/>
        </w:rPr>
        <w:t>Perceived</w:t>
      </w:r>
      <w:proofErr w:type="spellEnd"/>
      <w:r>
        <w:rPr>
          <w:color w:val="222222"/>
          <w:sz w:val="26"/>
          <w:szCs w:val="26"/>
          <w:rtl/>
        </w:rPr>
        <w:t xml:space="preserve"> </w:t>
      </w:r>
      <w:proofErr w:type="spellStart"/>
      <w:r>
        <w:rPr>
          <w:color w:val="222222"/>
          <w:sz w:val="26"/>
          <w:szCs w:val="26"/>
          <w:rtl/>
        </w:rPr>
        <w:t>Cleanliness</w:t>
      </w:r>
      <w:proofErr w:type="spellEnd"/>
      <w:r>
        <w:rPr>
          <w:color w:val="222222"/>
          <w:sz w:val="26"/>
          <w:szCs w:val="26"/>
          <w:rtl/>
        </w:rPr>
        <w:t>).</w:t>
      </w:r>
    </w:p>
    <w:p w14:paraId="505C746B" w14:textId="77777777" w:rsidR="00333F05" w:rsidRDefault="00D14A68">
      <w:pPr>
        <w:pStyle w:val="a4"/>
        <w:numPr>
          <w:ilvl w:val="0"/>
          <w:numId w:val="1"/>
        </w:numPr>
        <w:bidi/>
        <w:spacing w:after="100" w:line="320" w:lineRule="auto"/>
        <w:jc w:val="right"/>
      </w:pPr>
      <w:r>
        <w:rPr>
          <w:color w:val="222222"/>
          <w:sz w:val="26"/>
          <w:szCs w:val="26"/>
          <w:rtl/>
        </w:rPr>
        <w:t>ضبط الذات (</w:t>
      </w:r>
      <w:proofErr w:type="spellStart"/>
      <w:r>
        <w:rPr>
          <w:color w:val="222222"/>
          <w:sz w:val="26"/>
          <w:szCs w:val="26"/>
          <w:rtl/>
        </w:rPr>
        <w:t>Self-Control</w:t>
      </w:r>
      <w:proofErr w:type="spellEnd"/>
      <w:r>
        <w:rPr>
          <w:color w:val="222222"/>
          <w:sz w:val="26"/>
          <w:szCs w:val="26"/>
          <w:rtl/>
        </w:rPr>
        <w:t>).</w:t>
      </w:r>
    </w:p>
    <w:p w14:paraId="05EB05D1" w14:textId="77777777" w:rsidR="00333F05" w:rsidRDefault="00D14A68">
      <w:pPr>
        <w:pStyle w:val="a4"/>
        <w:numPr>
          <w:ilvl w:val="0"/>
          <w:numId w:val="1"/>
        </w:numPr>
        <w:bidi/>
        <w:spacing w:after="100" w:line="320" w:lineRule="auto"/>
        <w:jc w:val="right"/>
      </w:pPr>
      <w:r>
        <w:rPr>
          <w:color w:val="222222"/>
          <w:sz w:val="26"/>
          <w:szCs w:val="26"/>
          <w:rtl/>
        </w:rPr>
        <w:t>الاستعداد للصلاة (</w:t>
      </w:r>
      <w:proofErr w:type="spellStart"/>
      <w:r>
        <w:rPr>
          <w:color w:val="222222"/>
          <w:sz w:val="26"/>
          <w:szCs w:val="26"/>
          <w:rtl/>
        </w:rPr>
        <w:t>Readiness</w:t>
      </w:r>
      <w:proofErr w:type="spellEnd"/>
      <w:r>
        <w:rPr>
          <w:color w:val="222222"/>
          <w:sz w:val="26"/>
          <w:szCs w:val="26"/>
          <w:rtl/>
        </w:rPr>
        <w:t xml:space="preserve"> </w:t>
      </w:r>
      <w:proofErr w:type="spellStart"/>
      <w:r>
        <w:rPr>
          <w:color w:val="222222"/>
          <w:sz w:val="26"/>
          <w:szCs w:val="26"/>
          <w:rtl/>
        </w:rPr>
        <w:t>for</w:t>
      </w:r>
      <w:proofErr w:type="spellEnd"/>
      <w:r>
        <w:rPr>
          <w:color w:val="222222"/>
          <w:sz w:val="26"/>
          <w:szCs w:val="26"/>
          <w:rtl/>
        </w:rPr>
        <w:t xml:space="preserve"> </w:t>
      </w:r>
      <w:proofErr w:type="spellStart"/>
      <w:r>
        <w:rPr>
          <w:color w:val="222222"/>
          <w:sz w:val="26"/>
          <w:szCs w:val="26"/>
          <w:rtl/>
        </w:rPr>
        <w:t>Prayer</w:t>
      </w:r>
      <w:proofErr w:type="spellEnd"/>
      <w:r>
        <w:rPr>
          <w:color w:val="222222"/>
          <w:sz w:val="26"/>
          <w:szCs w:val="26"/>
          <w:rtl/>
        </w:rPr>
        <w:t>).</w:t>
      </w:r>
    </w:p>
    <w:p w14:paraId="244AC758" w14:textId="77777777" w:rsidR="00333F05" w:rsidRDefault="00D14A68">
      <w:pPr>
        <w:pStyle w:val="a4"/>
        <w:numPr>
          <w:ilvl w:val="0"/>
          <w:numId w:val="1"/>
        </w:numPr>
        <w:bidi/>
        <w:spacing w:after="100" w:line="320" w:lineRule="auto"/>
        <w:jc w:val="right"/>
      </w:pPr>
      <w:r>
        <w:rPr>
          <w:color w:val="222222"/>
          <w:sz w:val="26"/>
          <w:szCs w:val="26"/>
          <w:rtl/>
        </w:rPr>
        <w:t>النيّة الأخلاقية (</w:t>
      </w:r>
      <w:proofErr w:type="spellStart"/>
      <w:r>
        <w:rPr>
          <w:color w:val="222222"/>
          <w:sz w:val="26"/>
          <w:szCs w:val="26"/>
          <w:rtl/>
        </w:rPr>
        <w:t>Moral</w:t>
      </w:r>
      <w:proofErr w:type="spellEnd"/>
      <w:r>
        <w:rPr>
          <w:color w:val="222222"/>
          <w:sz w:val="26"/>
          <w:szCs w:val="26"/>
          <w:rtl/>
        </w:rPr>
        <w:t xml:space="preserve"> </w:t>
      </w:r>
      <w:proofErr w:type="spellStart"/>
      <w:r>
        <w:rPr>
          <w:color w:val="222222"/>
          <w:sz w:val="26"/>
          <w:szCs w:val="26"/>
          <w:rtl/>
        </w:rPr>
        <w:t>Intention</w:t>
      </w:r>
      <w:proofErr w:type="spellEnd"/>
      <w:r>
        <w:rPr>
          <w:color w:val="222222"/>
          <w:sz w:val="26"/>
          <w:szCs w:val="26"/>
          <w:rtl/>
        </w:rPr>
        <w:t>) والنيّة الإيثارية (</w:t>
      </w:r>
      <w:proofErr w:type="spellStart"/>
      <w:r>
        <w:rPr>
          <w:color w:val="222222"/>
          <w:sz w:val="26"/>
          <w:szCs w:val="26"/>
          <w:rtl/>
        </w:rPr>
        <w:t>Prosocial</w:t>
      </w:r>
      <w:proofErr w:type="spellEnd"/>
      <w:r>
        <w:rPr>
          <w:color w:val="222222"/>
          <w:sz w:val="26"/>
          <w:szCs w:val="26"/>
          <w:rtl/>
        </w:rPr>
        <w:t xml:space="preserve"> </w:t>
      </w:r>
      <w:proofErr w:type="spellStart"/>
      <w:r>
        <w:rPr>
          <w:color w:val="222222"/>
          <w:sz w:val="26"/>
          <w:szCs w:val="26"/>
          <w:rtl/>
        </w:rPr>
        <w:t>Intention</w:t>
      </w:r>
      <w:proofErr w:type="spellEnd"/>
      <w:r>
        <w:rPr>
          <w:color w:val="222222"/>
          <w:sz w:val="26"/>
          <w:szCs w:val="26"/>
          <w:rtl/>
        </w:rPr>
        <w:t>).</w:t>
      </w:r>
    </w:p>
    <w:p w14:paraId="63CE3915" w14:textId="77777777" w:rsidR="00333F05" w:rsidRDefault="00D14A68">
      <w:pPr>
        <w:pStyle w:val="2"/>
        <w:bidi/>
        <w:spacing w:before="260" w:after="160"/>
        <w:jc w:val="right"/>
      </w:pPr>
      <w:r>
        <w:rPr>
          <w:b/>
          <w:bCs/>
          <w:color w:val="0E6E6A"/>
          <w:sz w:val="27"/>
          <w:szCs w:val="27"/>
          <w:rtl/>
        </w:rPr>
        <w:t>سؤال تحليلي أكثر تقدمًا</w:t>
      </w:r>
    </w:p>
    <w:p w14:paraId="7970CAB8" w14:textId="77777777" w:rsidR="00333F05" w:rsidRDefault="00D14A68">
      <w:pPr>
        <w:spacing w:after="200" w:line="340" w:lineRule="auto"/>
        <w:jc w:val="both"/>
      </w:pPr>
      <w:r>
        <w:rPr>
          <w:color w:val="222222"/>
          <w:sz w:val="26"/>
          <w:szCs w:val="26"/>
          <w:rtl/>
        </w:rPr>
        <w:t>هل يؤدي الوضوء إلى مجرد راحة نفسية مؤقتة؟ أم إلى استعادة فعلية لصورة الذات الأخلاقية؟ أم إلى زيادة الاستعداد لسلوك أخلاقي لاحق قابل للقياس السلوكي؟ أم أن الأثر بأكمله يمكن تفسيره بعوامل مُرافِقة مثل التوقّع الديني، أو الاعتياد، أو السياق التعبدي العام، بمعزل عن أي خاصية نفسية متأصلة في فعل الغسل ذاته؟ وهذا السؤال الأخير — سؤال المتغيرات المُرافِقة (</w:t>
      </w:r>
      <w:proofErr w:type="spellStart"/>
      <w:r>
        <w:rPr>
          <w:color w:val="222222"/>
          <w:sz w:val="26"/>
          <w:szCs w:val="26"/>
          <w:rtl/>
        </w:rPr>
        <w:t>Confounds</w:t>
      </w:r>
      <w:proofErr w:type="spellEnd"/>
      <w:r>
        <w:rPr>
          <w:color w:val="222222"/>
          <w:sz w:val="26"/>
          <w:szCs w:val="26"/>
          <w:rtl/>
        </w:rPr>
        <w:t>) — مهم جدًا لأنه يمنع الدراسة من الوقوع في التفسير الأحادي المتسرّع.</w:t>
      </w:r>
    </w:p>
    <w:p w14:paraId="771DEADA" w14:textId="77777777" w:rsidR="00333F05" w:rsidRDefault="00D14A68">
      <w:pPr>
        <w:pStyle w:val="1"/>
        <w:pBdr>
          <w:bottom w:val="single" w:sz="10" w:space="6" w:color="B8860B"/>
        </w:pBdr>
        <w:bidi/>
        <w:spacing w:before="420" w:after="220"/>
        <w:jc w:val="right"/>
      </w:pPr>
      <w:r>
        <w:rPr>
          <w:b/>
          <w:bCs/>
          <w:color w:val="1B3A5C"/>
          <w:rtl/>
        </w:rPr>
        <w:t>16. النموذج التفسيري البنائي المقترح</w:t>
      </w:r>
    </w:p>
    <w:p w14:paraId="51C7B0B2" w14:textId="77777777" w:rsidR="00333F05" w:rsidRDefault="00D14A68">
      <w:pPr>
        <w:spacing w:after="200" w:line="340" w:lineRule="auto"/>
        <w:jc w:val="both"/>
      </w:pPr>
      <w:r>
        <w:rPr>
          <w:color w:val="222222"/>
          <w:sz w:val="26"/>
          <w:szCs w:val="26"/>
          <w:rtl/>
        </w:rPr>
        <w:t>يمكن تمثيل التسلسل النفسي الكامل للنموذج الاستخلافي في مخطط تدفّق واحد، يبدأ من الانتهاك الأخلاقي وينتهي بإعادة بناء الذات:</w:t>
      </w:r>
    </w:p>
    <w:p w14:paraId="74D26E1C" w14:textId="77777777" w:rsidR="00333F05" w:rsidRDefault="00333F05">
      <w:pPr>
        <w:spacing w:after="120"/>
      </w:pPr>
    </w:p>
    <w:p w14:paraId="47D71305" w14:textId="77777777" w:rsidR="00333F05" w:rsidRDefault="00D14A68">
      <w:pPr>
        <w:spacing w:after="40"/>
        <w:jc w:val="center"/>
      </w:pPr>
      <w:r>
        <w:rPr>
          <w:b/>
          <w:bCs/>
          <w:color w:val="1B3A5C"/>
          <w:sz w:val="25"/>
          <w:szCs w:val="25"/>
          <w:rtl/>
        </w:rPr>
        <w:t>انتهاك أخلاقي</w:t>
      </w:r>
    </w:p>
    <w:p w14:paraId="21018168" w14:textId="77777777" w:rsidR="00333F05" w:rsidRDefault="00D14A68">
      <w:pPr>
        <w:spacing w:after="40"/>
        <w:jc w:val="center"/>
      </w:pPr>
      <w:r>
        <w:rPr>
          <w:b/>
          <w:bCs/>
          <w:color w:val="B8860B"/>
          <w:sz w:val="30"/>
          <w:szCs w:val="30"/>
          <w:rtl/>
        </w:rPr>
        <w:t>↓</w:t>
      </w:r>
    </w:p>
    <w:p w14:paraId="51CE3D69" w14:textId="77777777" w:rsidR="00333F05" w:rsidRDefault="00D14A68">
      <w:pPr>
        <w:spacing w:after="40"/>
        <w:jc w:val="center"/>
      </w:pPr>
      <w:r>
        <w:rPr>
          <w:b/>
          <w:bCs/>
          <w:color w:val="1B3A5C"/>
          <w:sz w:val="25"/>
          <w:szCs w:val="25"/>
          <w:rtl/>
        </w:rPr>
        <w:t>تعارض بين الذات الفعلية والذات المعيارية</w:t>
      </w:r>
    </w:p>
    <w:p w14:paraId="7016BBAF" w14:textId="77777777" w:rsidR="00333F05" w:rsidRDefault="00D14A68">
      <w:pPr>
        <w:spacing w:after="40"/>
        <w:jc w:val="center"/>
      </w:pPr>
      <w:r>
        <w:rPr>
          <w:b/>
          <w:bCs/>
          <w:color w:val="B8860B"/>
          <w:sz w:val="30"/>
          <w:szCs w:val="30"/>
          <w:rtl/>
        </w:rPr>
        <w:t>↓</w:t>
      </w:r>
    </w:p>
    <w:p w14:paraId="332B20E9" w14:textId="77777777" w:rsidR="00333F05" w:rsidRDefault="00D14A68">
      <w:pPr>
        <w:spacing w:after="40"/>
        <w:jc w:val="center"/>
      </w:pPr>
      <w:r>
        <w:rPr>
          <w:b/>
          <w:bCs/>
          <w:color w:val="1B3A5C"/>
          <w:sz w:val="25"/>
          <w:szCs w:val="25"/>
          <w:rtl/>
        </w:rPr>
        <w:t>ذنب / قلق / تلوّث أخلاقي</w:t>
      </w:r>
    </w:p>
    <w:p w14:paraId="189A598C" w14:textId="77777777" w:rsidR="00333F05" w:rsidRDefault="00D14A68">
      <w:pPr>
        <w:spacing w:after="40"/>
        <w:jc w:val="center"/>
      </w:pPr>
      <w:r>
        <w:rPr>
          <w:b/>
          <w:bCs/>
          <w:color w:val="B8860B"/>
          <w:sz w:val="30"/>
          <w:szCs w:val="30"/>
          <w:rtl/>
        </w:rPr>
        <w:t>↓</w:t>
      </w:r>
    </w:p>
    <w:p w14:paraId="746A0D99" w14:textId="77777777" w:rsidR="00333F05" w:rsidRDefault="00D14A68">
      <w:pPr>
        <w:spacing w:after="40"/>
        <w:jc w:val="center"/>
      </w:pPr>
      <w:r>
        <w:rPr>
          <w:b/>
          <w:bCs/>
          <w:color w:val="1B3A5C"/>
          <w:sz w:val="25"/>
          <w:szCs w:val="25"/>
          <w:rtl/>
        </w:rPr>
        <w:t>الحاجة إلى إعادة التنظيم</w:t>
      </w:r>
    </w:p>
    <w:p w14:paraId="23989A33" w14:textId="77777777" w:rsidR="00333F05" w:rsidRDefault="00D14A68">
      <w:pPr>
        <w:spacing w:after="40"/>
        <w:jc w:val="center"/>
      </w:pPr>
      <w:r>
        <w:rPr>
          <w:b/>
          <w:bCs/>
          <w:color w:val="B8860B"/>
          <w:sz w:val="30"/>
          <w:szCs w:val="30"/>
          <w:rtl/>
        </w:rPr>
        <w:t>↓</w:t>
      </w:r>
    </w:p>
    <w:p w14:paraId="3060547F" w14:textId="77777777" w:rsidR="00333F05" w:rsidRDefault="00D14A68">
      <w:pPr>
        <w:spacing w:after="40"/>
        <w:jc w:val="center"/>
      </w:pPr>
      <w:r>
        <w:rPr>
          <w:b/>
          <w:bCs/>
          <w:color w:val="1B3A5C"/>
          <w:sz w:val="25"/>
          <w:szCs w:val="25"/>
          <w:rtl/>
        </w:rPr>
        <w:t>طقس تطهيري (كالوضوء)</w:t>
      </w:r>
    </w:p>
    <w:p w14:paraId="7A9647ED" w14:textId="77777777" w:rsidR="00333F05" w:rsidRDefault="00D14A68">
      <w:pPr>
        <w:spacing w:after="40"/>
        <w:jc w:val="center"/>
      </w:pPr>
      <w:r>
        <w:rPr>
          <w:b/>
          <w:bCs/>
          <w:color w:val="B8860B"/>
          <w:sz w:val="30"/>
          <w:szCs w:val="30"/>
          <w:rtl/>
        </w:rPr>
        <w:t>↓</w:t>
      </w:r>
    </w:p>
    <w:p w14:paraId="72524D59" w14:textId="77777777" w:rsidR="00333F05" w:rsidRDefault="00D14A68">
      <w:pPr>
        <w:spacing w:after="40"/>
        <w:jc w:val="center"/>
      </w:pPr>
      <w:r>
        <w:rPr>
          <w:b/>
          <w:bCs/>
          <w:color w:val="1B3A5C"/>
          <w:sz w:val="25"/>
          <w:szCs w:val="25"/>
          <w:rtl/>
        </w:rPr>
        <w:t>فصل رمزي عن الحالة السابقة</w:t>
      </w:r>
    </w:p>
    <w:p w14:paraId="5A6E5215" w14:textId="77777777" w:rsidR="00333F05" w:rsidRDefault="00D14A68">
      <w:pPr>
        <w:spacing w:after="40"/>
        <w:jc w:val="center"/>
      </w:pPr>
      <w:r>
        <w:rPr>
          <w:b/>
          <w:bCs/>
          <w:color w:val="B8860B"/>
          <w:sz w:val="30"/>
          <w:szCs w:val="30"/>
          <w:rtl/>
        </w:rPr>
        <w:t>↓</w:t>
      </w:r>
    </w:p>
    <w:p w14:paraId="554FC81E" w14:textId="77777777" w:rsidR="00333F05" w:rsidRDefault="00D14A68">
      <w:pPr>
        <w:spacing w:after="40"/>
        <w:jc w:val="center"/>
      </w:pPr>
      <w:r>
        <w:rPr>
          <w:b/>
          <w:bCs/>
          <w:color w:val="1B3A5C"/>
          <w:sz w:val="25"/>
          <w:szCs w:val="25"/>
          <w:rtl/>
        </w:rPr>
        <w:t>استعادة الاتساق الداخلي</w:t>
      </w:r>
    </w:p>
    <w:p w14:paraId="70BD1497" w14:textId="77777777" w:rsidR="00333F05" w:rsidRDefault="00D14A68">
      <w:pPr>
        <w:spacing w:after="40"/>
        <w:jc w:val="center"/>
      </w:pPr>
      <w:r>
        <w:rPr>
          <w:b/>
          <w:bCs/>
          <w:color w:val="B8860B"/>
          <w:sz w:val="30"/>
          <w:szCs w:val="30"/>
          <w:rtl/>
        </w:rPr>
        <w:t>↓</w:t>
      </w:r>
    </w:p>
    <w:p w14:paraId="20CBE210" w14:textId="77777777" w:rsidR="00333F05" w:rsidRDefault="00D14A68">
      <w:pPr>
        <w:spacing w:after="40"/>
        <w:jc w:val="center"/>
      </w:pPr>
      <w:r>
        <w:rPr>
          <w:b/>
          <w:bCs/>
          <w:color w:val="1B3A5C"/>
          <w:sz w:val="25"/>
          <w:szCs w:val="25"/>
          <w:rtl/>
        </w:rPr>
        <w:t>توبة / مصالحة</w:t>
      </w:r>
    </w:p>
    <w:p w14:paraId="48AC475E" w14:textId="77777777" w:rsidR="00333F05" w:rsidRDefault="00D14A68">
      <w:pPr>
        <w:spacing w:after="40"/>
        <w:jc w:val="center"/>
      </w:pPr>
      <w:r>
        <w:rPr>
          <w:b/>
          <w:bCs/>
          <w:color w:val="B8860B"/>
          <w:sz w:val="30"/>
          <w:szCs w:val="30"/>
          <w:rtl/>
        </w:rPr>
        <w:t>↓</w:t>
      </w:r>
    </w:p>
    <w:p w14:paraId="143ACCE6" w14:textId="77777777" w:rsidR="00333F05" w:rsidRDefault="00D14A68">
      <w:pPr>
        <w:spacing w:after="40"/>
        <w:jc w:val="center"/>
      </w:pPr>
      <w:r>
        <w:rPr>
          <w:b/>
          <w:bCs/>
          <w:color w:val="1B3A5C"/>
          <w:sz w:val="25"/>
          <w:szCs w:val="25"/>
          <w:rtl/>
        </w:rPr>
        <w:t>إصلاح سلوكي فعلي</w:t>
      </w:r>
    </w:p>
    <w:p w14:paraId="2ED34EAD" w14:textId="77777777" w:rsidR="00333F05" w:rsidRDefault="00D14A68">
      <w:pPr>
        <w:spacing w:after="40"/>
        <w:jc w:val="center"/>
      </w:pPr>
      <w:r>
        <w:rPr>
          <w:b/>
          <w:bCs/>
          <w:color w:val="B8860B"/>
          <w:sz w:val="30"/>
          <w:szCs w:val="30"/>
          <w:rtl/>
        </w:rPr>
        <w:t>↓</w:t>
      </w:r>
    </w:p>
    <w:p w14:paraId="7B7E0262" w14:textId="77777777" w:rsidR="00333F05" w:rsidRDefault="00D14A68">
      <w:pPr>
        <w:jc w:val="center"/>
      </w:pPr>
      <w:r>
        <w:rPr>
          <w:b/>
          <w:bCs/>
          <w:color w:val="1B3A5C"/>
          <w:sz w:val="25"/>
          <w:szCs w:val="25"/>
          <w:rtl/>
        </w:rPr>
        <w:t>إعادة بناء الذات الأخلاقية</w:t>
      </w:r>
    </w:p>
    <w:p w14:paraId="2C2E6B01" w14:textId="77777777" w:rsidR="00333F05" w:rsidRDefault="00333F05">
      <w:pPr>
        <w:spacing w:after="160"/>
      </w:pPr>
    </w:p>
    <w:p w14:paraId="0BCBD384" w14:textId="77777777" w:rsidR="00333F05" w:rsidRDefault="00D14A68">
      <w:pPr>
        <w:spacing w:after="200" w:line="340" w:lineRule="auto"/>
        <w:jc w:val="both"/>
      </w:pPr>
      <w:r>
        <w:rPr>
          <w:color w:val="222222"/>
          <w:sz w:val="26"/>
          <w:szCs w:val="26"/>
          <w:rtl/>
        </w:rPr>
        <w:t>وهنا يصبح الوضوء جزءًا من نظام أوسع بكثير من مجرد «علاج مستقل» للذنب؛ فهو حلقة واحدة ضمن سلسلة متكاملة تبدأ بالانتهاك وتنتهي بإعادة البناء الفعلي للسلوك.</w:t>
      </w:r>
    </w:p>
    <w:p w14:paraId="257E33BD" w14:textId="77777777" w:rsidR="00333F05" w:rsidRDefault="00D14A68">
      <w:pPr>
        <w:pStyle w:val="1"/>
        <w:pBdr>
          <w:bottom w:val="single" w:sz="10" w:space="6" w:color="B8860B"/>
        </w:pBdr>
        <w:bidi/>
        <w:spacing w:before="420" w:after="220"/>
        <w:jc w:val="right"/>
      </w:pPr>
      <w:r>
        <w:rPr>
          <w:b/>
          <w:bCs/>
          <w:color w:val="1B3A5C"/>
          <w:rtl/>
        </w:rPr>
        <w:t>17. من «غسل الذنب» إلى «إعادة ضبط الذات»</w:t>
      </w:r>
    </w:p>
    <w:p w14:paraId="7593A9C1" w14:textId="77777777" w:rsidR="00333F05" w:rsidRDefault="00D14A68">
      <w:pPr>
        <w:spacing w:after="200" w:line="340" w:lineRule="auto"/>
        <w:jc w:val="both"/>
      </w:pPr>
      <w:r>
        <w:rPr>
          <w:color w:val="222222"/>
          <w:sz w:val="26"/>
          <w:szCs w:val="26"/>
          <w:rtl/>
        </w:rPr>
        <w:t>أقوى فكرة فلسفية يمكن تطويرها في هذا البحث هي أن الوضوء لا ينبغي تفسيره فقط بوصفه إزالة لشيء سلبي، وإنما بوصفه طقس إعادة ضبط (</w:t>
      </w:r>
      <w:proofErr w:type="spellStart"/>
      <w:r>
        <w:rPr>
          <w:color w:val="222222"/>
          <w:sz w:val="26"/>
          <w:szCs w:val="26"/>
          <w:rtl/>
        </w:rPr>
        <w:t>Reset</w:t>
      </w:r>
      <w:proofErr w:type="spellEnd"/>
      <w:r>
        <w:rPr>
          <w:color w:val="222222"/>
          <w:sz w:val="26"/>
          <w:szCs w:val="26"/>
          <w:rtl/>
        </w:rPr>
        <w:t xml:space="preserve"> </w:t>
      </w:r>
      <w:proofErr w:type="spellStart"/>
      <w:r>
        <w:rPr>
          <w:color w:val="222222"/>
          <w:sz w:val="26"/>
          <w:szCs w:val="26"/>
          <w:rtl/>
        </w:rPr>
        <w:t>Ritual</w:t>
      </w:r>
      <w:proofErr w:type="spellEnd"/>
      <w:r>
        <w:rPr>
          <w:color w:val="222222"/>
          <w:sz w:val="26"/>
          <w:szCs w:val="26"/>
          <w:rtl/>
        </w:rPr>
        <w:t>). وهذا قريب من التعبير الذي استخدمه المشروع الاستخلافي في مصادره الأولى: «إعادة ضبط للمصنع الأخلاقي»، لكن يمكن صياغته بمصطلح أكاديمي أكثر دقة:</w:t>
      </w:r>
    </w:p>
    <w:p w14:paraId="3CE457FC" w14:textId="77777777" w:rsidR="00333F05" w:rsidRDefault="00D14A68">
      <w:pPr>
        <w:spacing w:after="100" w:line="340" w:lineRule="auto"/>
        <w:jc w:val="center"/>
      </w:pPr>
      <w:r>
        <w:rPr>
          <w:rFonts w:ascii="Calibri" w:eastAsia="Calibri" w:hAnsi="Calibri" w:cs="Calibri"/>
          <w:b/>
          <w:bCs/>
          <w:color w:val="B8860B"/>
          <w:sz w:val="30"/>
          <w:szCs w:val="30"/>
        </w:rPr>
        <w:t>Moral Reset Ritual</w:t>
      </w:r>
    </w:p>
    <w:p w14:paraId="1F103697" w14:textId="77777777" w:rsidR="00333F05" w:rsidRDefault="00D14A68">
      <w:pPr>
        <w:spacing w:after="200" w:line="340" w:lineRule="auto"/>
        <w:jc w:val="center"/>
      </w:pPr>
      <w:r>
        <w:rPr>
          <w:b/>
          <w:bCs/>
          <w:color w:val="1B3A5C"/>
          <w:sz w:val="25"/>
          <w:szCs w:val="25"/>
          <w:rtl/>
        </w:rPr>
        <w:t>«طقس إعادة الضبط الأخلاقي»</w:t>
      </w:r>
    </w:p>
    <w:p w14:paraId="4C0B02BD" w14:textId="77777777" w:rsidR="00333F05" w:rsidRDefault="00D14A68">
      <w:pPr>
        <w:spacing w:after="200" w:line="340" w:lineRule="auto"/>
        <w:jc w:val="both"/>
      </w:pPr>
      <w:r>
        <w:rPr>
          <w:color w:val="222222"/>
          <w:sz w:val="26"/>
          <w:szCs w:val="26"/>
          <w:rtl/>
        </w:rPr>
        <w:t>ويختلف مفهوم «إعادة الضبط» جوهريًا عن مفهوم «المحو»؛ فالمحو يعني إزالة الأثر بالكامل، أما إعادة الضبط فتتضمن مجموعة من العمليات المتزامنة:</w:t>
      </w:r>
    </w:p>
    <w:p w14:paraId="5D74FC3A" w14:textId="77777777" w:rsidR="00333F05" w:rsidRDefault="00D14A68">
      <w:pPr>
        <w:pStyle w:val="a4"/>
        <w:numPr>
          <w:ilvl w:val="0"/>
          <w:numId w:val="1"/>
        </w:numPr>
        <w:bidi/>
        <w:spacing w:after="100" w:line="320" w:lineRule="auto"/>
        <w:jc w:val="right"/>
      </w:pPr>
      <w:r>
        <w:rPr>
          <w:color w:val="222222"/>
          <w:sz w:val="26"/>
          <w:szCs w:val="26"/>
          <w:rtl/>
        </w:rPr>
        <w:t>إنهاء الحالة النفسية السابقة رمزيًا.</w:t>
      </w:r>
    </w:p>
    <w:p w14:paraId="6BFD28AA" w14:textId="77777777" w:rsidR="00333F05" w:rsidRDefault="00D14A68">
      <w:pPr>
        <w:pStyle w:val="a4"/>
        <w:numPr>
          <w:ilvl w:val="0"/>
          <w:numId w:val="1"/>
        </w:numPr>
        <w:bidi/>
        <w:spacing w:after="100" w:line="320" w:lineRule="auto"/>
        <w:jc w:val="right"/>
      </w:pPr>
      <w:r>
        <w:rPr>
          <w:color w:val="222222"/>
          <w:sz w:val="26"/>
          <w:szCs w:val="26"/>
          <w:rtl/>
        </w:rPr>
        <w:t>استعادة الاتجاه العام للسلوك نحو المعيار الأخلاقي.</w:t>
      </w:r>
    </w:p>
    <w:p w14:paraId="6A0DFBAA" w14:textId="77777777" w:rsidR="00333F05" w:rsidRDefault="00D14A68">
      <w:pPr>
        <w:pStyle w:val="a4"/>
        <w:numPr>
          <w:ilvl w:val="0"/>
          <w:numId w:val="1"/>
        </w:numPr>
        <w:bidi/>
        <w:spacing w:after="100" w:line="320" w:lineRule="auto"/>
        <w:jc w:val="right"/>
      </w:pPr>
      <w:r>
        <w:rPr>
          <w:color w:val="222222"/>
          <w:sz w:val="26"/>
          <w:szCs w:val="26"/>
          <w:rtl/>
        </w:rPr>
        <w:t>الاستعداد النفسي للفعل التعبدي أو الأخلاقي التالي.</w:t>
      </w:r>
    </w:p>
    <w:p w14:paraId="357C96FA" w14:textId="77777777" w:rsidR="00333F05" w:rsidRDefault="00D14A68">
      <w:pPr>
        <w:pStyle w:val="a4"/>
        <w:numPr>
          <w:ilvl w:val="0"/>
          <w:numId w:val="1"/>
        </w:numPr>
        <w:bidi/>
        <w:spacing w:after="100" w:line="320" w:lineRule="auto"/>
        <w:jc w:val="right"/>
      </w:pPr>
      <w:r>
        <w:rPr>
          <w:color w:val="222222"/>
          <w:sz w:val="26"/>
          <w:szCs w:val="26"/>
          <w:rtl/>
        </w:rPr>
        <w:t>إعادة تنظيم الانتباه بعيدًا عن الاجترار الذهني للذنب.</w:t>
      </w:r>
    </w:p>
    <w:p w14:paraId="07B8D615" w14:textId="77777777" w:rsidR="00333F05" w:rsidRDefault="00D14A68">
      <w:pPr>
        <w:pStyle w:val="a4"/>
        <w:numPr>
          <w:ilvl w:val="0"/>
          <w:numId w:val="1"/>
        </w:numPr>
        <w:bidi/>
        <w:spacing w:after="100" w:line="320" w:lineRule="auto"/>
        <w:jc w:val="right"/>
      </w:pPr>
      <w:r>
        <w:rPr>
          <w:color w:val="222222"/>
          <w:sz w:val="26"/>
          <w:szCs w:val="26"/>
          <w:rtl/>
        </w:rPr>
        <w:t>إعادة تفعيل المعيار الأخلاقي الداخلي.</w:t>
      </w:r>
    </w:p>
    <w:p w14:paraId="58F98E43" w14:textId="77777777" w:rsidR="00333F05" w:rsidRDefault="00D14A68">
      <w:pPr>
        <w:spacing w:after="200" w:line="340" w:lineRule="auto"/>
        <w:jc w:val="both"/>
      </w:pPr>
      <w:r>
        <w:rPr>
          <w:color w:val="222222"/>
          <w:sz w:val="26"/>
          <w:szCs w:val="26"/>
          <w:rtl/>
        </w:rPr>
        <w:t>وهذا التصور أكثر انسجامًا مع كون الوضوء يسبق الصلاة مباشرة، وأن الصلاة نفسها ليست فعلًا تطهيريًا سلبيًا فحسب، بل فعل عبادي إيجابي متكرر يعيد توجيه الفرد نحو غايته الوجودية.</w:t>
      </w:r>
    </w:p>
    <w:p w14:paraId="78D387BD" w14:textId="77777777" w:rsidR="00333F05" w:rsidRDefault="00D14A68">
      <w:pPr>
        <w:pStyle w:val="1"/>
        <w:pBdr>
          <w:bottom w:val="single" w:sz="10" w:space="6" w:color="B8860B"/>
        </w:pBdr>
        <w:bidi/>
        <w:spacing w:before="420" w:after="220"/>
        <w:jc w:val="right"/>
      </w:pPr>
      <w:r>
        <w:rPr>
          <w:b/>
          <w:bCs/>
          <w:color w:val="1B3A5C"/>
          <w:rtl/>
        </w:rPr>
        <w:t>18. ملاحظة منهجية حاسمة</w:t>
      </w:r>
    </w:p>
    <w:p w14:paraId="660B50F9" w14:textId="77777777" w:rsidR="00333F05" w:rsidRDefault="00D14A68">
      <w:pPr>
        <w:spacing w:after="200" w:line="340" w:lineRule="auto"/>
        <w:jc w:val="both"/>
      </w:pPr>
      <w:r>
        <w:rPr>
          <w:color w:val="222222"/>
          <w:sz w:val="26"/>
          <w:szCs w:val="26"/>
          <w:rtl/>
        </w:rPr>
        <w:t>لا ينبغي في أي نسخة نهائية من هذا البحث أن يُقال:</w:t>
      </w:r>
    </w:p>
    <w:p w14:paraId="5B2E4F46" w14:textId="77777777" w:rsidR="00333F05" w:rsidRDefault="00D14A68">
      <w:pPr>
        <w:spacing w:after="120" w:line="340" w:lineRule="auto"/>
        <w:jc w:val="center"/>
      </w:pPr>
      <w:r>
        <w:rPr>
          <w:i/>
          <w:iCs/>
          <w:color w:val="8A1E1E"/>
          <w:sz w:val="26"/>
          <w:szCs w:val="26"/>
          <w:rtl/>
        </w:rPr>
        <w:t>«علم النفس الحديث أثبت أن الإسلام كان على حق.»</w:t>
      </w:r>
    </w:p>
    <w:p w14:paraId="1AA42313" w14:textId="77777777" w:rsidR="00333F05" w:rsidRDefault="00D14A68">
      <w:pPr>
        <w:spacing w:after="200" w:line="340" w:lineRule="auto"/>
        <w:jc w:val="both"/>
      </w:pPr>
      <w:r>
        <w:rPr>
          <w:color w:val="222222"/>
          <w:sz w:val="26"/>
          <w:szCs w:val="26"/>
          <w:rtl/>
        </w:rPr>
        <w:t>فهذه ليست صياغة علمية بأي معيار منهجي. ولا ينبغي كذلك القول:</w:t>
      </w:r>
    </w:p>
    <w:p w14:paraId="25E23FEF" w14:textId="77777777" w:rsidR="00333F05" w:rsidRDefault="00D14A68">
      <w:pPr>
        <w:spacing w:after="120" w:line="340" w:lineRule="auto"/>
        <w:jc w:val="center"/>
      </w:pPr>
      <w:r>
        <w:rPr>
          <w:i/>
          <w:iCs/>
          <w:color w:val="8A1E1E"/>
          <w:sz w:val="26"/>
          <w:szCs w:val="26"/>
          <w:rtl/>
        </w:rPr>
        <w:t xml:space="preserve">«الوضوء هو بالضبط ظاهرة </w:t>
      </w:r>
      <w:r>
        <w:rPr>
          <w:rFonts w:ascii="Calibri" w:eastAsia="Calibri" w:hAnsi="Calibri" w:cs="Calibri"/>
          <w:i/>
          <w:iCs/>
          <w:color w:val="8A1E1E"/>
        </w:rPr>
        <w:t>Macbeth Effect</w:t>
      </w:r>
      <w:r>
        <w:rPr>
          <w:i/>
          <w:iCs/>
          <w:color w:val="8A1E1E"/>
          <w:sz w:val="26"/>
          <w:szCs w:val="26"/>
          <w:rtl/>
        </w:rPr>
        <w:t>.»</w:t>
      </w:r>
    </w:p>
    <w:p w14:paraId="73BB77DB" w14:textId="77777777" w:rsidR="00333F05" w:rsidRDefault="00D14A68">
      <w:pPr>
        <w:spacing w:after="200" w:line="340" w:lineRule="auto"/>
        <w:jc w:val="both"/>
      </w:pPr>
      <w:r>
        <w:rPr>
          <w:color w:val="222222"/>
          <w:sz w:val="26"/>
          <w:szCs w:val="26"/>
          <w:rtl/>
        </w:rPr>
        <w:t xml:space="preserve">فهذه مساواة غير صحيحة منهجيًا بين نظامَين مختلفَين في طبيعتهما </w:t>
      </w:r>
      <w:proofErr w:type="spellStart"/>
      <w:r>
        <w:rPr>
          <w:color w:val="222222"/>
          <w:sz w:val="26"/>
          <w:szCs w:val="26"/>
          <w:rtl/>
        </w:rPr>
        <w:t>ومرجعيتهما</w:t>
      </w:r>
      <w:proofErr w:type="spellEnd"/>
      <w:r>
        <w:rPr>
          <w:color w:val="222222"/>
          <w:sz w:val="26"/>
          <w:szCs w:val="26"/>
          <w:rtl/>
        </w:rPr>
        <w:t>. والصياغة الأدق التي تتبنّاها هذه الدراسة هي:</w:t>
      </w:r>
    </w:p>
    <w:p w14:paraId="79F20A0F" w14:textId="77777777" w:rsidR="00333F05" w:rsidRDefault="00D14A68">
      <w:pPr>
        <w:spacing w:after="160" w:line="340" w:lineRule="auto"/>
        <w:jc w:val="center"/>
      </w:pPr>
      <w:r>
        <w:rPr>
          <w:b/>
          <w:bCs/>
          <w:color w:val="1B3A5C"/>
          <w:sz w:val="26"/>
          <w:szCs w:val="26"/>
          <w:rtl/>
        </w:rPr>
        <w:t>«هناك تقاطع مفاهيمي بين بعض نتائج علم النفس الأخلاقي الحديث وبين بعض الوظائف الرمزية والجسدية للطهارة الإسلامية، إلا أن هذا التقاطع لا يعني التطابق النظري أو التجريبي بين النظامين.»</w:t>
      </w:r>
    </w:p>
    <w:p w14:paraId="5578EB3E" w14:textId="77777777" w:rsidR="00333F05" w:rsidRDefault="00D14A68">
      <w:pPr>
        <w:spacing w:after="200" w:line="340" w:lineRule="auto"/>
        <w:jc w:val="both"/>
      </w:pPr>
      <w:r>
        <w:rPr>
          <w:color w:val="222222"/>
          <w:sz w:val="26"/>
          <w:szCs w:val="26"/>
          <w:rtl/>
        </w:rPr>
        <w:t>وهذه الجملة، في تقدير هذه الدراسة، يجب أن تكون من الركائز المنهجية الحاكمة لكل عمل مقارن لاحق داخل مشروع علم النفس الاستخلافي.</w:t>
      </w:r>
    </w:p>
    <w:p w14:paraId="1AE584DD" w14:textId="77777777" w:rsidR="00333F05" w:rsidRDefault="00D14A68">
      <w:pPr>
        <w:pStyle w:val="1"/>
        <w:pBdr>
          <w:bottom w:val="single" w:sz="10" w:space="6" w:color="B8860B"/>
        </w:pBdr>
        <w:bidi/>
        <w:spacing w:before="420" w:after="220"/>
        <w:jc w:val="right"/>
      </w:pPr>
      <w:r>
        <w:rPr>
          <w:b/>
          <w:bCs/>
          <w:color w:val="1B3A5C"/>
          <w:rtl/>
        </w:rPr>
        <w:t>19. حدود الدراسة</w:t>
      </w:r>
    </w:p>
    <w:p w14:paraId="7226D5DE" w14:textId="77777777" w:rsidR="00333F05" w:rsidRDefault="00D14A68">
      <w:pPr>
        <w:pStyle w:val="a4"/>
        <w:numPr>
          <w:ilvl w:val="0"/>
          <w:numId w:val="1"/>
        </w:numPr>
        <w:bidi/>
        <w:spacing w:after="100" w:line="320" w:lineRule="auto"/>
        <w:jc w:val="right"/>
      </w:pPr>
      <w:r>
        <w:rPr>
          <w:color w:val="222222"/>
          <w:sz w:val="26"/>
          <w:szCs w:val="26"/>
          <w:rtl/>
        </w:rPr>
        <w:t>أولًا: معظم أدبيات التطهير الأخلاقي الغربية لا تدرس الوضوء تحديدًا، بل تدرس سلوكيات غسل عامة في سياقات علمانية.</w:t>
      </w:r>
    </w:p>
    <w:p w14:paraId="56E79FB5" w14:textId="77777777" w:rsidR="00333F05" w:rsidRDefault="00D14A68">
      <w:pPr>
        <w:pStyle w:val="a4"/>
        <w:numPr>
          <w:ilvl w:val="0"/>
          <w:numId w:val="1"/>
        </w:numPr>
        <w:bidi/>
        <w:spacing w:after="100" w:line="320" w:lineRule="auto"/>
        <w:jc w:val="right"/>
      </w:pPr>
      <w:r>
        <w:rPr>
          <w:color w:val="222222"/>
          <w:sz w:val="26"/>
          <w:szCs w:val="26"/>
          <w:rtl/>
        </w:rPr>
        <w:t xml:space="preserve">ثانيًا: الأدلة المتعلقة بتأثير </w:t>
      </w:r>
      <w:proofErr w:type="spellStart"/>
      <w:r>
        <w:rPr>
          <w:color w:val="222222"/>
          <w:sz w:val="26"/>
          <w:szCs w:val="26"/>
          <w:rtl/>
        </w:rPr>
        <w:t>Macbeth</w:t>
      </w:r>
      <w:proofErr w:type="spellEnd"/>
      <w:r>
        <w:rPr>
          <w:color w:val="222222"/>
          <w:sz w:val="26"/>
          <w:szCs w:val="26"/>
          <w:rtl/>
        </w:rPr>
        <w:t xml:space="preserve"> ذاته محل نقاش جوهري حول قابلية التكرار، كما فصّلنا في القسم الرابع.</w:t>
      </w:r>
    </w:p>
    <w:p w14:paraId="0EE6B88D" w14:textId="77777777" w:rsidR="00333F05" w:rsidRDefault="00D14A68">
      <w:pPr>
        <w:pStyle w:val="a4"/>
        <w:numPr>
          <w:ilvl w:val="0"/>
          <w:numId w:val="1"/>
        </w:numPr>
        <w:bidi/>
        <w:spacing w:after="100" w:line="320" w:lineRule="auto"/>
        <w:jc w:val="right"/>
      </w:pPr>
      <w:r>
        <w:rPr>
          <w:color w:val="222222"/>
          <w:sz w:val="26"/>
          <w:szCs w:val="26"/>
          <w:rtl/>
        </w:rPr>
        <w:t>ثالثًا: لا يمكن استخراج نتيجة نفسية تجريبية مباشرة من النص الديني وحده، مهما بلغت دلالته اللغوية والشرعية.</w:t>
      </w:r>
    </w:p>
    <w:p w14:paraId="4442ABE0" w14:textId="77777777" w:rsidR="00333F05" w:rsidRDefault="00D14A68">
      <w:pPr>
        <w:pStyle w:val="a4"/>
        <w:numPr>
          <w:ilvl w:val="0"/>
          <w:numId w:val="1"/>
        </w:numPr>
        <w:bidi/>
        <w:spacing w:after="100" w:line="320" w:lineRule="auto"/>
        <w:jc w:val="right"/>
      </w:pPr>
      <w:r>
        <w:rPr>
          <w:color w:val="222222"/>
          <w:sz w:val="26"/>
          <w:szCs w:val="26"/>
          <w:rtl/>
        </w:rPr>
        <w:t>رابعًا: لا يمكن اختزال المعنى الديني للطهارة إلى وظيفة نفسية؛ لأن المفهوم الإسلامي يتضمن بعدًا تعبديًا وشرعيًا يتجاوز الوصف السيكولوجي بطبيعته.</w:t>
      </w:r>
    </w:p>
    <w:p w14:paraId="4CC8821F" w14:textId="77777777" w:rsidR="00333F05" w:rsidRDefault="00D14A68">
      <w:pPr>
        <w:pStyle w:val="a4"/>
        <w:numPr>
          <w:ilvl w:val="0"/>
          <w:numId w:val="1"/>
        </w:numPr>
        <w:bidi/>
        <w:spacing w:after="100" w:line="320" w:lineRule="auto"/>
        <w:jc w:val="right"/>
      </w:pPr>
      <w:r>
        <w:rPr>
          <w:color w:val="222222"/>
          <w:sz w:val="26"/>
          <w:szCs w:val="26"/>
          <w:rtl/>
        </w:rPr>
        <w:t>خامسًا: يجب الحذر من الخلط بين الوضوء والتوبة؛ فالوضوء ممارسة من ممارسات الطهارة، بينما الإصلاح الأخلاقي يتطلب في بعض الحالات تغييرًا فعليًا للسلوك وردَّ الحقوق.</w:t>
      </w:r>
    </w:p>
    <w:p w14:paraId="4334BF9F" w14:textId="77777777" w:rsidR="00333F05" w:rsidRDefault="00D14A68">
      <w:pPr>
        <w:pStyle w:val="a4"/>
        <w:numPr>
          <w:ilvl w:val="0"/>
          <w:numId w:val="1"/>
        </w:numPr>
        <w:bidi/>
        <w:spacing w:after="100" w:line="320" w:lineRule="auto"/>
        <w:jc w:val="right"/>
      </w:pPr>
      <w:r>
        <w:rPr>
          <w:color w:val="222222"/>
          <w:sz w:val="26"/>
          <w:szCs w:val="26"/>
          <w:rtl/>
        </w:rPr>
        <w:t xml:space="preserve">سادسًا: الأشخاص ذوو الميول </w:t>
      </w:r>
      <w:proofErr w:type="spellStart"/>
      <w:r>
        <w:rPr>
          <w:color w:val="222222"/>
          <w:sz w:val="26"/>
          <w:szCs w:val="26"/>
          <w:rtl/>
        </w:rPr>
        <w:t>الوسواسية</w:t>
      </w:r>
      <w:proofErr w:type="spellEnd"/>
      <w:r>
        <w:rPr>
          <w:color w:val="222222"/>
          <w:sz w:val="26"/>
          <w:szCs w:val="26"/>
          <w:rtl/>
        </w:rPr>
        <w:t xml:space="preserve"> قد يستجيبون للطقوس بطريقة معاكسة تمامًا للأشخاص غير </w:t>
      </w:r>
      <w:proofErr w:type="spellStart"/>
      <w:r>
        <w:rPr>
          <w:color w:val="222222"/>
          <w:sz w:val="26"/>
          <w:szCs w:val="26"/>
          <w:rtl/>
        </w:rPr>
        <w:t>الوسواسيين</w:t>
      </w:r>
      <w:proofErr w:type="spellEnd"/>
      <w:r>
        <w:rPr>
          <w:color w:val="222222"/>
          <w:sz w:val="26"/>
          <w:szCs w:val="26"/>
          <w:rtl/>
        </w:rPr>
        <w:t xml:space="preserve">، كما بيّنت دراسة </w:t>
      </w:r>
      <w:proofErr w:type="spellStart"/>
      <w:r>
        <w:rPr>
          <w:color w:val="222222"/>
          <w:sz w:val="26"/>
          <w:szCs w:val="26"/>
          <w:rtl/>
        </w:rPr>
        <w:t>Reuven</w:t>
      </w:r>
      <w:proofErr w:type="spellEnd"/>
      <w:r>
        <w:rPr>
          <w:color w:val="222222"/>
          <w:sz w:val="26"/>
          <w:szCs w:val="26"/>
          <w:rtl/>
        </w:rPr>
        <w:t xml:space="preserve"> </w:t>
      </w:r>
      <w:proofErr w:type="spellStart"/>
      <w:r>
        <w:rPr>
          <w:color w:val="222222"/>
          <w:sz w:val="26"/>
          <w:szCs w:val="26"/>
          <w:rtl/>
        </w:rPr>
        <w:t>وLiberman</w:t>
      </w:r>
      <w:proofErr w:type="spellEnd"/>
      <w:r>
        <w:rPr>
          <w:color w:val="222222"/>
          <w:sz w:val="26"/>
          <w:szCs w:val="26"/>
          <w:rtl/>
        </w:rPr>
        <w:t xml:space="preserve"> </w:t>
      </w:r>
      <w:proofErr w:type="spellStart"/>
      <w:r>
        <w:rPr>
          <w:color w:val="222222"/>
          <w:sz w:val="26"/>
          <w:szCs w:val="26"/>
          <w:rtl/>
        </w:rPr>
        <w:t>وDar</w:t>
      </w:r>
      <w:proofErr w:type="spellEnd"/>
      <w:r>
        <w:rPr>
          <w:color w:val="222222"/>
          <w:sz w:val="26"/>
          <w:szCs w:val="26"/>
          <w:rtl/>
        </w:rPr>
        <w:t xml:space="preserve"> (2014) ودراسة </w:t>
      </w:r>
      <w:proofErr w:type="spellStart"/>
      <w:r>
        <w:rPr>
          <w:color w:val="222222"/>
          <w:sz w:val="26"/>
          <w:szCs w:val="26"/>
          <w:rtl/>
        </w:rPr>
        <w:t>Gilchrist</w:t>
      </w:r>
      <w:proofErr w:type="spellEnd"/>
      <w:r>
        <w:rPr>
          <w:color w:val="222222"/>
          <w:sz w:val="26"/>
          <w:szCs w:val="26"/>
          <w:rtl/>
        </w:rPr>
        <w:t xml:space="preserve"> </w:t>
      </w:r>
      <w:proofErr w:type="spellStart"/>
      <w:r>
        <w:rPr>
          <w:color w:val="222222"/>
          <w:sz w:val="26"/>
          <w:szCs w:val="26"/>
          <w:rtl/>
        </w:rPr>
        <w:t>وSchnall</w:t>
      </w:r>
      <w:proofErr w:type="spellEnd"/>
      <w:r>
        <w:rPr>
          <w:color w:val="222222"/>
          <w:sz w:val="26"/>
          <w:szCs w:val="26"/>
          <w:rtl/>
        </w:rPr>
        <w:t xml:space="preserve"> (2018)، وهو ما يفرض حذرًا إكلينيكيًا عند أي تطبيق عملي لهذا النموذج.</w:t>
      </w:r>
    </w:p>
    <w:p w14:paraId="59A800DD" w14:textId="77777777" w:rsidR="00333F05" w:rsidRDefault="00D14A68">
      <w:pPr>
        <w:pStyle w:val="1"/>
        <w:pBdr>
          <w:bottom w:val="single" w:sz="10" w:space="6" w:color="B8860B"/>
        </w:pBdr>
        <w:bidi/>
        <w:spacing w:before="420" w:after="220"/>
        <w:jc w:val="right"/>
      </w:pPr>
      <w:r>
        <w:rPr>
          <w:b/>
          <w:bCs/>
          <w:color w:val="1B3A5C"/>
          <w:rtl/>
        </w:rPr>
        <w:t>20. القيمة النظرية للنموذج الاستخلافي</w:t>
      </w:r>
    </w:p>
    <w:p w14:paraId="1D3610C7" w14:textId="77777777" w:rsidR="00333F05" w:rsidRDefault="00D14A68">
      <w:pPr>
        <w:spacing w:after="200" w:line="340" w:lineRule="auto"/>
        <w:jc w:val="both"/>
      </w:pPr>
      <w:r>
        <w:rPr>
          <w:color w:val="222222"/>
          <w:sz w:val="26"/>
          <w:szCs w:val="26"/>
          <w:rtl/>
        </w:rPr>
        <w:t>إذا تم تطوير الفكرة بالطريقة المعروضة في هذه الدراسة، فإن القيمة العلمية للنموذج الاستخلافي لا تكمن في الادعاء بأنه «سبق علم النفس الغربي» فحسب، بل تكمن في تقديم سؤال بحثي مختلف نوعيًا:</w:t>
      </w:r>
    </w:p>
    <w:p w14:paraId="3E2E6AC0" w14:textId="77777777" w:rsidR="00333F05" w:rsidRDefault="00D14A68">
      <w:pPr>
        <w:spacing w:after="200" w:line="340" w:lineRule="auto"/>
        <w:jc w:val="center"/>
      </w:pPr>
      <w:r>
        <w:rPr>
          <w:b/>
          <w:bCs/>
          <w:color w:val="0E6E6A"/>
          <w:sz w:val="26"/>
          <w:szCs w:val="26"/>
          <w:rtl/>
        </w:rPr>
        <w:t>كيف يتحوّل الشعور بالانحراف الأخلاقي إلى عملية إعادة بناء فعلية للذات والسلوك؟</w:t>
      </w:r>
    </w:p>
    <w:p w14:paraId="15C21408" w14:textId="77777777" w:rsidR="00333F05" w:rsidRDefault="00D14A68">
      <w:pPr>
        <w:spacing w:after="200" w:line="340" w:lineRule="auto"/>
        <w:jc w:val="both"/>
      </w:pPr>
      <w:r>
        <w:rPr>
          <w:color w:val="222222"/>
          <w:sz w:val="26"/>
          <w:szCs w:val="26"/>
          <w:rtl/>
        </w:rPr>
        <w:t>وهذا السؤال يفتح مجالًا بينيًا يجمع بين حقول معرفية متعددة:</w:t>
      </w:r>
    </w:p>
    <w:p w14:paraId="518726EF" w14:textId="77777777" w:rsidR="00333F05" w:rsidRDefault="00D14A68">
      <w:pPr>
        <w:pStyle w:val="a4"/>
        <w:numPr>
          <w:ilvl w:val="0"/>
          <w:numId w:val="1"/>
        </w:numPr>
        <w:bidi/>
        <w:spacing w:after="100" w:line="320" w:lineRule="auto"/>
        <w:jc w:val="right"/>
      </w:pPr>
      <w:r>
        <w:rPr>
          <w:color w:val="222222"/>
          <w:sz w:val="26"/>
          <w:szCs w:val="26"/>
          <w:rtl/>
        </w:rPr>
        <w:t>علم النفس الأخلاقي (</w:t>
      </w:r>
      <w:proofErr w:type="spellStart"/>
      <w:r>
        <w:rPr>
          <w:color w:val="222222"/>
          <w:sz w:val="26"/>
          <w:szCs w:val="26"/>
          <w:rtl/>
        </w:rPr>
        <w:t>Moral</w:t>
      </w:r>
      <w:proofErr w:type="spellEnd"/>
      <w:r>
        <w:rPr>
          <w:color w:val="222222"/>
          <w:sz w:val="26"/>
          <w:szCs w:val="26"/>
          <w:rtl/>
        </w:rPr>
        <w:t xml:space="preserve"> </w:t>
      </w:r>
      <w:proofErr w:type="spellStart"/>
      <w:r>
        <w:rPr>
          <w:color w:val="222222"/>
          <w:sz w:val="26"/>
          <w:szCs w:val="26"/>
          <w:rtl/>
        </w:rPr>
        <w:t>Psychology</w:t>
      </w:r>
      <w:proofErr w:type="spellEnd"/>
      <w:r>
        <w:rPr>
          <w:color w:val="222222"/>
          <w:sz w:val="26"/>
          <w:szCs w:val="26"/>
          <w:rtl/>
        </w:rPr>
        <w:t>).</w:t>
      </w:r>
    </w:p>
    <w:p w14:paraId="48ED8939" w14:textId="77777777" w:rsidR="00333F05" w:rsidRDefault="00D14A68">
      <w:pPr>
        <w:pStyle w:val="a4"/>
        <w:numPr>
          <w:ilvl w:val="0"/>
          <w:numId w:val="1"/>
        </w:numPr>
        <w:bidi/>
        <w:spacing w:after="100" w:line="320" w:lineRule="auto"/>
        <w:jc w:val="right"/>
      </w:pPr>
      <w:r>
        <w:rPr>
          <w:color w:val="222222"/>
          <w:sz w:val="26"/>
          <w:szCs w:val="26"/>
          <w:rtl/>
        </w:rPr>
        <w:t>علم نفس الدين (</w:t>
      </w:r>
      <w:proofErr w:type="spellStart"/>
      <w:r>
        <w:rPr>
          <w:color w:val="222222"/>
          <w:sz w:val="26"/>
          <w:szCs w:val="26"/>
          <w:rtl/>
        </w:rPr>
        <w:t>Psychology</w:t>
      </w:r>
      <w:proofErr w:type="spellEnd"/>
      <w:r>
        <w:rPr>
          <w:color w:val="222222"/>
          <w:sz w:val="26"/>
          <w:szCs w:val="26"/>
          <w:rtl/>
        </w:rPr>
        <w:t xml:space="preserve"> </w:t>
      </w:r>
      <w:proofErr w:type="spellStart"/>
      <w:r>
        <w:rPr>
          <w:color w:val="222222"/>
          <w:sz w:val="26"/>
          <w:szCs w:val="26"/>
          <w:rtl/>
        </w:rPr>
        <w:t>of</w:t>
      </w:r>
      <w:proofErr w:type="spellEnd"/>
      <w:r>
        <w:rPr>
          <w:color w:val="222222"/>
          <w:sz w:val="26"/>
          <w:szCs w:val="26"/>
          <w:rtl/>
        </w:rPr>
        <w:t xml:space="preserve"> </w:t>
      </w:r>
      <w:proofErr w:type="spellStart"/>
      <w:r>
        <w:rPr>
          <w:color w:val="222222"/>
          <w:sz w:val="26"/>
          <w:szCs w:val="26"/>
          <w:rtl/>
        </w:rPr>
        <w:t>Religion</w:t>
      </w:r>
      <w:proofErr w:type="spellEnd"/>
      <w:r>
        <w:rPr>
          <w:color w:val="222222"/>
          <w:sz w:val="26"/>
          <w:szCs w:val="26"/>
          <w:rtl/>
        </w:rPr>
        <w:t>).</w:t>
      </w:r>
    </w:p>
    <w:p w14:paraId="5BB626D9" w14:textId="77777777" w:rsidR="00333F05" w:rsidRDefault="00D14A68">
      <w:pPr>
        <w:pStyle w:val="a4"/>
        <w:numPr>
          <w:ilvl w:val="0"/>
          <w:numId w:val="1"/>
        </w:numPr>
        <w:bidi/>
        <w:spacing w:after="100" w:line="320" w:lineRule="auto"/>
        <w:jc w:val="right"/>
      </w:pPr>
      <w:r>
        <w:rPr>
          <w:color w:val="222222"/>
          <w:sz w:val="26"/>
          <w:szCs w:val="26"/>
          <w:rtl/>
        </w:rPr>
        <w:t>علم النفس الاجتماعي.</w:t>
      </w:r>
    </w:p>
    <w:p w14:paraId="75FD362F" w14:textId="77777777" w:rsidR="00333F05" w:rsidRDefault="00D14A68">
      <w:pPr>
        <w:pStyle w:val="a4"/>
        <w:numPr>
          <w:ilvl w:val="0"/>
          <w:numId w:val="1"/>
        </w:numPr>
        <w:bidi/>
        <w:spacing w:after="100" w:line="320" w:lineRule="auto"/>
        <w:jc w:val="right"/>
      </w:pPr>
      <w:r>
        <w:rPr>
          <w:color w:val="222222"/>
          <w:sz w:val="26"/>
          <w:szCs w:val="26"/>
          <w:rtl/>
        </w:rPr>
        <w:t>علم النفس التجسيدي (</w:t>
      </w:r>
      <w:proofErr w:type="spellStart"/>
      <w:r>
        <w:rPr>
          <w:color w:val="222222"/>
          <w:sz w:val="26"/>
          <w:szCs w:val="26"/>
          <w:rtl/>
        </w:rPr>
        <w:t>Embodied</w:t>
      </w:r>
      <w:proofErr w:type="spellEnd"/>
      <w:r>
        <w:rPr>
          <w:color w:val="222222"/>
          <w:sz w:val="26"/>
          <w:szCs w:val="26"/>
          <w:rtl/>
        </w:rPr>
        <w:t xml:space="preserve"> </w:t>
      </w:r>
      <w:proofErr w:type="spellStart"/>
      <w:r>
        <w:rPr>
          <w:color w:val="222222"/>
          <w:sz w:val="26"/>
          <w:szCs w:val="26"/>
          <w:rtl/>
        </w:rPr>
        <w:t>Psychology</w:t>
      </w:r>
      <w:proofErr w:type="spellEnd"/>
      <w:r>
        <w:rPr>
          <w:color w:val="222222"/>
          <w:sz w:val="26"/>
          <w:szCs w:val="26"/>
          <w:rtl/>
        </w:rPr>
        <w:t>).</w:t>
      </w:r>
    </w:p>
    <w:p w14:paraId="0E14A3BC" w14:textId="77777777" w:rsidR="00333F05" w:rsidRDefault="00D14A68">
      <w:pPr>
        <w:pStyle w:val="a4"/>
        <w:numPr>
          <w:ilvl w:val="0"/>
          <w:numId w:val="1"/>
        </w:numPr>
        <w:bidi/>
        <w:spacing w:after="100" w:line="320" w:lineRule="auto"/>
        <w:jc w:val="right"/>
      </w:pPr>
      <w:r>
        <w:rPr>
          <w:color w:val="222222"/>
          <w:sz w:val="26"/>
          <w:szCs w:val="26"/>
          <w:rtl/>
        </w:rPr>
        <w:t>دراسات الطقوس (</w:t>
      </w:r>
      <w:proofErr w:type="spellStart"/>
      <w:r>
        <w:rPr>
          <w:color w:val="222222"/>
          <w:sz w:val="26"/>
          <w:szCs w:val="26"/>
          <w:rtl/>
        </w:rPr>
        <w:t>Ritual</w:t>
      </w:r>
      <w:proofErr w:type="spellEnd"/>
      <w:r>
        <w:rPr>
          <w:color w:val="222222"/>
          <w:sz w:val="26"/>
          <w:szCs w:val="26"/>
          <w:rtl/>
        </w:rPr>
        <w:t xml:space="preserve"> </w:t>
      </w:r>
      <w:proofErr w:type="spellStart"/>
      <w:r>
        <w:rPr>
          <w:color w:val="222222"/>
          <w:sz w:val="26"/>
          <w:szCs w:val="26"/>
          <w:rtl/>
        </w:rPr>
        <w:t>Studies</w:t>
      </w:r>
      <w:proofErr w:type="spellEnd"/>
      <w:r>
        <w:rPr>
          <w:color w:val="222222"/>
          <w:sz w:val="26"/>
          <w:szCs w:val="26"/>
          <w:rtl/>
        </w:rPr>
        <w:t>).</w:t>
      </w:r>
    </w:p>
    <w:p w14:paraId="48DA241C" w14:textId="77777777" w:rsidR="00333F05" w:rsidRDefault="00D14A68">
      <w:pPr>
        <w:pStyle w:val="a4"/>
        <w:numPr>
          <w:ilvl w:val="0"/>
          <w:numId w:val="1"/>
        </w:numPr>
        <w:bidi/>
        <w:spacing w:after="100" w:line="320" w:lineRule="auto"/>
        <w:jc w:val="right"/>
      </w:pPr>
      <w:r>
        <w:rPr>
          <w:color w:val="222222"/>
          <w:sz w:val="26"/>
          <w:szCs w:val="26"/>
          <w:rtl/>
        </w:rPr>
        <w:t>علم النفس الثقافي.</w:t>
      </w:r>
    </w:p>
    <w:p w14:paraId="73A82494" w14:textId="77777777" w:rsidR="00333F05" w:rsidRDefault="00D14A68">
      <w:pPr>
        <w:pStyle w:val="a4"/>
        <w:numPr>
          <w:ilvl w:val="0"/>
          <w:numId w:val="1"/>
        </w:numPr>
        <w:bidi/>
        <w:spacing w:after="100" w:line="320" w:lineRule="auto"/>
        <w:jc w:val="right"/>
      </w:pPr>
      <w:r>
        <w:rPr>
          <w:color w:val="222222"/>
          <w:sz w:val="26"/>
          <w:szCs w:val="26"/>
          <w:rtl/>
        </w:rPr>
        <w:t>العلاج النفسي القائم على المعنى.</w:t>
      </w:r>
    </w:p>
    <w:p w14:paraId="14903CE0" w14:textId="77777777" w:rsidR="00333F05" w:rsidRDefault="00D14A68">
      <w:pPr>
        <w:pStyle w:val="a4"/>
        <w:numPr>
          <w:ilvl w:val="0"/>
          <w:numId w:val="1"/>
        </w:numPr>
        <w:bidi/>
        <w:spacing w:after="100" w:line="320" w:lineRule="auto"/>
        <w:jc w:val="right"/>
      </w:pPr>
      <w:r>
        <w:rPr>
          <w:color w:val="222222"/>
          <w:sz w:val="26"/>
          <w:szCs w:val="26"/>
          <w:rtl/>
        </w:rPr>
        <w:t>علم النفس الإسلامي المعاصر.</w:t>
      </w:r>
    </w:p>
    <w:p w14:paraId="7C7C21A2" w14:textId="77777777" w:rsidR="00333F05" w:rsidRDefault="00D14A68">
      <w:pPr>
        <w:spacing w:after="200" w:line="340" w:lineRule="auto"/>
        <w:jc w:val="both"/>
      </w:pPr>
      <w:r>
        <w:rPr>
          <w:color w:val="222222"/>
          <w:sz w:val="26"/>
          <w:szCs w:val="26"/>
          <w:rtl/>
        </w:rPr>
        <w:t>وهنا يمكن لنظرية TLRT أن تقدّم مساهمتها الأكثر تحديدًا وأصالة في هذا الحقل البيني: التطهير ليس الهدف النهائي للعملية النفسية-الروحية؛ إنه بوابة عبور نحو المصالحة والتحوّل السلوكي الفعلي.</w:t>
      </w:r>
    </w:p>
    <w:p w14:paraId="41232FE6" w14:textId="77777777" w:rsidR="00333F05" w:rsidRDefault="00D14A68">
      <w:pPr>
        <w:pStyle w:val="1"/>
        <w:pBdr>
          <w:bottom w:val="single" w:sz="10" w:space="6" w:color="B8860B"/>
        </w:pBdr>
        <w:bidi/>
        <w:spacing w:before="420" w:after="220"/>
        <w:jc w:val="right"/>
      </w:pPr>
      <w:r>
        <w:rPr>
          <w:b/>
          <w:bCs/>
          <w:color w:val="1B3A5C"/>
          <w:rtl/>
        </w:rPr>
        <w:t>21. الخلاصة</w:t>
      </w:r>
    </w:p>
    <w:p w14:paraId="7DF1618B" w14:textId="77777777" w:rsidR="00333F05" w:rsidRDefault="00D14A68">
      <w:pPr>
        <w:spacing w:after="200" w:line="340" w:lineRule="auto"/>
        <w:jc w:val="both"/>
      </w:pPr>
      <w:r>
        <w:rPr>
          <w:color w:val="222222"/>
          <w:sz w:val="26"/>
          <w:szCs w:val="26"/>
          <w:rtl/>
        </w:rPr>
        <w:t>تكشف المقارنة بين الأدبيات النفسية حول التطهير الأخلاقي والتصور الإسلامي للطهارة عن منطقة بحثية خصبة، لكنها تحتاج إلى قدر كبير من الانضباط المنهجي. فقد قدّمت الأبحاث الحديثة أدلة أولية على وجود علاقة بين التهديد الأخلاقي والتطهير الجسدي، لكنها كشفت في الوقت نفسه عن مشكلات جوهرية تتعلق بقابلية التكرار وحدود التفسير، إلى درجة أن التحليل التلوي الأخير (</w:t>
      </w:r>
      <w:proofErr w:type="spellStart"/>
      <w:r>
        <w:rPr>
          <w:color w:val="222222"/>
          <w:sz w:val="26"/>
          <w:szCs w:val="26"/>
          <w:rtl/>
        </w:rPr>
        <w:t>Siev</w:t>
      </w:r>
      <w:proofErr w:type="spellEnd"/>
      <w:r>
        <w:rPr>
          <w:color w:val="222222"/>
          <w:sz w:val="26"/>
          <w:szCs w:val="26"/>
          <w:rtl/>
        </w:rPr>
        <w:t xml:space="preserve"> </w:t>
      </w:r>
      <w:proofErr w:type="spellStart"/>
      <w:r>
        <w:rPr>
          <w:color w:val="222222"/>
          <w:sz w:val="26"/>
          <w:szCs w:val="26"/>
          <w:rtl/>
        </w:rPr>
        <w:t>et</w:t>
      </w:r>
      <w:proofErr w:type="spellEnd"/>
      <w:r>
        <w:rPr>
          <w:color w:val="222222"/>
          <w:sz w:val="26"/>
          <w:szCs w:val="26"/>
          <w:rtl/>
        </w:rPr>
        <w:t xml:space="preserve"> </w:t>
      </w:r>
      <w:proofErr w:type="spellStart"/>
      <w:r>
        <w:rPr>
          <w:color w:val="222222"/>
          <w:sz w:val="26"/>
          <w:szCs w:val="26"/>
          <w:rtl/>
        </w:rPr>
        <w:t>al</w:t>
      </w:r>
      <w:proofErr w:type="spellEnd"/>
      <w:r>
        <w:rPr>
          <w:color w:val="222222"/>
          <w:sz w:val="26"/>
          <w:szCs w:val="26"/>
          <w:rtl/>
        </w:rPr>
        <w:t xml:space="preserve">., 2018) وجد أن الأثر الإجمالي غير دالّ إحصائيًا في الدراسات المستقلة. ولذلك لا يمكن التعامل مع «تأثير </w:t>
      </w:r>
      <w:proofErr w:type="spellStart"/>
      <w:r>
        <w:rPr>
          <w:color w:val="222222"/>
          <w:sz w:val="26"/>
          <w:szCs w:val="26"/>
          <w:rtl/>
        </w:rPr>
        <w:t>Macbeth</w:t>
      </w:r>
      <w:proofErr w:type="spellEnd"/>
      <w:r>
        <w:rPr>
          <w:color w:val="222222"/>
          <w:sz w:val="26"/>
          <w:szCs w:val="26"/>
          <w:rtl/>
        </w:rPr>
        <w:t>» باعتباره قانونًا نفسيًا ثابتًا.</w:t>
      </w:r>
    </w:p>
    <w:p w14:paraId="30380D47" w14:textId="77777777" w:rsidR="00333F05" w:rsidRDefault="00D14A68">
      <w:pPr>
        <w:spacing w:after="200" w:line="340" w:lineRule="auto"/>
        <w:jc w:val="both"/>
      </w:pPr>
      <w:r>
        <w:rPr>
          <w:color w:val="222222"/>
          <w:sz w:val="26"/>
          <w:szCs w:val="26"/>
          <w:rtl/>
        </w:rPr>
        <w:t>أما في الإسلام، فالوضوء ليس مجرد تنظيف جسدي، بل جزء من منظومة الطهارة والاستعداد للصلاة، وتوجد نصوص حديثية صريحة تربط غسل بعض أعضاء الوضوء بخروج الخطايا المرتبطة باستعمالها. لكن المقارنة العلمية لا ينبغي أن تتوقف عند حدّ التشابه الظاهري؛ فالإضافة الأكثر أهمية للنموذج الاستخلافي هي الانتقال من التطهير إلى المصالحة، ثم إلى الإصلاح، ثم إلى إعادة بناء الذات الأخلاقية.</w:t>
      </w:r>
    </w:p>
    <w:p w14:paraId="71623954" w14:textId="77777777" w:rsidR="00333F05" w:rsidRDefault="00D14A68">
      <w:pPr>
        <w:spacing w:after="200" w:line="340" w:lineRule="auto"/>
        <w:jc w:val="both"/>
      </w:pPr>
      <w:r>
        <w:rPr>
          <w:color w:val="222222"/>
          <w:sz w:val="26"/>
          <w:szCs w:val="26"/>
          <w:rtl/>
        </w:rPr>
        <w:t>وبذلك يمكن إعادة تعريف الطهارة في النموذج الاستخلافي لا باعتبارها مجرد إزالة للتلوث الأخلاقي، وإنما باعتبارها عملية انتقالية تعيد تنظيم علاقة الإنسان بذاته وبربه وبالآخر وبالفعل الأخلاقي في آنٍ واحد. ومن هنا تقترح هذه الدراسة المفهوم النظري الجديد:</w:t>
      </w:r>
    </w:p>
    <w:p w14:paraId="603E31DE" w14:textId="77777777" w:rsidR="00333F05" w:rsidRDefault="00D14A68">
      <w:pPr>
        <w:spacing w:after="80" w:line="340" w:lineRule="auto"/>
        <w:jc w:val="center"/>
      </w:pPr>
      <w:r>
        <w:rPr>
          <w:b/>
          <w:bCs/>
          <w:color w:val="1B3A5C"/>
          <w:sz w:val="28"/>
          <w:szCs w:val="28"/>
          <w:rtl/>
        </w:rPr>
        <w:t>«التطهير الانتقالي الاستخلافي»</w:t>
      </w:r>
    </w:p>
    <w:p w14:paraId="4D0BF022" w14:textId="77777777" w:rsidR="00333F05" w:rsidRDefault="00D14A68">
      <w:pPr>
        <w:spacing w:after="160" w:line="340" w:lineRule="auto"/>
        <w:jc w:val="center"/>
      </w:pPr>
      <w:r>
        <w:rPr>
          <w:rFonts w:ascii="Calibri" w:eastAsia="Calibri" w:hAnsi="Calibri" w:cs="Calibri"/>
          <w:b/>
          <w:bCs/>
          <w:color w:val="B8860B"/>
          <w:sz w:val="26"/>
          <w:szCs w:val="26"/>
        </w:rPr>
        <w:t>Istikhlafi Transitional Cleansing</w:t>
      </w:r>
    </w:p>
    <w:p w14:paraId="5E082410" w14:textId="77777777" w:rsidR="00333F05" w:rsidRDefault="00D14A68">
      <w:pPr>
        <w:spacing w:after="200" w:line="340" w:lineRule="auto"/>
        <w:jc w:val="both"/>
      </w:pPr>
      <w:r>
        <w:rPr>
          <w:color w:val="222222"/>
          <w:sz w:val="26"/>
          <w:szCs w:val="26"/>
          <w:rtl/>
        </w:rPr>
        <w:t>بوصفه فرضية نظرية قابلة للاختبار، لا حقيقة تجريبية مفروغًا منها، تتمثل بنيته المرحلية في:</w:t>
      </w:r>
    </w:p>
    <w:p w14:paraId="795C603C" w14:textId="77777777" w:rsidR="00333F05" w:rsidRDefault="00D14A68">
      <w:pPr>
        <w:spacing w:after="200" w:line="340" w:lineRule="auto"/>
        <w:jc w:val="center"/>
      </w:pPr>
      <w:r>
        <w:rPr>
          <w:b/>
          <w:bCs/>
          <w:color w:val="0E6E6A"/>
          <w:sz w:val="25"/>
          <w:szCs w:val="25"/>
          <w:rtl/>
        </w:rPr>
        <w:t>الانحراف ← الوعي ← التلوث الأخلاقي ← التطهير ← المصالحة ← الإصلاح ← إعادة البناء</w:t>
      </w:r>
    </w:p>
    <w:p w14:paraId="67E4E99C" w14:textId="77777777" w:rsidR="00333F05" w:rsidRDefault="00D14A68">
      <w:pPr>
        <w:spacing w:after="200" w:line="340" w:lineRule="auto"/>
        <w:jc w:val="both"/>
      </w:pPr>
      <w:r>
        <w:rPr>
          <w:color w:val="222222"/>
          <w:sz w:val="26"/>
          <w:szCs w:val="26"/>
          <w:rtl/>
        </w:rPr>
        <w:t>وهذه الصيغة، إذا خضعت للاختبار التجريبي وفق التصميم المقترح في القسم الخامس عشر، يمكن أن تنقل هذا الخط البحثي من مجرد مقارنة عامة بين «علم النفس الغربي» و«التراث الإسلامي» إلى نموذج نفسي أصيل قابل للصياغة النظرية الدقيقة والاختبار التجريبي المستقل، بما يخدم الغاية الكبرى لمشروع علم النفس الاستخلافي في تقديم معرفة نفسية متجذّرة في الوحي، منفتحة على منهج العلم، حذرة من الاختزال في الاتجاهين معًا.</w:t>
      </w:r>
    </w:p>
    <w:p w14:paraId="53E303A0" w14:textId="77777777" w:rsidR="00333F05" w:rsidRDefault="00D14A68">
      <w:r>
        <w:br w:type="page"/>
      </w:r>
    </w:p>
    <w:p w14:paraId="470EF7ED" w14:textId="77777777" w:rsidR="00333F05" w:rsidRDefault="00D14A68">
      <w:pPr>
        <w:pStyle w:val="1"/>
        <w:pBdr>
          <w:bottom w:val="single" w:sz="10" w:space="6" w:color="B8860B"/>
        </w:pBdr>
        <w:bidi/>
        <w:spacing w:before="420" w:after="220"/>
        <w:jc w:val="right"/>
      </w:pPr>
      <w:r>
        <w:rPr>
          <w:b/>
          <w:bCs/>
          <w:color w:val="1B3A5C"/>
          <w:rtl/>
        </w:rPr>
        <w:t>المراجع</w:t>
      </w:r>
    </w:p>
    <w:p w14:paraId="244A2108" w14:textId="77777777" w:rsidR="00333F05" w:rsidRDefault="00D14A68">
      <w:pPr>
        <w:pStyle w:val="2"/>
        <w:bidi/>
        <w:spacing w:before="260" w:after="160"/>
        <w:jc w:val="right"/>
      </w:pPr>
      <w:r>
        <w:rPr>
          <w:b/>
          <w:bCs/>
          <w:color w:val="0E6E6A"/>
          <w:sz w:val="27"/>
          <w:szCs w:val="27"/>
          <w:rtl/>
        </w:rPr>
        <w:t>أولًا: المصادر الأساسية في النموذج الاستخلافي</w:t>
      </w:r>
    </w:p>
    <w:p w14:paraId="4AE1F2E4" w14:textId="77777777" w:rsidR="00333F05" w:rsidRDefault="00D14A68">
      <w:pPr>
        <w:spacing w:after="160" w:line="300" w:lineRule="auto"/>
        <w:ind w:hanging="403"/>
        <w:jc w:val="both"/>
      </w:pPr>
      <w:r>
        <w:rPr>
          <w:b/>
          <w:bCs/>
          <w:color w:val="222222"/>
          <w:sz w:val="26"/>
          <w:szCs w:val="26"/>
          <w:rtl/>
        </w:rPr>
        <w:t xml:space="preserve">1. </w:t>
      </w:r>
      <w:r>
        <w:rPr>
          <w:color w:val="222222"/>
          <w:sz w:val="26"/>
          <w:szCs w:val="26"/>
          <w:rtl/>
        </w:rPr>
        <w:t xml:space="preserve">الزراع، عبد السلام. (2026). </w:t>
      </w:r>
      <w:r>
        <w:rPr>
          <w:i/>
          <w:iCs/>
          <w:color w:val="222222"/>
          <w:sz w:val="26"/>
          <w:szCs w:val="26"/>
          <w:rtl/>
        </w:rPr>
        <w:t>العلاج بحرث المصالحة التحويلية (TLRT): الدليل النظري والإكلينيكي.</w:t>
      </w:r>
      <w:r>
        <w:rPr>
          <w:color w:val="222222"/>
          <w:sz w:val="26"/>
          <w:szCs w:val="26"/>
          <w:rtl/>
        </w:rPr>
        <w:t xml:space="preserve"> الطبعة التجريبية الأولى.</w:t>
      </w:r>
    </w:p>
    <w:p w14:paraId="592FFD80" w14:textId="77777777" w:rsidR="00333F05" w:rsidRDefault="00D14A68">
      <w:pPr>
        <w:spacing w:after="160" w:line="300" w:lineRule="auto"/>
        <w:ind w:hanging="403"/>
        <w:jc w:val="both"/>
      </w:pPr>
      <w:r>
        <w:rPr>
          <w:b/>
          <w:bCs/>
          <w:color w:val="222222"/>
          <w:sz w:val="26"/>
          <w:szCs w:val="26"/>
          <w:rtl/>
        </w:rPr>
        <w:t xml:space="preserve">2. </w:t>
      </w:r>
      <w:r>
        <w:rPr>
          <w:color w:val="222222"/>
          <w:sz w:val="26"/>
          <w:szCs w:val="26"/>
          <w:rtl/>
        </w:rPr>
        <w:t xml:space="preserve">الزراع، عبد السلام. (2026). </w:t>
      </w:r>
      <w:r>
        <w:rPr>
          <w:i/>
          <w:iCs/>
          <w:color w:val="222222"/>
          <w:sz w:val="26"/>
          <w:szCs w:val="26"/>
          <w:rtl/>
        </w:rPr>
        <w:t>الفصام الأخلاقي ومصدر الأزمات النفسية: قراءة في ضوء نظرية TLRT.</w:t>
      </w:r>
    </w:p>
    <w:p w14:paraId="211D0E30" w14:textId="77777777" w:rsidR="00333F05" w:rsidRDefault="00D14A68">
      <w:pPr>
        <w:spacing w:after="160" w:line="300" w:lineRule="auto"/>
        <w:ind w:hanging="403"/>
        <w:jc w:val="both"/>
      </w:pPr>
      <w:r>
        <w:rPr>
          <w:b/>
          <w:bCs/>
          <w:color w:val="222222"/>
          <w:sz w:val="26"/>
          <w:szCs w:val="26"/>
          <w:rtl/>
        </w:rPr>
        <w:t xml:space="preserve">3. </w:t>
      </w:r>
      <w:r>
        <w:rPr>
          <w:color w:val="222222"/>
          <w:sz w:val="26"/>
          <w:szCs w:val="26"/>
          <w:rtl/>
        </w:rPr>
        <w:t xml:space="preserve">الزراع، عبد السلام. (2026). </w:t>
      </w:r>
      <w:proofErr w:type="spellStart"/>
      <w:r>
        <w:rPr>
          <w:i/>
          <w:iCs/>
          <w:color w:val="222222"/>
          <w:sz w:val="26"/>
          <w:szCs w:val="26"/>
          <w:rtl/>
        </w:rPr>
        <w:t>التمثلات</w:t>
      </w:r>
      <w:proofErr w:type="spellEnd"/>
      <w:r>
        <w:rPr>
          <w:i/>
          <w:iCs/>
          <w:color w:val="222222"/>
          <w:sz w:val="26"/>
          <w:szCs w:val="26"/>
          <w:rtl/>
        </w:rPr>
        <w:t xml:space="preserve"> الداخلية للإله: من نظرية </w:t>
      </w:r>
      <w:proofErr w:type="spellStart"/>
      <w:r>
        <w:rPr>
          <w:i/>
          <w:iCs/>
          <w:color w:val="222222"/>
          <w:sz w:val="26"/>
          <w:szCs w:val="26"/>
          <w:rtl/>
        </w:rPr>
        <w:t>ريزوتو</w:t>
      </w:r>
      <w:proofErr w:type="spellEnd"/>
      <w:r>
        <w:rPr>
          <w:i/>
          <w:iCs/>
          <w:color w:val="222222"/>
          <w:sz w:val="26"/>
          <w:szCs w:val="26"/>
          <w:rtl/>
        </w:rPr>
        <w:t xml:space="preserve"> إلى إعادة بناء صورة الله في TLRT.</w:t>
      </w:r>
    </w:p>
    <w:p w14:paraId="72B6167C" w14:textId="77777777" w:rsidR="00333F05" w:rsidRDefault="00D14A68">
      <w:pPr>
        <w:pStyle w:val="2"/>
        <w:bidi/>
        <w:spacing w:before="260" w:after="160"/>
        <w:jc w:val="right"/>
      </w:pPr>
      <w:r>
        <w:rPr>
          <w:b/>
          <w:bCs/>
          <w:color w:val="0E6E6A"/>
          <w:sz w:val="27"/>
          <w:szCs w:val="27"/>
          <w:rtl/>
        </w:rPr>
        <w:t>ثانيًا: المصادر الشرعية</w:t>
      </w:r>
    </w:p>
    <w:p w14:paraId="4E898516" w14:textId="77777777" w:rsidR="00333F05" w:rsidRDefault="00D14A68">
      <w:pPr>
        <w:spacing w:after="160" w:line="300" w:lineRule="auto"/>
        <w:ind w:hanging="403"/>
        <w:jc w:val="both"/>
      </w:pPr>
      <w:r>
        <w:rPr>
          <w:b/>
          <w:bCs/>
          <w:color w:val="222222"/>
          <w:sz w:val="26"/>
          <w:szCs w:val="26"/>
          <w:rtl/>
        </w:rPr>
        <w:t xml:space="preserve">4. </w:t>
      </w:r>
      <w:r>
        <w:rPr>
          <w:color w:val="222222"/>
          <w:sz w:val="26"/>
          <w:szCs w:val="26"/>
          <w:rtl/>
        </w:rPr>
        <w:t>القرآن الكريم، سورة المائدة، الآية 6.</w:t>
      </w:r>
    </w:p>
    <w:p w14:paraId="0CC3885E" w14:textId="77777777" w:rsidR="00333F05" w:rsidRDefault="00D14A68">
      <w:pPr>
        <w:spacing w:after="160" w:line="300" w:lineRule="auto"/>
        <w:ind w:hanging="403"/>
        <w:jc w:val="both"/>
      </w:pPr>
      <w:r>
        <w:rPr>
          <w:b/>
          <w:bCs/>
          <w:color w:val="222222"/>
          <w:sz w:val="26"/>
          <w:szCs w:val="26"/>
          <w:rtl/>
        </w:rPr>
        <w:t xml:space="preserve">5. </w:t>
      </w:r>
      <w:r>
        <w:rPr>
          <w:color w:val="222222"/>
          <w:sz w:val="26"/>
          <w:szCs w:val="26"/>
          <w:rtl/>
        </w:rPr>
        <w:t xml:space="preserve">مسلم بن الحجاج النيسابوري. </w:t>
      </w:r>
      <w:r>
        <w:rPr>
          <w:i/>
          <w:iCs/>
          <w:color w:val="222222"/>
          <w:sz w:val="26"/>
          <w:szCs w:val="26"/>
          <w:rtl/>
        </w:rPr>
        <w:t>صحيح مسلم</w:t>
      </w:r>
      <w:r>
        <w:rPr>
          <w:color w:val="222222"/>
          <w:sz w:val="26"/>
          <w:szCs w:val="26"/>
          <w:rtl/>
        </w:rPr>
        <w:t>، كتاب الطهارة، حديث أبي هريرة رقم 244 (فضل الوضوء وخروج الخطايا مع الماء).</w:t>
      </w:r>
    </w:p>
    <w:p w14:paraId="44533CCA" w14:textId="77777777" w:rsidR="00333F05" w:rsidRDefault="00D14A68">
      <w:pPr>
        <w:spacing w:after="160" w:line="300" w:lineRule="auto"/>
        <w:ind w:hanging="403"/>
        <w:jc w:val="both"/>
      </w:pPr>
      <w:r>
        <w:rPr>
          <w:b/>
          <w:bCs/>
          <w:color w:val="222222"/>
          <w:sz w:val="26"/>
          <w:szCs w:val="26"/>
          <w:rtl/>
        </w:rPr>
        <w:t xml:space="preserve">6. </w:t>
      </w:r>
      <w:r>
        <w:rPr>
          <w:color w:val="222222"/>
          <w:sz w:val="26"/>
          <w:szCs w:val="26"/>
          <w:rtl/>
        </w:rPr>
        <w:t>البخاري، محمد بن إسماعيل، ومسلم بن الحجاج. حديث «لا ينصرف حتى يسمع صوتًا أو يجد ريحًا» (أصل قاعدة «اليقين لا يزول بالشك»).</w:t>
      </w:r>
    </w:p>
    <w:p w14:paraId="484FE587" w14:textId="77777777" w:rsidR="00333F05" w:rsidRDefault="00D14A68">
      <w:pPr>
        <w:pStyle w:val="2"/>
        <w:bidi/>
        <w:spacing w:before="260" w:after="160"/>
        <w:jc w:val="right"/>
      </w:pPr>
      <w:r>
        <w:rPr>
          <w:b/>
          <w:bCs/>
          <w:color w:val="0E6E6A"/>
          <w:sz w:val="27"/>
          <w:szCs w:val="27"/>
          <w:rtl/>
        </w:rPr>
        <w:t>ثالثًا: علم النفس الأخلاقي والتطهير — الدراسات المؤسِّسة</w:t>
      </w:r>
    </w:p>
    <w:p w14:paraId="3C254535" w14:textId="77777777" w:rsidR="00333F05" w:rsidRDefault="00D14A68">
      <w:pPr>
        <w:spacing w:after="160" w:line="300" w:lineRule="auto"/>
        <w:ind w:hanging="403"/>
        <w:jc w:val="both"/>
      </w:pPr>
      <w:r>
        <w:rPr>
          <w:b/>
          <w:bCs/>
          <w:color w:val="222222"/>
          <w:sz w:val="26"/>
          <w:szCs w:val="26"/>
          <w:rtl/>
        </w:rPr>
        <w:t xml:space="preserve">7. </w:t>
      </w:r>
      <w:r>
        <w:rPr>
          <w:rFonts w:ascii="Calibri" w:eastAsia="Calibri" w:hAnsi="Calibri" w:cs="Calibri"/>
          <w:color w:val="222222"/>
        </w:rPr>
        <w:t xml:space="preserve">Zhong, C. B., &amp; Liljenquist, K. (2006). Washing away your sins: Threatened morality and physical cleansing. </w:t>
      </w:r>
      <w:r>
        <w:rPr>
          <w:rFonts w:ascii="Calibri" w:eastAsia="Calibri" w:hAnsi="Calibri" w:cs="Calibri"/>
          <w:i/>
          <w:iCs/>
          <w:color w:val="222222"/>
        </w:rPr>
        <w:t>Science, 313</w:t>
      </w:r>
      <w:r>
        <w:rPr>
          <w:rFonts w:ascii="Calibri" w:eastAsia="Calibri" w:hAnsi="Calibri" w:cs="Calibri"/>
          <w:color w:val="222222"/>
        </w:rPr>
        <w:t>(5792), 1451–1452. https://doi.org/10.1126/science.1130726</w:t>
      </w:r>
    </w:p>
    <w:p w14:paraId="7CDCE1EF" w14:textId="77777777" w:rsidR="00333F05" w:rsidRDefault="00D14A68">
      <w:pPr>
        <w:spacing w:after="160" w:line="300" w:lineRule="auto"/>
        <w:ind w:hanging="403"/>
        <w:jc w:val="both"/>
      </w:pPr>
      <w:r>
        <w:rPr>
          <w:b/>
          <w:bCs/>
          <w:color w:val="222222"/>
          <w:sz w:val="26"/>
          <w:szCs w:val="26"/>
          <w:rtl/>
        </w:rPr>
        <w:t xml:space="preserve">8. </w:t>
      </w:r>
      <w:r>
        <w:rPr>
          <w:rFonts w:ascii="Calibri" w:eastAsia="Calibri" w:hAnsi="Calibri" w:cs="Calibri"/>
          <w:color w:val="222222"/>
        </w:rPr>
        <w:t xml:space="preserve">West, C., &amp; Zhong, C. B. (2015). Moral cleansing. </w:t>
      </w:r>
      <w:r>
        <w:rPr>
          <w:rFonts w:ascii="Calibri" w:eastAsia="Calibri" w:hAnsi="Calibri" w:cs="Calibri"/>
          <w:i/>
          <w:iCs/>
          <w:color w:val="222222"/>
        </w:rPr>
        <w:t>Current Opinion in Psychology, 6</w:t>
      </w:r>
      <w:r>
        <w:rPr>
          <w:rFonts w:ascii="Calibri" w:eastAsia="Calibri" w:hAnsi="Calibri" w:cs="Calibri"/>
          <w:color w:val="222222"/>
        </w:rPr>
        <w:t>, 221–225.</w:t>
      </w:r>
    </w:p>
    <w:p w14:paraId="40D48C4E" w14:textId="77777777" w:rsidR="00333F05" w:rsidRDefault="00D14A68">
      <w:pPr>
        <w:spacing w:after="160" w:line="300" w:lineRule="auto"/>
        <w:ind w:hanging="403"/>
        <w:jc w:val="both"/>
      </w:pPr>
      <w:r>
        <w:rPr>
          <w:b/>
          <w:bCs/>
          <w:color w:val="222222"/>
          <w:sz w:val="26"/>
          <w:szCs w:val="26"/>
          <w:rtl/>
        </w:rPr>
        <w:t xml:space="preserve">9. </w:t>
      </w:r>
      <w:r>
        <w:rPr>
          <w:rFonts w:ascii="Calibri" w:eastAsia="Calibri" w:hAnsi="Calibri" w:cs="Calibri"/>
          <w:color w:val="222222"/>
        </w:rPr>
        <w:t xml:space="preserve">Lee, S. W. S., &amp; Schwarz, N. (2010). Dirty hands and dirty mouths: Embodiment of the moral-purity metaphor is specific to the motor modality involved in moral transgression. </w:t>
      </w:r>
      <w:r>
        <w:rPr>
          <w:rFonts w:ascii="Calibri" w:eastAsia="Calibri" w:hAnsi="Calibri" w:cs="Calibri"/>
          <w:i/>
          <w:iCs/>
          <w:color w:val="222222"/>
        </w:rPr>
        <w:t>Psychological Science, 21</w:t>
      </w:r>
      <w:r>
        <w:rPr>
          <w:rFonts w:ascii="Calibri" w:eastAsia="Calibri" w:hAnsi="Calibri" w:cs="Calibri"/>
          <w:color w:val="222222"/>
        </w:rPr>
        <w:t>(10), 1423–1425. https://doi.org/10.1177/0956797610382788</w:t>
      </w:r>
    </w:p>
    <w:p w14:paraId="35175731" w14:textId="77777777" w:rsidR="00333F05" w:rsidRDefault="00D14A68">
      <w:pPr>
        <w:spacing w:after="160" w:line="300" w:lineRule="auto"/>
        <w:ind w:hanging="403"/>
        <w:jc w:val="both"/>
      </w:pPr>
      <w:r>
        <w:rPr>
          <w:b/>
          <w:bCs/>
          <w:color w:val="222222"/>
          <w:sz w:val="26"/>
          <w:szCs w:val="26"/>
          <w:rtl/>
        </w:rPr>
        <w:t xml:space="preserve">10. </w:t>
      </w:r>
      <w:r>
        <w:rPr>
          <w:rFonts w:ascii="Calibri" w:eastAsia="Calibri" w:hAnsi="Calibri" w:cs="Calibri"/>
          <w:color w:val="222222"/>
        </w:rPr>
        <w:t xml:space="preserve">Lee, S. W. S., &amp; Schwarz, N. (2010). Washing away postdecisional dissonance. </w:t>
      </w:r>
      <w:r>
        <w:rPr>
          <w:rFonts w:ascii="Calibri" w:eastAsia="Calibri" w:hAnsi="Calibri" w:cs="Calibri"/>
          <w:i/>
          <w:iCs/>
          <w:color w:val="222222"/>
        </w:rPr>
        <w:t>Science, 328</w:t>
      </w:r>
      <w:r>
        <w:rPr>
          <w:rFonts w:ascii="Calibri" w:eastAsia="Calibri" w:hAnsi="Calibri" w:cs="Calibri"/>
          <w:color w:val="222222"/>
        </w:rPr>
        <w:t>(5979), 709. https://doi.org/10.1126/science.1186799</w:t>
      </w:r>
    </w:p>
    <w:p w14:paraId="5B78B7E2" w14:textId="77777777" w:rsidR="00333F05" w:rsidRDefault="00D14A68">
      <w:pPr>
        <w:spacing w:after="160" w:line="300" w:lineRule="auto"/>
        <w:ind w:hanging="403"/>
        <w:jc w:val="both"/>
      </w:pPr>
      <w:r>
        <w:rPr>
          <w:b/>
          <w:bCs/>
          <w:color w:val="222222"/>
          <w:sz w:val="26"/>
          <w:szCs w:val="26"/>
          <w:rtl/>
        </w:rPr>
        <w:t xml:space="preserve">11. </w:t>
      </w:r>
      <w:r>
        <w:rPr>
          <w:rFonts w:ascii="Calibri" w:eastAsia="Calibri" w:hAnsi="Calibri" w:cs="Calibri"/>
          <w:color w:val="222222"/>
        </w:rPr>
        <w:t xml:space="preserve">Liljenquist, K., Zhong, C. B., &amp; Galinsky, A. D. (2010). The smell of virtue: Clean scents promote reciprocity and charity. </w:t>
      </w:r>
      <w:r>
        <w:rPr>
          <w:rFonts w:ascii="Calibri" w:eastAsia="Calibri" w:hAnsi="Calibri" w:cs="Calibri"/>
          <w:i/>
          <w:iCs/>
          <w:color w:val="222222"/>
        </w:rPr>
        <w:t>Psychological Science, 21</w:t>
      </w:r>
      <w:r>
        <w:rPr>
          <w:rFonts w:ascii="Calibri" w:eastAsia="Calibri" w:hAnsi="Calibri" w:cs="Calibri"/>
          <w:color w:val="222222"/>
        </w:rPr>
        <w:t>(3), 381–383.</w:t>
      </w:r>
    </w:p>
    <w:p w14:paraId="41334513" w14:textId="77777777" w:rsidR="00333F05" w:rsidRDefault="00D14A68">
      <w:pPr>
        <w:spacing w:after="160" w:line="300" w:lineRule="auto"/>
        <w:ind w:hanging="403"/>
        <w:jc w:val="both"/>
      </w:pPr>
      <w:r>
        <w:rPr>
          <w:b/>
          <w:bCs/>
          <w:color w:val="222222"/>
          <w:sz w:val="26"/>
          <w:szCs w:val="26"/>
          <w:rtl/>
        </w:rPr>
        <w:t xml:space="preserve">12. </w:t>
      </w:r>
      <w:r>
        <w:rPr>
          <w:rFonts w:ascii="Calibri" w:eastAsia="Calibri" w:hAnsi="Calibri" w:cs="Calibri"/>
          <w:color w:val="222222"/>
        </w:rPr>
        <w:t xml:space="preserve">Zhong, C. B., Strejcek, B., &amp; Sivanathan, N. (2010). A clean self can render harsh moral judgment. </w:t>
      </w:r>
      <w:r>
        <w:rPr>
          <w:rFonts w:ascii="Calibri" w:eastAsia="Calibri" w:hAnsi="Calibri" w:cs="Calibri"/>
          <w:i/>
          <w:iCs/>
          <w:color w:val="222222"/>
        </w:rPr>
        <w:t>Journal of Experimental Social Psychology, 46</w:t>
      </w:r>
      <w:r>
        <w:rPr>
          <w:rFonts w:ascii="Calibri" w:eastAsia="Calibri" w:hAnsi="Calibri" w:cs="Calibri"/>
          <w:color w:val="222222"/>
        </w:rPr>
        <w:t>(5), 859–862.</w:t>
      </w:r>
    </w:p>
    <w:p w14:paraId="66EDB9EC" w14:textId="77777777" w:rsidR="00333F05" w:rsidRDefault="00D14A68">
      <w:pPr>
        <w:pStyle w:val="2"/>
        <w:bidi/>
        <w:spacing w:before="260" w:after="160"/>
        <w:jc w:val="right"/>
      </w:pPr>
      <w:r>
        <w:rPr>
          <w:b/>
          <w:bCs/>
          <w:color w:val="0E6E6A"/>
          <w:sz w:val="27"/>
          <w:szCs w:val="27"/>
          <w:rtl/>
        </w:rPr>
        <w:t xml:space="preserve">رابعًا: محاولات التكرار والنقد المنهجي لتأثير </w:t>
      </w:r>
      <w:proofErr w:type="spellStart"/>
      <w:r>
        <w:rPr>
          <w:b/>
          <w:bCs/>
          <w:color w:val="0E6E6A"/>
          <w:sz w:val="27"/>
          <w:szCs w:val="27"/>
          <w:rtl/>
        </w:rPr>
        <w:t>Macbeth</w:t>
      </w:r>
      <w:proofErr w:type="spellEnd"/>
    </w:p>
    <w:p w14:paraId="490292A3" w14:textId="77777777" w:rsidR="00333F05" w:rsidRDefault="00D14A68">
      <w:pPr>
        <w:spacing w:after="160" w:line="300" w:lineRule="auto"/>
        <w:ind w:hanging="403"/>
        <w:jc w:val="both"/>
      </w:pPr>
      <w:r>
        <w:rPr>
          <w:b/>
          <w:bCs/>
          <w:color w:val="222222"/>
          <w:sz w:val="26"/>
          <w:szCs w:val="26"/>
          <w:rtl/>
        </w:rPr>
        <w:t xml:space="preserve">13. </w:t>
      </w:r>
      <w:r>
        <w:rPr>
          <w:rFonts w:ascii="Calibri" w:eastAsia="Calibri" w:hAnsi="Calibri" w:cs="Calibri"/>
          <w:color w:val="222222"/>
        </w:rPr>
        <w:t xml:space="preserve">Fayard, J. V., Bassi, A. K., Bernstein, D. M., &amp; Roberts, B. W. (2009). Is cleanliness next to godliness? Dispelling old wives' tales: Failure to replicate Zhong and Liljenquist (2006). </w:t>
      </w:r>
      <w:r>
        <w:rPr>
          <w:rFonts w:ascii="Calibri" w:eastAsia="Calibri" w:hAnsi="Calibri" w:cs="Calibri"/>
          <w:i/>
          <w:iCs/>
          <w:color w:val="222222"/>
        </w:rPr>
        <w:t>Journal of Articles in Support of the Null Hypothesis, 6</w:t>
      </w:r>
      <w:r>
        <w:rPr>
          <w:rFonts w:ascii="Calibri" w:eastAsia="Calibri" w:hAnsi="Calibri" w:cs="Calibri"/>
          <w:color w:val="222222"/>
        </w:rPr>
        <w:t>(2), 21–30.</w:t>
      </w:r>
    </w:p>
    <w:p w14:paraId="02C05361" w14:textId="77777777" w:rsidR="00333F05" w:rsidRDefault="00D14A68">
      <w:pPr>
        <w:spacing w:after="160" w:line="300" w:lineRule="auto"/>
        <w:ind w:hanging="403"/>
        <w:jc w:val="both"/>
      </w:pPr>
      <w:r>
        <w:rPr>
          <w:b/>
          <w:bCs/>
          <w:color w:val="222222"/>
          <w:sz w:val="26"/>
          <w:szCs w:val="26"/>
          <w:rtl/>
        </w:rPr>
        <w:t xml:space="preserve">14. </w:t>
      </w:r>
      <w:r>
        <w:rPr>
          <w:rFonts w:ascii="Calibri" w:eastAsia="Calibri" w:hAnsi="Calibri" w:cs="Calibri"/>
          <w:color w:val="222222"/>
        </w:rPr>
        <w:t xml:space="preserve">Earp, B. D., Everett, J. A. C., Madva, E. N., &amp; Hamlin, J. K. (2014). Out, damned spot: Can the "Macbeth effect" be replicated? </w:t>
      </w:r>
      <w:r>
        <w:rPr>
          <w:rFonts w:ascii="Calibri" w:eastAsia="Calibri" w:hAnsi="Calibri" w:cs="Calibri"/>
          <w:i/>
          <w:iCs/>
          <w:color w:val="222222"/>
        </w:rPr>
        <w:t>Basic and Applied Social Psychology, 36</w:t>
      </w:r>
      <w:r>
        <w:rPr>
          <w:rFonts w:ascii="Calibri" w:eastAsia="Calibri" w:hAnsi="Calibri" w:cs="Calibri"/>
          <w:color w:val="222222"/>
        </w:rPr>
        <w:t>(1), 91–98. https://doi.org/10.1080/01973533.2013.856792</w:t>
      </w:r>
    </w:p>
    <w:p w14:paraId="274B73C0" w14:textId="77777777" w:rsidR="00333F05" w:rsidRDefault="00D14A68">
      <w:pPr>
        <w:spacing w:after="160" w:line="300" w:lineRule="auto"/>
        <w:ind w:hanging="403"/>
        <w:jc w:val="both"/>
      </w:pPr>
      <w:r>
        <w:rPr>
          <w:b/>
          <w:bCs/>
          <w:color w:val="222222"/>
          <w:sz w:val="26"/>
          <w:szCs w:val="26"/>
          <w:rtl/>
        </w:rPr>
        <w:t xml:space="preserve">15. </w:t>
      </w:r>
      <w:r>
        <w:rPr>
          <w:rFonts w:ascii="Calibri" w:eastAsia="Calibri" w:hAnsi="Calibri" w:cs="Calibri"/>
          <w:color w:val="222222"/>
        </w:rPr>
        <w:t xml:space="preserve">Siev, J., Zuckerman, S. E., &amp; Siev, J. J. (2018). The relationship between immorality and cleansing: A meta-analysis of the Macbeth effect. </w:t>
      </w:r>
      <w:r>
        <w:rPr>
          <w:rFonts w:ascii="Calibri" w:eastAsia="Calibri" w:hAnsi="Calibri" w:cs="Calibri"/>
          <w:i/>
          <w:iCs/>
          <w:color w:val="222222"/>
        </w:rPr>
        <w:t>Social Psychology, 49</w:t>
      </w:r>
      <w:r>
        <w:rPr>
          <w:rFonts w:ascii="Calibri" w:eastAsia="Calibri" w:hAnsi="Calibri" w:cs="Calibri"/>
          <w:color w:val="222222"/>
        </w:rPr>
        <w:t>(5), 303–309. https://doi.org/10.1027/1864-9335/a000349</w:t>
      </w:r>
    </w:p>
    <w:p w14:paraId="14A4597B" w14:textId="77777777" w:rsidR="00333F05" w:rsidRDefault="00D14A68">
      <w:pPr>
        <w:spacing w:after="160" w:line="300" w:lineRule="auto"/>
        <w:ind w:hanging="403"/>
        <w:jc w:val="both"/>
      </w:pPr>
      <w:r>
        <w:rPr>
          <w:b/>
          <w:bCs/>
          <w:color w:val="222222"/>
          <w:sz w:val="26"/>
          <w:szCs w:val="26"/>
          <w:rtl/>
        </w:rPr>
        <w:t xml:space="preserve">16. </w:t>
      </w:r>
      <w:r>
        <w:rPr>
          <w:rFonts w:ascii="Calibri" w:eastAsia="Calibri" w:hAnsi="Calibri" w:cs="Calibri"/>
          <w:color w:val="222222"/>
        </w:rPr>
        <w:t xml:space="preserve">Johnson, D. J., Cheung, F., &amp; Donnellan, M. B. (2014). Does cleanliness influence moral judgments? A direct replication of Schnall, Benton, and Harvey (2008). </w:t>
      </w:r>
      <w:r>
        <w:rPr>
          <w:rFonts w:ascii="Calibri" w:eastAsia="Calibri" w:hAnsi="Calibri" w:cs="Calibri"/>
          <w:i/>
          <w:iCs/>
          <w:color w:val="222222"/>
        </w:rPr>
        <w:t>Social Psychology, 45</w:t>
      </w:r>
      <w:r>
        <w:rPr>
          <w:rFonts w:ascii="Calibri" w:eastAsia="Calibri" w:hAnsi="Calibri" w:cs="Calibri"/>
          <w:color w:val="222222"/>
        </w:rPr>
        <w:t>(3), 209–215.</w:t>
      </w:r>
    </w:p>
    <w:p w14:paraId="00098E2B" w14:textId="77777777" w:rsidR="00333F05" w:rsidRDefault="00D14A68">
      <w:pPr>
        <w:pStyle w:val="2"/>
        <w:bidi/>
        <w:spacing w:before="260" w:after="160"/>
        <w:jc w:val="right"/>
      </w:pPr>
      <w:r>
        <w:rPr>
          <w:b/>
          <w:bCs/>
          <w:color w:val="0E6E6A"/>
          <w:sz w:val="27"/>
          <w:szCs w:val="27"/>
          <w:rtl/>
        </w:rPr>
        <w:t>خامسًا: الطقوس، القلق، والوسواس القهري</w:t>
      </w:r>
    </w:p>
    <w:p w14:paraId="099FA9DE" w14:textId="77777777" w:rsidR="00333F05" w:rsidRDefault="00D14A68">
      <w:pPr>
        <w:spacing w:after="160" w:line="300" w:lineRule="auto"/>
        <w:ind w:hanging="403"/>
        <w:jc w:val="both"/>
      </w:pPr>
      <w:r>
        <w:rPr>
          <w:b/>
          <w:bCs/>
          <w:color w:val="222222"/>
          <w:sz w:val="26"/>
          <w:szCs w:val="26"/>
          <w:rtl/>
        </w:rPr>
        <w:t xml:space="preserve">17. </w:t>
      </w:r>
      <w:r>
        <w:rPr>
          <w:rFonts w:ascii="Calibri" w:eastAsia="Calibri" w:hAnsi="Calibri" w:cs="Calibri"/>
          <w:color w:val="222222"/>
        </w:rPr>
        <w:t xml:space="preserve">Brooks, A. W., Schroeder, J., Risen, J. L., Gino, F., Galinsky, A. D., Norton, M. I., &amp; Schweitzer, M. E. (2016). Don't stop believing: Rituals improve performance by decreasing anxiety. </w:t>
      </w:r>
      <w:r>
        <w:rPr>
          <w:rFonts w:ascii="Calibri" w:eastAsia="Calibri" w:hAnsi="Calibri" w:cs="Calibri"/>
          <w:i/>
          <w:iCs/>
          <w:color w:val="222222"/>
        </w:rPr>
        <w:t>Organizational Behavior and Human Decision Processes, 137</w:t>
      </w:r>
      <w:r>
        <w:rPr>
          <w:rFonts w:ascii="Calibri" w:eastAsia="Calibri" w:hAnsi="Calibri" w:cs="Calibri"/>
          <w:color w:val="222222"/>
        </w:rPr>
        <w:t>, 71–85. https://doi.org/10.1016/j.obhdp.2016.07.004</w:t>
      </w:r>
    </w:p>
    <w:p w14:paraId="4D445D80" w14:textId="77777777" w:rsidR="00333F05" w:rsidRDefault="00D14A68">
      <w:pPr>
        <w:spacing w:after="160" w:line="300" w:lineRule="auto"/>
        <w:ind w:hanging="403"/>
        <w:jc w:val="both"/>
      </w:pPr>
      <w:r>
        <w:rPr>
          <w:b/>
          <w:bCs/>
          <w:color w:val="222222"/>
          <w:sz w:val="26"/>
          <w:szCs w:val="26"/>
          <w:rtl/>
        </w:rPr>
        <w:t xml:space="preserve">18. </w:t>
      </w:r>
      <w:r>
        <w:rPr>
          <w:rFonts w:ascii="Calibri" w:eastAsia="Calibri" w:hAnsi="Calibri" w:cs="Calibri"/>
          <w:color w:val="222222"/>
        </w:rPr>
        <w:t xml:space="preserve">Reuven, O., Liberman, N., &amp; Dar, R. (2014). The effect of physical cleaning on threatened morality in individuals with obsessive-compulsive disorder. </w:t>
      </w:r>
      <w:r>
        <w:rPr>
          <w:rFonts w:ascii="Calibri" w:eastAsia="Calibri" w:hAnsi="Calibri" w:cs="Calibri"/>
          <w:i/>
          <w:iCs/>
          <w:color w:val="222222"/>
        </w:rPr>
        <w:t>Clinical Psychological Science, 2</w:t>
      </w:r>
      <w:r>
        <w:rPr>
          <w:rFonts w:ascii="Calibri" w:eastAsia="Calibri" w:hAnsi="Calibri" w:cs="Calibri"/>
          <w:color w:val="222222"/>
        </w:rPr>
        <w:t>(2), 224–229.</w:t>
      </w:r>
    </w:p>
    <w:p w14:paraId="52C3D34E" w14:textId="77777777" w:rsidR="00333F05" w:rsidRDefault="00D14A68">
      <w:pPr>
        <w:spacing w:after="160" w:line="300" w:lineRule="auto"/>
        <w:ind w:hanging="403"/>
        <w:jc w:val="both"/>
      </w:pPr>
      <w:r>
        <w:rPr>
          <w:b/>
          <w:bCs/>
          <w:color w:val="222222"/>
          <w:sz w:val="26"/>
          <w:szCs w:val="26"/>
          <w:rtl/>
        </w:rPr>
        <w:t xml:space="preserve">19. </w:t>
      </w:r>
      <w:r>
        <w:rPr>
          <w:rFonts w:ascii="Calibri" w:eastAsia="Calibri" w:hAnsi="Calibri" w:cs="Calibri"/>
          <w:color w:val="222222"/>
        </w:rPr>
        <w:t xml:space="preserve">Gilchrist, P. T., &amp; Schnall, S. (2018). The paradox of moral cleansing: When physical cleansing leads to increased contamination concerns. </w:t>
      </w:r>
      <w:r>
        <w:rPr>
          <w:rFonts w:ascii="Calibri" w:eastAsia="Calibri" w:hAnsi="Calibri" w:cs="Calibri"/>
          <w:i/>
          <w:iCs/>
          <w:color w:val="222222"/>
        </w:rPr>
        <w:t>Journal of Behavior Therapy and Experimental Psychiatry, 61</w:t>
      </w:r>
      <w:r>
        <w:rPr>
          <w:rFonts w:ascii="Calibri" w:eastAsia="Calibri" w:hAnsi="Calibri" w:cs="Calibri"/>
          <w:color w:val="222222"/>
        </w:rPr>
        <w:t>, 152–158. https://doi.org/10.1016/j.jbtep.2018.06.002</w:t>
      </w:r>
    </w:p>
    <w:p w14:paraId="3D8E3CDD" w14:textId="77777777" w:rsidR="00333F05" w:rsidRDefault="00D14A68">
      <w:pPr>
        <w:pStyle w:val="2"/>
        <w:bidi/>
        <w:spacing w:before="260" w:after="160"/>
        <w:jc w:val="right"/>
      </w:pPr>
      <w:r>
        <w:rPr>
          <w:b/>
          <w:bCs/>
          <w:color w:val="0E6E6A"/>
          <w:sz w:val="27"/>
          <w:szCs w:val="27"/>
          <w:rtl/>
        </w:rPr>
        <w:t>سادسًا: مصادر منهجية عامة</w:t>
      </w:r>
    </w:p>
    <w:p w14:paraId="14C1C8D9" w14:textId="77777777" w:rsidR="00333F05" w:rsidRDefault="00D14A68">
      <w:pPr>
        <w:spacing w:after="160" w:line="300" w:lineRule="auto"/>
        <w:ind w:hanging="403"/>
        <w:jc w:val="both"/>
      </w:pPr>
      <w:r>
        <w:rPr>
          <w:b/>
          <w:bCs/>
          <w:color w:val="222222"/>
          <w:sz w:val="26"/>
          <w:szCs w:val="26"/>
          <w:rtl/>
        </w:rPr>
        <w:t xml:space="preserve">20. </w:t>
      </w:r>
      <w:r>
        <w:rPr>
          <w:rFonts w:ascii="Calibri" w:eastAsia="Calibri" w:hAnsi="Calibri" w:cs="Calibri"/>
          <w:color w:val="222222"/>
        </w:rPr>
        <w:t xml:space="preserve">Popper, K. R. (1959). </w:t>
      </w:r>
      <w:r>
        <w:rPr>
          <w:rFonts w:ascii="Calibri" w:eastAsia="Calibri" w:hAnsi="Calibri" w:cs="Calibri"/>
          <w:i/>
          <w:iCs/>
          <w:color w:val="222222"/>
        </w:rPr>
        <w:t>The Logic of Scientific Discovery.</w:t>
      </w:r>
      <w:r>
        <w:rPr>
          <w:rFonts w:ascii="Calibri" w:eastAsia="Calibri" w:hAnsi="Calibri" w:cs="Calibri"/>
          <w:color w:val="222222"/>
        </w:rPr>
        <w:t xml:space="preserve"> London: Hutchinson &amp; Co.</w:t>
      </w:r>
    </w:p>
    <w:sectPr w:rsidR="00333F05">
      <w:headerReference w:type="default" r:id="rId7"/>
      <w:footerReference w:type="default" r:id="rId8"/>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4791A" w14:textId="77777777" w:rsidR="00D14A68" w:rsidRDefault="00D14A68">
      <w:r>
        <w:separator/>
      </w:r>
    </w:p>
  </w:endnote>
  <w:endnote w:type="continuationSeparator" w:id="0">
    <w:p w14:paraId="075EA9D1" w14:textId="77777777" w:rsidR="00D14A68" w:rsidRDefault="00D14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C4273" w14:textId="77777777" w:rsidR="00333F05" w:rsidRDefault="00D14A68">
    <w:pPr>
      <w:jc w:val="center"/>
    </w:pPr>
    <w:r>
      <w:rPr>
        <w:rFonts w:ascii="Calibri" w:eastAsia="Calibri" w:hAnsi="Calibri" w:cs="Calibri"/>
        <w:color w:val="1B3A5C"/>
        <w:sz w:val="18"/>
        <w:szCs w:val="18"/>
      </w:rPr>
      <w:fldChar w:fldCharType="begin"/>
    </w:r>
    <w:r>
      <w:rPr>
        <w:rFonts w:ascii="Calibri" w:eastAsia="Calibri" w:hAnsi="Calibri" w:cs="Calibri"/>
        <w:color w:val="1B3A5C"/>
        <w:sz w:val="18"/>
        <w:szCs w:val="18"/>
      </w:rPr>
      <w:instrText>PAGE</w:instrText>
    </w:r>
    <w:r>
      <w:rPr>
        <w:rFonts w:ascii="Calibri" w:eastAsia="Calibri" w:hAnsi="Calibri" w:cs="Calibri"/>
        <w:color w:val="1B3A5C"/>
        <w:sz w:val="18"/>
        <w:szCs w:val="18"/>
      </w:rPr>
      <w:fldChar w:fldCharType="separate"/>
    </w:r>
    <w:r>
      <w:rPr>
        <w:rFonts w:ascii="Calibri" w:eastAsia="Calibri" w:hAnsi="Calibri" w:cs="Calibri"/>
        <w:color w:val="1B3A5C"/>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7391C" w14:textId="77777777" w:rsidR="00D14A68" w:rsidRDefault="00D14A68">
      <w:r>
        <w:separator/>
      </w:r>
    </w:p>
  </w:footnote>
  <w:footnote w:type="continuationSeparator" w:id="0">
    <w:p w14:paraId="3E034D12" w14:textId="77777777" w:rsidR="00D14A68" w:rsidRDefault="00D14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A1A58" w14:textId="77777777" w:rsidR="00333F05" w:rsidRDefault="00D14A68">
    <w:pPr>
      <w:pBdr>
        <w:bottom w:val="single" w:sz="6" w:space="4" w:color="B8860B"/>
      </w:pBdr>
      <w:jc w:val="center"/>
    </w:pPr>
    <w:r>
      <w:rPr>
        <w:i/>
        <w:iCs/>
        <w:color w:val="0E6E6A"/>
        <w:sz w:val="16"/>
        <w:szCs w:val="16"/>
        <w:rtl/>
      </w:rPr>
      <w:t>من التطهير الأخلاقي إلى طهارة الوضوء — علم النفس الاستخلافي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60E92"/>
    <w:multiLevelType w:val="hybridMultilevel"/>
    <w:tmpl w:val="FFFFFFFF"/>
    <w:lvl w:ilvl="0" w:tplc="2D5A2A6C">
      <w:start w:val="1"/>
      <w:numFmt w:val="bullet"/>
      <w:lvlText w:val="●"/>
      <w:lvlJc w:val="left"/>
      <w:pPr>
        <w:ind w:left="720" w:hanging="360"/>
      </w:pPr>
    </w:lvl>
    <w:lvl w:ilvl="1" w:tplc="C298E850">
      <w:start w:val="1"/>
      <w:numFmt w:val="bullet"/>
      <w:lvlText w:val="○"/>
      <w:lvlJc w:val="left"/>
      <w:pPr>
        <w:ind w:left="1440" w:hanging="360"/>
      </w:pPr>
    </w:lvl>
    <w:lvl w:ilvl="2" w:tplc="F3DABE16">
      <w:start w:val="1"/>
      <w:numFmt w:val="bullet"/>
      <w:lvlText w:val="■"/>
      <w:lvlJc w:val="left"/>
      <w:pPr>
        <w:ind w:left="2160" w:hanging="360"/>
      </w:pPr>
    </w:lvl>
    <w:lvl w:ilvl="3" w:tplc="ED30F9CC">
      <w:start w:val="1"/>
      <w:numFmt w:val="bullet"/>
      <w:lvlText w:val="●"/>
      <w:lvlJc w:val="left"/>
      <w:pPr>
        <w:ind w:left="2880" w:hanging="360"/>
      </w:pPr>
    </w:lvl>
    <w:lvl w:ilvl="4" w:tplc="C3E49A7E">
      <w:start w:val="1"/>
      <w:numFmt w:val="bullet"/>
      <w:lvlText w:val="○"/>
      <w:lvlJc w:val="left"/>
      <w:pPr>
        <w:ind w:left="3600" w:hanging="360"/>
      </w:pPr>
    </w:lvl>
    <w:lvl w:ilvl="5" w:tplc="53B85346">
      <w:start w:val="1"/>
      <w:numFmt w:val="bullet"/>
      <w:lvlText w:val="■"/>
      <w:lvlJc w:val="left"/>
      <w:pPr>
        <w:ind w:left="4320" w:hanging="360"/>
      </w:pPr>
    </w:lvl>
    <w:lvl w:ilvl="6" w:tplc="F8E06F60">
      <w:start w:val="1"/>
      <w:numFmt w:val="bullet"/>
      <w:lvlText w:val="●"/>
      <w:lvlJc w:val="left"/>
      <w:pPr>
        <w:ind w:left="5040" w:hanging="360"/>
      </w:pPr>
    </w:lvl>
    <w:lvl w:ilvl="7" w:tplc="112E7B18">
      <w:start w:val="1"/>
      <w:numFmt w:val="bullet"/>
      <w:lvlText w:val="●"/>
      <w:lvlJc w:val="left"/>
      <w:pPr>
        <w:ind w:left="5760" w:hanging="360"/>
      </w:pPr>
    </w:lvl>
    <w:lvl w:ilvl="8" w:tplc="B8DA0438">
      <w:start w:val="1"/>
      <w:numFmt w:val="bullet"/>
      <w:lvlText w:val="●"/>
      <w:lvlJc w:val="left"/>
      <w:pPr>
        <w:ind w:left="6480" w:hanging="360"/>
      </w:pPr>
    </w:lvl>
  </w:abstractNum>
  <w:num w:numId="1" w16cid:durableId="19400184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F05"/>
    <w:rsid w:val="00067ED9"/>
    <w:rsid w:val="00333F05"/>
    <w:rsid w:val="00CD0BE3"/>
    <w:rsid w:val="00D14A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5811D551"/>
  <w15:docId w15:val="{48475DF3-3BA5-0A49-9B27-76D0E5025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4154</Words>
  <Characters>23679</Characters>
  <Application>Microsoft Office Word</Application>
  <DocSecurity>0</DocSecurity>
  <Lines>197</Lines>
  <Paragraphs>55</Paragraphs>
  <ScaleCrop>false</ScaleCrop>
  <Company/>
  <LinksUpToDate>false</LinksUpToDate>
  <CharactersWithSpaces>27778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2</cp:revision>
  <dcterms:created xsi:type="dcterms:W3CDTF">2026-09-09T19:06:00Z</dcterms:created>
  <dcterms:modified xsi:type="dcterms:W3CDTF">2026-09-09T19:06:00Z</dcterms:modified>
</cp:coreProperties>
</file>